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rPr>
          <w:rFonts w:hint="eastAsia"/>
          <w:b/>
          <w:bCs/>
          <w:color w:val="auto"/>
        </w:rPr>
      </w:pPr>
      <w:bookmarkStart w:id="0" w:name="_Toc24792"/>
      <w:bookmarkStart w:id="1" w:name="_Toc16685"/>
      <w:r>
        <w:rPr>
          <w:b/>
          <w:bCs/>
          <w:color w:val="auto"/>
        </w:rPr>
        <w:drawing>
          <wp:inline distT="0" distB="0" distL="0" distR="0">
            <wp:extent cx="5633720" cy="7960360"/>
            <wp:effectExtent l="0" t="0" r="5080" b="2540"/>
            <wp:docPr id="2159995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99503" name="图片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640945" cy="7970627"/>
                    </a:xfrm>
                    <a:prstGeom prst="rect">
                      <a:avLst/>
                    </a:prstGeom>
                    <a:noFill/>
                    <a:ln>
                      <a:noFill/>
                    </a:ln>
                  </pic:spPr>
                </pic:pic>
              </a:graphicData>
            </a:graphic>
          </wp:inline>
        </w:drawing>
      </w:r>
    </w:p>
    <w:p>
      <w:pPr>
        <w:ind w:firstLine="0" w:firstLineChars="0"/>
        <w:rPr>
          <w:b/>
          <w:bCs/>
          <w:color w:val="auto"/>
        </w:rPr>
      </w:pPr>
    </w:p>
    <w:p>
      <w:pPr>
        <w:ind w:firstLine="0" w:firstLineChars="0"/>
        <w:rPr>
          <w:b/>
          <w:bCs/>
          <w:color w:val="auto"/>
        </w:rPr>
      </w:pPr>
    </w:p>
    <w:p>
      <w:pPr>
        <w:ind w:firstLine="0" w:firstLineChars="0"/>
        <w:rPr>
          <w:b/>
          <w:bCs/>
          <w:color w:val="auto"/>
        </w:rPr>
      </w:pPr>
      <w:r>
        <w:rPr>
          <w:b/>
          <w:bCs/>
          <w:color w:val="auto"/>
        </w:rPr>
        <w:drawing>
          <wp:inline distT="0" distB="0" distL="0" distR="0">
            <wp:extent cx="5796280" cy="8190230"/>
            <wp:effectExtent l="0" t="0" r="0" b="1270"/>
            <wp:docPr id="15783139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13995" name="图片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796280" cy="8190230"/>
                    </a:xfrm>
                    <a:prstGeom prst="rect">
                      <a:avLst/>
                    </a:prstGeom>
                    <a:noFill/>
                    <a:ln>
                      <a:noFill/>
                    </a:ln>
                  </pic:spPr>
                </pic:pic>
              </a:graphicData>
            </a:graphic>
          </wp:inline>
        </w:drawing>
      </w:r>
    </w:p>
    <w:p>
      <w:pPr>
        <w:ind w:firstLine="0" w:firstLineChars="0"/>
        <w:rPr>
          <w:rFonts w:hint="eastAsia"/>
          <w:b/>
          <w:bCs/>
          <w:color w:val="auto"/>
        </w:rPr>
      </w:pPr>
      <w:r>
        <w:rPr>
          <w:b/>
          <w:bCs/>
          <w:color w:val="auto"/>
        </w:rPr>
        <w:drawing>
          <wp:inline distT="0" distB="0" distL="0" distR="0">
            <wp:extent cx="5805805" cy="8200390"/>
            <wp:effectExtent l="0" t="0" r="4445" b="0"/>
            <wp:docPr id="21240508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050824" name="图片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805805" cy="8200390"/>
                    </a:xfrm>
                    <a:prstGeom prst="rect">
                      <a:avLst/>
                    </a:prstGeom>
                    <a:noFill/>
                    <a:ln>
                      <a:noFill/>
                    </a:ln>
                  </pic:spPr>
                </pic:pic>
              </a:graphicData>
            </a:graphic>
          </wp:inline>
        </w:drawing>
      </w:r>
    </w:p>
    <w:p>
      <w:pPr>
        <w:ind w:firstLine="0" w:firstLineChars="0"/>
        <w:rPr>
          <w:rFonts w:hint="eastAsia"/>
          <w:b/>
          <w:bCs/>
          <w:color w:val="auto"/>
        </w:rPr>
        <w:sectPr>
          <w:footerReference r:id="rId7" w:type="first"/>
          <w:footerReference r:id="rId5" w:type="default"/>
          <w:footerReference r:id="rId6" w:type="even"/>
          <w:pgSz w:w="11900" w:h="16840"/>
          <w:pgMar w:top="1580" w:right="1300" w:bottom="1200" w:left="1460" w:header="1113" w:footer="1001" w:gutter="0"/>
          <w:cols w:space="720" w:num="1"/>
        </w:sectPr>
      </w:pPr>
    </w:p>
    <w:p>
      <w:pPr>
        <w:ind w:firstLine="0" w:firstLineChars="0"/>
        <w:jc w:val="center"/>
        <w:rPr>
          <w:b/>
          <w:bCs/>
          <w:color w:val="auto"/>
        </w:rPr>
      </w:pPr>
    </w:p>
    <w:p>
      <w:pPr>
        <w:pStyle w:val="33"/>
        <w:jc w:val="both"/>
        <w:rPr>
          <w:color w:val="auto"/>
        </w:rPr>
        <w:sectPr>
          <w:pgSz w:w="11900" w:h="16840"/>
          <w:pgMar w:top="1580" w:right="1300" w:bottom="1200" w:left="1460" w:header="1113" w:footer="1001" w:gutter="0"/>
          <w:cols w:space="720" w:num="1"/>
        </w:sectPr>
      </w:pPr>
    </w:p>
    <w:p>
      <w:pPr>
        <w:pStyle w:val="17"/>
        <w:rPr>
          <w:rFonts w:hint="eastAsia"/>
        </w:rPr>
      </w:pPr>
      <w:r>
        <w:t>目 录</w:t>
      </w:r>
    </w:p>
    <w:p>
      <w:pPr>
        <w:pStyle w:val="17"/>
        <w:rPr>
          <w:rFonts w:hint="eastAsia" w:cstheme="minorBidi"/>
          <w:b w:val="0"/>
          <w:bCs w:val="0"/>
          <w:caps w:val="0"/>
          <w:kern w:val="2"/>
          <w:sz w:val="24"/>
          <w:szCs w:val="24"/>
          <w:lang w:bidi="ar-SA"/>
          <w14:ligatures w14:val="standardContextual"/>
        </w:rPr>
      </w:pPr>
      <w:r>
        <w:fldChar w:fldCharType="begin"/>
      </w:r>
      <w:r>
        <w:instrText xml:space="preserve"> TOC \o "1-3" \h \z \u </w:instrText>
      </w:r>
      <w:r>
        <w:fldChar w:fldCharType="separate"/>
      </w:r>
      <w:r>
        <w:fldChar w:fldCharType="begin"/>
      </w:r>
      <w:r>
        <w:instrText xml:space="preserve"> HYPERLINK \l "_Toc192757638" </w:instrText>
      </w:r>
      <w:r>
        <w:fldChar w:fldCharType="separate"/>
      </w:r>
      <w:r>
        <w:rPr>
          <w:rStyle w:val="31"/>
          <w:rFonts w:hint="eastAsia"/>
          <w:kern w:val="36"/>
          <w:sz w:val="24"/>
          <w:szCs w:val="24"/>
        </w:rPr>
        <w:t>第一章 总论</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_Toc192757638 \h</w:instrText>
      </w:r>
      <w:r>
        <w:rPr>
          <w:rFonts w:hint="eastAsia"/>
          <w:sz w:val="24"/>
          <w:szCs w:val="24"/>
        </w:rPr>
        <w:instrText xml:space="preserve"> </w:instrText>
      </w:r>
      <w:r>
        <w:rPr>
          <w:rFonts w:hint="eastAsia"/>
          <w:sz w:val="24"/>
          <w:szCs w:val="24"/>
        </w:rPr>
        <w:fldChar w:fldCharType="separate"/>
      </w:r>
      <w:r>
        <w:rPr>
          <w:rFonts w:hint="eastAsia"/>
          <w:sz w:val="24"/>
          <w:szCs w:val="24"/>
        </w:rPr>
        <w:t>1</w:t>
      </w:r>
      <w:r>
        <w:rPr>
          <w:rFonts w:hint="eastAsia"/>
          <w:sz w:val="24"/>
          <w:szCs w:val="24"/>
        </w:rPr>
        <w:fldChar w:fldCharType="end"/>
      </w:r>
      <w:r>
        <w:rPr>
          <w:rFonts w:hint="eastAsia"/>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"_Toc192757639" </w:instrText>
      </w:r>
      <w:r>
        <w:fldChar w:fldCharType="separate"/>
      </w:r>
      <w:r>
        <w:rPr>
          <w:rStyle w:val="31"/>
          <w:rFonts w:hint="eastAsia" w:ascii="宋体" w:hAnsi="宋体" w:eastAsia="宋体"/>
          <w:sz w:val="24"/>
          <w:szCs w:val="24"/>
        </w:rPr>
        <w:t>1.1 规划背景</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_Toc192757639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1</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"_Toc192757640" </w:instrText>
      </w:r>
      <w:r>
        <w:fldChar w:fldCharType="separate"/>
      </w:r>
      <w:r>
        <w:rPr>
          <w:rStyle w:val="31"/>
          <w:rFonts w:hint="eastAsia" w:ascii="宋体" w:hAnsi="宋体" w:eastAsia="宋体"/>
          <w:i w:val="0"/>
          <w:iCs w:val="0"/>
          <w:sz w:val="24"/>
          <w:szCs w:val="24"/>
        </w:rPr>
        <w:t>1.1.1 化工园区发展历程</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_Toc192757640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1</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"_Toc192757641" </w:instrText>
      </w:r>
      <w:r>
        <w:fldChar w:fldCharType="separate"/>
      </w:r>
      <w:r>
        <w:rPr>
          <w:rStyle w:val="31"/>
          <w:rFonts w:hint="eastAsia" w:ascii="宋体" w:hAnsi="宋体" w:eastAsia="宋体"/>
          <w:i w:val="0"/>
          <w:iCs w:val="0"/>
          <w:sz w:val="24"/>
          <w:szCs w:val="24"/>
        </w:rPr>
        <w:t>1.1.3产业规划编制及修编情况</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_Toc192757641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2</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"_Toc192757642" </w:instrText>
      </w:r>
      <w:r>
        <w:fldChar w:fldCharType="separate"/>
      </w:r>
      <w:r>
        <w:rPr>
          <w:rStyle w:val="31"/>
          <w:rFonts w:hint="eastAsia" w:ascii="宋体" w:hAnsi="宋体" w:eastAsia="宋体"/>
          <w:sz w:val="24"/>
          <w:szCs w:val="24"/>
        </w:rPr>
        <w:t>1.2 规划原则及目的</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_Toc192757642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3</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"_Toc192757643" </w:instrText>
      </w:r>
      <w:r>
        <w:fldChar w:fldCharType="separate"/>
      </w:r>
      <w:r>
        <w:rPr>
          <w:rStyle w:val="31"/>
          <w:rFonts w:hint="eastAsia" w:ascii="宋体" w:hAnsi="宋体" w:eastAsia="宋体"/>
          <w:i w:val="0"/>
          <w:iCs w:val="0"/>
          <w:sz w:val="24"/>
          <w:szCs w:val="24"/>
        </w:rPr>
        <w:t>1.2.1 规划的原则</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_Toc192757643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3</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"_Toc192757644" </w:instrText>
      </w:r>
      <w:r>
        <w:fldChar w:fldCharType="separate"/>
      </w:r>
      <w:r>
        <w:rPr>
          <w:rStyle w:val="31"/>
          <w:rFonts w:hint="eastAsia" w:ascii="宋体" w:hAnsi="宋体" w:eastAsia="宋体"/>
          <w:i w:val="0"/>
          <w:iCs w:val="0"/>
          <w:sz w:val="24"/>
          <w:szCs w:val="24"/>
        </w:rPr>
        <w:t>1.2.2 规划的目的</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_Toc192757644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4</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"_Toc192757645" </w:instrText>
      </w:r>
      <w:r>
        <w:fldChar w:fldCharType="separate"/>
      </w:r>
      <w:r>
        <w:rPr>
          <w:rStyle w:val="31"/>
          <w:rFonts w:hint="eastAsia" w:ascii="宋体" w:hAnsi="宋体" w:eastAsia="宋体"/>
          <w:sz w:val="24"/>
          <w:szCs w:val="24"/>
        </w:rPr>
        <w:t>1.3 规划编制依据</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_Toc192757645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4</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"_Toc192757646" </w:instrText>
      </w:r>
      <w:r>
        <w:fldChar w:fldCharType="separate"/>
      </w:r>
      <w:r>
        <w:rPr>
          <w:rStyle w:val="31"/>
          <w:rFonts w:hint="eastAsia" w:ascii="宋体" w:hAnsi="宋体" w:eastAsia="宋体"/>
          <w:sz w:val="24"/>
          <w:szCs w:val="24"/>
        </w:rPr>
        <w:t>1.4 规划范围及时限</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_Toc192757646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5</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"_Toc192757647" </w:instrText>
      </w:r>
      <w:r>
        <w:fldChar w:fldCharType="separate"/>
      </w:r>
      <w:r>
        <w:rPr>
          <w:rStyle w:val="31"/>
          <w:rFonts w:hint="eastAsia" w:ascii="宋体" w:hAnsi="宋体" w:eastAsia="宋体"/>
          <w:sz w:val="24"/>
          <w:szCs w:val="24"/>
        </w:rPr>
        <w:t>1.5 规划目标</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_Toc192757647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6</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"_Toc192757648" </w:instrText>
      </w:r>
      <w:r>
        <w:fldChar w:fldCharType="separate"/>
      </w:r>
      <w:r>
        <w:rPr>
          <w:rStyle w:val="31"/>
          <w:rFonts w:hint="eastAsia" w:ascii="宋体" w:hAnsi="宋体" w:eastAsia="宋体"/>
          <w:sz w:val="24"/>
          <w:szCs w:val="24"/>
        </w:rPr>
        <w:t>1.6 规划主要研究结论</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_Toc192757648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6</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"_Toc192757649" </w:instrText>
      </w:r>
      <w:r>
        <w:fldChar w:fldCharType="separate"/>
      </w:r>
      <w:r>
        <w:rPr>
          <w:rStyle w:val="31"/>
          <w:rFonts w:hint="eastAsia"/>
          <w:kern w:val="36"/>
          <w:sz w:val="24"/>
          <w:szCs w:val="24"/>
        </w:rPr>
        <w:t>第二章 基础条件分析</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_Toc192757649 \h</w:instrText>
      </w:r>
      <w:r>
        <w:rPr>
          <w:rFonts w:hint="eastAsia"/>
          <w:sz w:val="24"/>
          <w:szCs w:val="24"/>
        </w:rPr>
        <w:instrText xml:space="preserve"> </w:instrText>
      </w:r>
      <w:r>
        <w:rPr>
          <w:rFonts w:hint="eastAsia"/>
          <w:sz w:val="24"/>
          <w:szCs w:val="24"/>
        </w:rPr>
        <w:fldChar w:fldCharType="separate"/>
      </w:r>
      <w:r>
        <w:rPr>
          <w:rFonts w:hint="eastAsia"/>
          <w:sz w:val="24"/>
          <w:szCs w:val="24"/>
        </w:rPr>
        <w:t>8</w:t>
      </w:r>
      <w:r>
        <w:rPr>
          <w:rFonts w:hint="eastAsia"/>
          <w:sz w:val="24"/>
          <w:szCs w:val="24"/>
        </w:rPr>
        <w:fldChar w:fldCharType="end"/>
      </w:r>
      <w:r>
        <w:rPr>
          <w:rFonts w:hint="eastAsia"/>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"_Toc192757650" </w:instrText>
      </w:r>
      <w:r>
        <w:fldChar w:fldCharType="separate"/>
      </w:r>
      <w:r>
        <w:rPr>
          <w:rStyle w:val="31"/>
          <w:rFonts w:hint="eastAsia" w:ascii="宋体" w:hAnsi="宋体" w:eastAsia="宋体"/>
          <w:sz w:val="24"/>
          <w:szCs w:val="24"/>
        </w:rPr>
        <w:t>2.1 园区所在地基础条件</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_Toc192757650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8</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"_Toc192757651" </w:instrText>
      </w:r>
      <w:r>
        <w:fldChar w:fldCharType="separate"/>
      </w:r>
      <w:r>
        <w:rPr>
          <w:rStyle w:val="31"/>
          <w:rFonts w:hint="eastAsia" w:ascii="宋体" w:hAnsi="宋体" w:eastAsia="宋体"/>
          <w:i w:val="0"/>
          <w:iCs w:val="0"/>
          <w:sz w:val="24"/>
          <w:szCs w:val="24"/>
        </w:rPr>
        <w:t>2.1.1 园区所在地概况</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_Toc192757651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8</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"_Toc192757652" </w:instrText>
      </w:r>
      <w:r>
        <w:fldChar w:fldCharType="separate"/>
      </w:r>
      <w:r>
        <w:rPr>
          <w:rStyle w:val="31"/>
          <w:rFonts w:hint="eastAsia" w:ascii="宋体" w:hAnsi="宋体" w:eastAsia="宋体"/>
          <w:i w:val="0"/>
          <w:iCs w:val="0"/>
          <w:sz w:val="24"/>
          <w:szCs w:val="24"/>
        </w:rPr>
        <w:t>2.1.2 经济状况</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_Toc192757652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8</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"_Toc192757653" </w:instrText>
      </w:r>
      <w:r>
        <w:fldChar w:fldCharType="separate"/>
      </w:r>
      <w:r>
        <w:rPr>
          <w:rStyle w:val="31"/>
          <w:rFonts w:hint="eastAsia" w:ascii="宋体" w:hAnsi="宋体" w:eastAsia="宋体"/>
          <w:i w:val="0"/>
          <w:iCs w:val="0"/>
          <w:sz w:val="24"/>
          <w:szCs w:val="24"/>
        </w:rPr>
        <w:t>2.1.3 营商环境</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_Toc192757653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8</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"_Toc192757654" </w:instrText>
      </w:r>
      <w:r>
        <w:fldChar w:fldCharType="separate"/>
      </w:r>
      <w:r>
        <w:rPr>
          <w:rStyle w:val="31"/>
          <w:rFonts w:hint="eastAsia" w:ascii="宋体" w:hAnsi="宋体" w:eastAsia="宋体"/>
          <w:sz w:val="24"/>
          <w:szCs w:val="24"/>
        </w:rPr>
        <w:t>2.2 化工园区基础条件</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_Toc192757654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9</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"_Toc192757655" </w:instrText>
      </w:r>
      <w:r>
        <w:fldChar w:fldCharType="separate"/>
      </w:r>
      <w:r>
        <w:rPr>
          <w:rStyle w:val="31"/>
          <w:rFonts w:hint="eastAsia" w:ascii="宋体" w:hAnsi="宋体" w:eastAsia="宋体"/>
          <w:i w:val="0"/>
          <w:iCs w:val="0"/>
          <w:sz w:val="24"/>
          <w:szCs w:val="24"/>
        </w:rPr>
        <w:t>2.2.1 化工园区产业概况</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_Toc192757655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9</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"_Toc192757656" </w:instrText>
      </w:r>
      <w:r>
        <w:fldChar w:fldCharType="separate"/>
      </w:r>
      <w:r>
        <w:rPr>
          <w:rStyle w:val="31"/>
          <w:rFonts w:hint="eastAsia" w:ascii="宋体" w:hAnsi="宋体" w:eastAsia="宋体"/>
          <w:i w:val="0"/>
          <w:iCs w:val="0"/>
          <w:sz w:val="24"/>
          <w:szCs w:val="24"/>
        </w:rPr>
        <w:t>2.2.2 自然条件</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_Toc192757656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9</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"_Toc192757657" </w:instrText>
      </w:r>
      <w:r>
        <w:fldChar w:fldCharType="separate"/>
      </w:r>
      <w:r>
        <w:rPr>
          <w:rStyle w:val="31"/>
          <w:rFonts w:hint="eastAsia" w:ascii="宋体" w:hAnsi="宋体" w:eastAsia="宋体"/>
          <w:i w:val="0"/>
          <w:iCs w:val="0"/>
          <w:sz w:val="24"/>
          <w:szCs w:val="24"/>
        </w:rPr>
        <w:t>2.2.3 配套基础设施</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_Toc192757657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12</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"_Toc192757658" </w:instrText>
      </w:r>
      <w:r>
        <w:fldChar w:fldCharType="separate"/>
      </w:r>
      <w:r>
        <w:rPr>
          <w:rStyle w:val="31"/>
          <w:rFonts w:hint="eastAsia" w:ascii="宋体" w:hAnsi="宋体" w:eastAsia="宋体"/>
          <w:i w:val="0"/>
          <w:iCs w:val="0"/>
          <w:sz w:val="24"/>
          <w:szCs w:val="24"/>
        </w:rPr>
        <w:t>2.2.4 交通</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_Toc192757658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17</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"_Toc192757659" </w:instrText>
      </w:r>
      <w:r>
        <w:fldChar w:fldCharType="separate"/>
      </w:r>
      <w:r>
        <w:rPr>
          <w:rStyle w:val="31"/>
          <w:rFonts w:hint="eastAsia" w:ascii="宋体" w:hAnsi="宋体" w:eastAsia="宋体"/>
          <w:i w:val="0"/>
          <w:iCs w:val="0"/>
          <w:sz w:val="24"/>
          <w:szCs w:val="24"/>
        </w:rPr>
        <w:t>2.2.5 用地</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_Toc192757659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17</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"_Toc192757660" </w:instrText>
      </w:r>
      <w:r>
        <w:fldChar w:fldCharType="separate"/>
      </w:r>
      <w:r>
        <w:rPr>
          <w:rStyle w:val="31"/>
          <w:rFonts w:hint="eastAsia"/>
          <w:kern w:val="36"/>
          <w:sz w:val="24"/>
          <w:szCs w:val="24"/>
        </w:rPr>
        <w:t>第三章 总体要求</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_Toc192757660 \h</w:instrText>
      </w:r>
      <w:r>
        <w:rPr>
          <w:rFonts w:hint="eastAsia"/>
          <w:sz w:val="24"/>
          <w:szCs w:val="24"/>
        </w:rPr>
        <w:instrText xml:space="preserve"> </w:instrText>
      </w:r>
      <w:r>
        <w:rPr>
          <w:rFonts w:hint="eastAsia"/>
          <w:sz w:val="24"/>
          <w:szCs w:val="24"/>
        </w:rPr>
        <w:fldChar w:fldCharType="separate"/>
      </w:r>
      <w:r>
        <w:rPr>
          <w:rFonts w:hint="eastAsia"/>
          <w:sz w:val="24"/>
          <w:szCs w:val="24"/>
        </w:rPr>
        <w:t>19</w:t>
      </w:r>
      <w:r>
        <w:rPr>
          <w:rFonts w:hint="eastAsia"/>
          <w:sz w:val="24"/>
          <w:szCs w:val="24"/>
        </w:rPr>
        <w:fldChar w:fldCharType="end"/>
      </w:r>
      <w:r>
        <w:rPr>
          <w:rFonts w:hint="eastAsia"/>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"_Toc192757661" </w:instrText>
      </w:r>
      <w:r>
        <w:fldChar w:fldCharType="separate"/>
      </w:r>
      <w:r>
        <w:rPr>
          <w:rStyle w:val="31"/>
          <w:rFonts w:hint="eastAsia" w:ascii="宋体" w:hAnsi="宋体" w:eastAsia="宋体"/>
          <w:sz w:val="24"/>
          <w:szCs w:val="24"/>
        </w:rPr>
        <w:t>3.1 指导思想</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_Toc192757661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19</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"_Toc192757662" </w:instrText>
      </w:r>
      <w:r>
        <w:fldChar w:fldCharType="separate"/>
      </w:r>
      <w:r>
        <w:rPr>
          <w:rStyle w:val="31"/>
          <w:rFonts w:hint="eastAsia" w:ascii="宋体" w:hAnsi="宋体" w:eastAsia="宋体"/>
          <w:sz w:val="24"/>
          <w:szCs w:val="24"/>
        </w:rPr>
        <w:t>3.2 发展原则</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_Toc192757662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19</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"_Toc192757663" </w:instrText>
      </w:r>
      <w:r>
        <w:fldChar w:fldCharType="separate"/>
      </w:r>
      <w:r>
        <w:rPr>
          <w:rStyle w:val="31"/>
          <w:rFonts w:hint="eastAsia" w:ascii="宋体" w:hAnsi="宋体" w:eastAsia="宋体"/>
          <w:sz w:val="24"/>
          <w:szCs w:val="24"/>
        </w:rPr>
        <w:t>3.3发展目标</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_Toc192757663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20</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"_Toc192757664" </w:instrText>
      </w:r>
      <w:r>
        <w:fldChar w:fldCharType="separate"/>
      </w:r>
      <w:r>
        <w:rPr>
          <w:rStyle w:val="31"/>
          <w:rFonts w:hint="eastAsia" w:ascii="宋体" w:hAnsi="宋体" w:eastAsia="宋体"/>
          <w:i w:val="0"/>
          <w:iCs w:val="0"/>
          <w:sz w:val="24"/>
          <w:szCs w:val="24"/>
        </w:rPr>
        <w:t>3.3.1 产值目标</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_Toc192757664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20</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"_Toc192757665" </w:instrText>
      </w:r>
      <w:r>
        <w:fldChar w:fldCharType="separate"/>
      </w:r>
      <w:r>
        <w:rPr>
          <w:rStyle w:val="31"/>
          <w:rFonts w:hint="eastAsia" w:ascii="宋体" w:hAnsi="宋体" w:eastAsia="宋体"/>
          <w:i w:val="0"/>
          <w:iCs w:val="0"/>
          <w:sz w:val="24"/>
          <w:szCs w:val="24"/>
        </w:rPr>
        <w:t>3.3.2 产业发展定位</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_Toc192757665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20</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"_Toc192757666" </w:instrText>
      </w:r>
      <w:r>
        <w:fldChar w:fldCharType="separate"/>
      </w:r>
      <w:r>
        <w:rPr>
          <w:rStyle w:val="31"/>
          <w:rFonts w:hint="eastAsia"/>
          <w:kern w:val="36"/>
          <w:sz w:val="24"/>
          <w:szCs w:val="24"/>
        </w:rPr>
        <w:t>第四章 产业发展战略审视</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_Toc192757666 \h</w:instrText>
      </w:r>
      <w:r>
        <w:rPr>
          <w:rFonts w:hint="eastAsia"/>
          <w:sz w:val="24"/>
          <w:szCs w:val="24"/>
        </w:rPr>
        <w:instrText xml:space="preserve"> </w:instrText>
      </w:r>
      <w:r>
        <w:rPr>
          <w:rFonts w:hint="eastAsia"/>
          <w:sz w:val="24"/>
          <w:szCs w:val="24"/>
        </w:rPr>
        <w:fldChar w:fldCharType="separate"/>
      </w:r>
      <w:r>
        <w:rPr>
          <w:rFonts w:hint="eastAsia"/>
          <w:sz w:val="24"/>
          <w:szCs w:val="24"/>
        </w:rPr>
        <w:t>21</w:t>
      </w:r>
      <w:r>
        <w:rPr>
          <w:rFonts w:hint="eastAsia"/>
          <w:sz w:val="24"/>
          <w:szCs w:val="24"/>
        </w:rPr>
        <w:fldChar w:fldCharType="end"/>
      </w:r>
      <w:r>
        <w:rPr>
          <w:rFonts w:hint="eastAsia"/>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"_Toc192757667" </w:instrText>
      </w:r>
      <w:r>
        <w:fldChar w:fldCharType="separate"/>
      </w:r>
      <w:r>
        <w:rPr>
          <w:rStyle w:val="31"/>
          <w:rFonts w:hint="eastAsia" w:ascii="宋体" w:hAnsi="宋体" w:eastAsia="宋体"/>
          <w:sz w:val="24"/>
          <w:szCs w:val="24"/>
        </w:rPr>
        <w:t>4.1 精细化工产业发展现状及未来发展趋势</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_Toc192757667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21</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"_Toc192757668" </w:instrText>
      </w:r>
      <w:r>
        <w:fldChar w:fldCharType="separate"/>
      </w:r>
      <w:r>
        <w:rPr>
          <w:rStyle w:val="31"/>
          <w:rFonts w:hint="eastAsia" w:ascii="宋体" w:hAnsi="宋体" w:eastAsia="宋体"/>
          <w:i w:val="0"/>
          <w:iCs w:val="0"/>
          <w:sz w:val="24"/>
          <w:szCs w:val="24"/>
        </w:rPr>
        <w:t>4.1.1 精细化工产业概况</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_Toc192757668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21</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"_Toc192757669" </w:instrText>
      </w:r>
      <w:r>
        <w:fldChar w:fldCharType="separate"/>
      </w:r>
      <w:r>
        <w:rPr>
          <w:rStyle w:val="31"/>
          <w:rFonts w:hint="eastAsia" w:ascii="宋体" w:hAnsi="宋体" w:eastAsia="宋体"/>
          <w:i w:val="0"/>
          <w:iCs w:val="0"/>
          <w:sz w:val="24"/>
          <w:szCs w:val="24"/>
        </w:rPr>
        <w:t>4.1.2 精细化工行业产业链</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_Toc192757669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21</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"_Toc192757670" </w:instrText>
      </w:r>
      <w:r>
        <w:fldChar w:fldCharType="separate"/>
      </w:r>
      <w:r>
        <w:rPr>
          <w:rStyle w:val="31"/>
          <w:rFonts w:hint="eastAsia" w:ascii="宋体" w:hAnsi="宋体" w:eastAsia="宋体"/>
          <w:i w:val="0"/>
          <w:iCs w:val="0"/>
          <w:sz w:val="24"/>
          <w:szCs w:val="24"/>
        </w:rPr>
        <w:t>4.1.3 精细化工行业现状</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_Toc192757670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23</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"_Toc192757671" </w:instrText>
      </w:r>
      <w:r>
        <w:fldChar w:fldCharType="separate"/>
      </w:r>
      <w:r>
        <w:rPr>
          <w:rStyle w:val="31"/>
          <w:rFonts w:hint="eastAsia" w:ascii="宋体" w:hAnsi="宋体" w:eastAsia="宋体"/>
          <w:i w:val="0"/>
          <w:iCs w:val="0"/>
          <w:sz w:val="24"/>
          <w:szCs w:val="24"/>
        </w:rPr>
        <w:t>4.1.4 精细化工行业发展前景</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_Toc192757671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27</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"_Toc192757672" </w:instrText>
      </w:r>
      <w:r>
        <w:fldChar w:fldCharType="separate"/>
      </w:r>
      <w:r>
        <w:rPr>
          <w:rStyle w:val="31"/>
          <w:rFonts w:hint="eastAsia" w:ascii="宋体" w:hAnsi="宋体" w:eastAsia="宋体"/>
          <w:sz w:val="24"/>
          <w:szCs w:val="24"/>
        </w:rPr>
        <w:t>4.2 基础化工产业发展现状及未来发展趋势</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_Toc192757672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29</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"_Toc192757673" </w:instrText>
      </w:r>
      <w:r>
        <w:fldChar w:fldCharType="separate"/>
      </w:r>
      <w:r>
        <w:rPr>
          <w:rStyle w:val="31"/>
          <w:rFonts w:hint="eastAsia" w:ascii="宋体" w:hAnsi="宋体" w:eastAsia="宋体"/>
          <w:i w:val="0"/>
          <w:iCs w:val="0"/>
          <w:sz w:val="24"/>
          <w:szCs w:val="24"/>
        </w:rPr>
        <w:t>4.2.1 基础化工产业概况</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_Toc192757673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29</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"_Toc192757674" </w:instrText>
      </w:r>
      <w:r>
        <w:fldChar w:fldCharType="separate"/>
      </w:r>
      <w:r>
        <w:rPr>
          <w:rStyle w:val="31"/>
          <w:rFonts w:hint="eastAsia" w:ascii="宋体" w:hAnsi="宋体" w:eastAsia="宋体"/>
          <w:i w:val="0"/>
          <w:iCs w:val="0"/>
          <w:sz w:val="24"/>
          <w:szCs w:val="24"/>
        </w:rPr>
        <w:t>4.2.2 基础化工行业产业链</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_Toc192757674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29</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"_Toc192757675" </w:instrText>
      </w:r>
      <w:r>
        <w:fldChar w:fldCharType="separate"/>
      </w:r>
      <w:r>
        <w:rPr>
          <w:rStyle w:val="31"/>
          <w:rFonts w:hint="eastAsia" w:ascii="宋体" w:hAnsi="宋体" w:eastAsia="宋体"/>
          <w:i w:val="0"/>
          <w:iCs w:val="0"/>
          <w:sz w:val="24"/>
          <w:szCs w:val="24"/>
        </w:rPr>
        <w:t>4.2.3 基础化工行业现状</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_Toc192757675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31</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"_Toc192757676" </w:instrText>
      </w:r>
      <w:r>
        <w:fldChar w:fldCharType="separate"/>
      </w:r>
      <w:r>
        <w:rPr>
          <w:rStyle w:val="31"/>
          <w:rFonts w:hint="eastAsia" w:ascii="宋体" w:hAnsi="宋体" w:eastAsia="宋体"/>
          <w:i w:val="0"/>
          <w:iCs w:val="0"/>
          <w:sz w:val="24"/>
          <w:szCs w:val="24"/>
        </w:rPr>
        <w:t>4.2.4 行业发展前景及趋势预测</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_Toc192757676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32</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"_Toc192757677" </w:instrText>
      </w:r>
      <w:r>
        <w:fldChar w:fldCharType="separate"/>
      </w:r>
      <w:r>
        <w:rPr>
          <w:rStyle w:val="31"/>
          <w:rFonts w:hint="eastAsia" w:ascii="宋体" w:hAnsi="宋体" w:eastAsia="宋体"/>
          <w:sz w:val="24"/>
          <w:szCs w:val="24"/>
        </w:rPr>
        <w:t>4.3 全国化工园区发展现状及未来发展趋势</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_Toc192757677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34</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"_Toc192757678" </w:instrText>
      </w:r>
      <w:r>
        <w:fldChar w:fldCharType="separate"/>
      </w:r>
      <w:r>
        <w:rPr>
          <w:rStyle w:val="31"/>
          <w:rFonts w:hint="eastAsia" w:ascii="宋体" w:hAnsi="宋体" w:eastAsia="宋体"/>
          <w:i w:val="0"/>
          <w:iCs w:val="0"/>
          <w:sz w:val="24"/>
          <w:szCs w:val="24"/>
        </w:rPr>
        <w:t>4.3.1 化工园区的发展现状</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_Toc192757678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34</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"_Toc192757679" </w:instrText>
      </w:r>
      <w:r>
        <w:fldChar w:fldCharType="separate"/>
      </w:r>
      <w:r>
        <w:rPr>
          <w:rStyle w:val="31"/>
          <w:rFonts w:hint="eastAsia" w:ascii="宋体" w:hAnsi="宋体" w:eastAsia="宋体"/>
          <w:i w:val="0"/>
          <w:iCs w:val="0"/>
          <w:sz w:val="24"/>
          <w:szCs w:val="24"/>
        </w:rPr>
        <w:t>4.3.2 化工园区的发展趋势</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_Toc192757679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34</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"_Toc192757680" </w:instrText>
      </w:r>
      <w:r>
        <w:fldChar w:fldCharType="separate"/>
      </w:r>
      <w:r>
        <w:rPr>
          <w:rStyle w:val="31"/>
          <w:rFonts w:hint="eastAsia" w:ascii="宋体" w:hAnsi="宋体" w:eastAsia="宋体"/>
          <w:sz w:val="24"/>
          <w:szCs w:val="24"/>
        </w:rPr>
        <w:t>4.4 安徽化工发展态势分析</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_Toc192757680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36</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"_Toc192757681" </w:instrText>
      </w:r>
      <w:r>
        <w:fldChar w:fldCharType="separate"/>
      </w:r>
      <w:r>
        <w:rPr>
          <w:rStyle w:val="31"/>
          <w:rFonts w:hint="eastAsia" w:ascii="宋体" w:hAnsi="宋体" w:eastAsia="宋体"/>
          <w:i w:val="0"/>
          <w:iCs w:val="0"/>
          <w:sz w:val="24"/>
          <w:szCs w:val="24"/>
        </w:rPr>
        <w:t>4.4.1 安徽化工园区状况</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_Toc192757681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36</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"_Toc192757682" </w:instrText>
      </w:r>
      <w:r>
        <w:fldChar w:fldCharType="separate"/>
      </w:r>
      <w:r>
        <w:rPr>
          <w:rStyle w:val="31"/>
          <w:rFonts w:hint="eastAsia" w:ascii="宋体" w:hAnsi="宋体" w:eastAsia="宋体"/>
          <w:i w:val="0"/>
          <w:iCs w:val="0"/>
          <w:sz w:val="24"/>
          <w:szCs w:val="24"/>
        </w:rPr>
        <w:t>4.4.2 重点化工园区</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_Toc192757682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38</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"_Toc192757683" </w:instrText>
      </w:r>
      <w:r>
        <w:fldChar w:fldCharType="separate"/>
      </w:r>
      <w:r>
        <w:rPr>
          <w:rStyle w:val="31"/>
          <w:rFonts w:hint="eastAsia" w:ascii="宋体" w:hAnsi="宋体" w:eastAsia="宋体"/>
          <w:i w:val="0"/>
          <w:iCs w:val="0"/>
          <w:sz w:val="24"/>
          <w:szCs w:val="24"/>
        </w:rPr>
        <w:t>4.4.3 安徽化工园区发展竞争力分析</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_Toc192757683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39</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"_Toc192757684" </w:instrText>
      </w:r>
      <w:r>
        <w:fldChar w:fldCharType="separate"/>
      </w:r>
      <w:r>
        <w:rPr>
          <w:rStyle w:val="31"/>
          <w:rFonts w:hint="eastAsia"/>
          <w:kern w:val="36"/>
          <w:sz w:val="24"/>
          <w:szCs w:val="24"/>
        </w:rPr>
        <w:t>第五章 园区发展优劣势分析</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_Toc192757684 \h</w:instrText>
      </w:r>
      <w:r>
        <w:rPr>
          <w:rFonts w:hint="eastAsia"/>
          <w:sz w:val="24"/>
          <w:szCs w:val="24"/>
        </w:rPr>
        <w:instrText xml:space="preserve"> </w:instrText>
      </w:r>
      <w:r>
        <w:rPr>
          <w:rFonts w:hint="eastAsia"/>
          <w:sz w:val="24"/>
          <w:szCs w:val="24"/>
        </w:rPr>
        <w:fldChar w:fldCharType="separate"/>
      </w:r>
      <w:r>
        <w:rPr>
          <w:rFonts w:hint="eastAsia"/>
          <w:sz w:val="24"/>
          <w:szCs w:val="24"/>
        </w:rPr>
        <w:t>41</w:t>
      </w:r>
      <w:r>
        <w:rPr>
          <w:rFonts w:hint="eastAsia"/>
          <w:sz w:val="24"/>
          <w:szCs w:val="24"/>
        </w:rPr>
        <w:fldChar w:fldCharType="end"/>
      </w:r>
      <w:r>
        <w:rPr>
          <w:rFonts w:hint="eastAsia"/>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"_Toc192757685" </w:instrText>
      </w:r>
      <w:r>
        <w:fldChar w:fldCharType="separate"/>
      </w:r>
      <w:r>
        <w:rPr>
          <w:rStyle w:val="31"/>
          <w:rFonts w:hint="eastAsia" w:ascii="宋体" w:hAnsi="宋体" w:eastAsia="宋体"/>
          <w:sz w:val="24"/>
          <w:szCs w:val="24"/>
        </w:rPr>
        <w:t>5.1 淮南市化工产业发展现状及发展意义</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_Toc192757685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41</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"_Toc192757686" </w:instrText>
      </w:r>
      <w:r>
        <w:fldChar w:fldCharType="separate"/>
      </w:r>
      <w:r>
        <w:rPr>
          <w:rStyle w:val="31"/>
          <w:rFonts w:hint="eastAsia" w:ascii="宋体" w:hAnsi="宋体" w:eastAsia="宋体"/>
          <w:i w:val="0"/>
          <w:iCs w:val="0"/>
          <w:sz w:val="24"/>
          <w:szCs w:val="24"/>
        </w:rPr>
        <w:t>5.1.1 淮南市化工产业发展现状</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_Toc192757686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41</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"_Toc192757687" </w:instrText>
      </w:r>
      <w:r>
        <w:fldChar w:fldCharType="separate"/>
      </w:r>
      <w:r>
        <w:rPr>
          <w:rStyle w:val="31"/>
          <w:rFonts w:hint="eastAsia" w:ascii="宋体" w:hAnsi="宋体" w:eastAsia="宋体"/>
          <w:i w:val="0"/>
          <w:iCs w:val="0"/>
          <w:sz w:val="24"/>
          <w:szCs w:val="24"/>
        </w:rPr>
        <w:t>5.1.2 淮南市发展化工产业的意义</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_Toc192757687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41</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"_Toc192757688" </w:instrText>
      </w:r>
      <w:r>
        <w:fldChar w:fldCharType="separate"/>
      </w:r>
      <w:r>
        <w:rPr>
          <w:rStyle w:val="31"/>
          <w:rFonts w:hint="eastAsia" w:ascii="宋体" w:hAnsi="宋体" w:eastAsia="宋体"/>
          <w:sz w:val="24"/>
          <w:szCs w:val="24"/>
        </w:rPr>
        <w:t>5.2淮南市化工产业发展潜力分析</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_Toc192757688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42</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"_Toc192757689" </w:instrText>
      </w:r>
      <w:r>
        <w:fldChar w:fldCharType="separate"/>
      </w:r>
      <w:r>
        <w:rPr>
          <w:rStyle w:val="31"/>
          <w:rFonts w:hint="eastAsia" w:ascii="宋体" w:hAnsi="宋体" w:eastAsia="宋体"/>
          <w:i w:val="0"/>
          <w:iCs w:val="0"/>
          <w:sz w:val="24"/>
          <w:szCs w:val="24"/>
        </w:rPr>
        <w:t>5.2.1 优势分析</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_Toc192757689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42</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"_Toc192757690" </w:instrText>
      </w:r>
      <w:r>
        <w:fldChar w:fldCharType="separate"/>
      </w:r>
      <w:r>
        <w:rPr>
          <w:rStyle w:val="31"/>
          <w:rFonts w:hint="eastAsia" w:ascii="宋体" w:hAnsi="宋体" w:eastAsia="宋体"/>
          <w:i w:val="0"/>
          <w:iCs w:val="0"/>
          <w:sz w:val="24"/>
          <w:szCs w:val="24"/>
        </w:rPr>
        <w:t>5.2.2 劣势分析</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_Toc192757690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45</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"_Toc192757691" </w:instrText>
      </w:r>
      <w:r>
        <w:fldChar w:fldCharType="separate"/>
      </w:r>
      <w:r>
        <w:rPr>
          <w:rStyle w:val="31"/>
          <w:rFonts w:hint="eastAsia" w:ascii="宋体" w:hAnsi="宋体" w:eastAsia="宋体"/>
          <w:i w:val="0"/>
          <w:iCs w:val="0"/>
          <w:sz w:val="24"/>
          <w:szCs w:val="24"/>
        </w:rPr>
        <w:t>5.2.3 机遇分析</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_Toc192757691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46</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"_Toc192757692" </w:instrText>
      </w:r>
      <w:r>
        <w:fldChar w:fldCharType="separate"/>
      </w:r>
      <w:r>
        <w:rPr>
          <w:rStyle w:val="31"/>
          <w:rFonts w:hint="eastAsia" w:ascii="宋体" w:hAnsi="宋体" w:eastAsia="宋体"/>
          <w:i w:val="0"/>
          <w:iCs w:val="0"/>
          <w:sz w:val="24"/>
          <w:szCs w:val="24"/>
        </w:rPr>
        <w:t>5.2.4 面临的挑战</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_Toc192757692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46</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"_Toc192757693" </w:instrText>
      </w:r>
      <w:r>
        <w:fldChar w:fldCharType="separate"/>
      </w:r>
      <w:r>
        <w:rPr>
          <w:rStyle w:val="31"/>
          <w:rFonts w:hint="eastAsia"/>
          <w:sz w:val="24"/>
          <w:szCs w:val="24"/>
        </w:rPr>
        <w:t>第六章 产业定位及产品链构成</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_Toc192757693 \h</w:instrText>
      </w:r>
      <w:r>
        <w:rPr>
          <w:rFonts w:hint="eastAsia"/>
          <w:sz w:val="24"/>
          <w:szCs w:val="24"/>
        </w:rPr>
        <w:instrText xml:space="preserve"> </w:instrText>
      </w:r>
      <w:r>
        <w:rPr>
          <w:rFonts w:hint="eastAsia"/>
          <w:sz w:val="24"/>
          <w:szCs w:val="24"/>
        </w:rPr>
        <w:fldChar w:fldCharType="separate"/>
      </w:r>
      <w:r>
        <w:rPr>
          <w:rFonts w:hint="eastAsia"/>
          <w:sz w:val="24"/>
          <w:szCs w:val="24"/>
        </w:rPr>
        <w:t>49</w:t>
      </w:r>
      <w:r>
        <w:rPr>
          <w:rFonts w:hint="eastAsia"/>
          <w:sz w:val="24"/>
          <w:szCs w:val="24"/>
        </w:rPr>
        <w:fldChar w:fldCharType="end"/>
      </w:r>
      <w:r>
        <w:rPr>
          <w:rFonts w:hint="eastAsia"/>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"_Toc192757694" </w:instrText>
      </w:r>
      <w:r>
        <w:fldChar w:fldCharType="separate"/>
      </w:r>
      <w:r>
        <w:rPr>
          <w:rStyle w:val="31"/>
          <w:rFonts w:hint="eastAsia" w:ascii="宋体" w:hAnsi="宋体" w:eastAsia="宋体"/>
          <w:sz w:val="24"/>
          <w:szCs w:val="24"/>
        </w:rPr>
        <w:t>6.1 现有项目情况</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_Toc192757694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49</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"_Toc192757695" </w:instrText>
      </w:r>
      <w:r>
        <w:fldChar w:fldCharType="separate"/>
      </w:r>
      <w:r>
        <w:rPr>
          <w:rStyle w:val="31"/>
          <w:rFonts w:hint="eastAsia" w:ascii="宋体" w:hAnsi="宋体" w:eastAsia="宋体"/>
          <w:sz w:val="24"/>
          <w:szCs w:val="24"/>
        </w:rPr>
        <w:t>6.2 在建项目情况</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_Toc192757695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53</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"_Toc192757696" </w:instrText>
      </w:r>
      <w:r>
        <w:fldChar w:fldCharType="separate"/>
      </w:r>
      <w:r>
        <w:rPr>
          <w:rStyle w:val="31"/>
          <w:rFonts w:hint="eastAsia" w:ascii="宋体" w:hAnsi="宋体" w:eastAsia="宋体"/>
          <w:sz w:val="24"/>
          <w:szCs w:val="24"/>
        </w:rPr>
        <w:t>6.3 未来意向项目情况</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_Toc192757696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54</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"_Toc192757697" </w:instrText>
      </w:r>
      <w:r>
        <w:fldChar w:fldCharType="separate"/>
      </w:r>
      <w:r>
        <w:rPr>
          <w:rStyle w:val="31"/>
          <w:rFonts w:hint="eastAsia" w:ascii="宋体" w:hAnsi="宋体" w:eastAsia="宋体"/>
          <w:sz w:val="24"/>
          <w:szCs w:val="24"/>
        </w:rPr>
        <w:t>6.4 政策协调性分析</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_Toc192757697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55</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"_Toc192757698" </w:instrText>
      </w:r>
      <w:r>
        <w:fldChar w:fldCharType="separate"/>
      </w:r>
      <w:r>
        <w:rPr>
          <w:rStyle w:val="31"/>
          <w:rFonts w:hint="eastAsia" w:ascii="宋体" w:hAnsi="宋体" w:eastAsia="宋体"/>
          <w:sz w:val="24"/>
          <w:szCs w:val="24"/>
        </w:rPr>
        <w:t>6.5 园区产业规划定位</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_Toc192757698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58</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"_Toc192757699" </w:instrText>
      </w:r>
      <w:r>
        <w:fldChar w:fldCharType="separate"/>
      </w:r>
      <w:r>
        <w:rPr>
          <w:rStyle w:val="31"/>
          <w:rFonts w:hint="eastAsia" w:ascii="宋体" w:hAnsi="宋体" w:eastAsia="宋体"/>
          <w:sz w:val="24"/>
          <w:szCs w:val="24"/>
        </w:rPr>
        <w:t>6.6 产业发展情况</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_Toc192757699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59</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"_Toc192757700" </w:instrText>
      </w:r>
      <w:r>
        <w:fldChar w:fldCharType="separate"/>
      </w:r>
      <w:r>
        <w:rPr>
          <w:rStyle w:val="31"/>
          <w:rFonts w:hint="eastAsia" w:ascii="宋体" w:hAnsi="宋体" w:eastAsia="宋体"/>
          <w:i w:val="0"/>
          <w:iCs w:val="0"/>
          <w:sz w:val="24"/>
          <w:szCs w:val="24"/>
        </w:rPr>
        <w:t>6.6.1 精细化工</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_Toc192757700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60</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"_Toc192757701" </w:instrText>
      </w:r>
      <w:r>
        <w:fldChar w:fldCharType="separate"/>
      </w:r>
      <w:r>
        <w:rPr>
          <w:rStyle w:val="31"/>
          <w:rFonts w:hint="eastAsia" w:ascii="宋体" w:hAnsi="宋体" w:eastAsia="宋体"/>
          <w:i w:val="0"/>
          <w:iCs w:val="0"/>
          <w:sz w:val="24"/>
          <w:szCs w:val="24"/>
        </w:rPr>
        <w:t>6.6.2 基础化工（现状产业）</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_Toc192757701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62</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"_Toc192757702" </w:instrText>
      </w:r>
      <w:r>
        <w:fldChar w:fldCharType="separate"/>
      </w:r>
      <w:r>
        <w:rPr>
          <w:rStyle w:val="31"/>
          <w:rFonts w:hint="eastAsia" w:ascii="宋体" w:hAnsi="宋体" w:eastAsia="宋体"/>
          <w:i w:val="0"/>
          <w:iCs w:val="0"/>
          <w:sz w:val="24"/>
          <w:szCs w:val="24"/>
        </w:rPr>
        <w:t>6.6.3产业链图</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_Toc192757702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63</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"_Toc192757703" </w:instrText>
      </w:r>
      <w:r>
        <w:fldChar w:fldCharType="separate"/>
      </w:r>
      <w:r>
        <w:rPr>
          <w:rStyle w:val="31"/>
          <w:rFonts w:hint="eastAsia" w:ascii="宋体" w:hAnsi="宋体" w:eastAsia="宋体"/>
          <w:i w:val="0"/>
          <w:iCs w:val="0"/>
          <w:sz w:val="24"/>
          <w:szCs w:val="24"/>
        </w:rPr>
        <w:t>6.6.4 产业衔接</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_Toc192757703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65</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"_Toc192757704" </w:instrText>
      </w:r>
      <w:r>
        <w:fldChar w:fldCharType="separate"/>
      </w:r>
      <w:r>
        <w:rPr>
          <w:rStyle w:val="31"/>
          <w:rFonts w:hint="eastAsia" w:ascii="宋体" w:hAnsi="宋体" w:eastAsia="宋体"/>
          <w:sz w:val="24"/>
          <w:szCs w:val="24"/>
        </w:rPr>
        <w:t>6.7 下一步工作重点</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_Toc192757704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67</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"_Toc192757705" </w:instrText>
      </w:r>
      <w:r>
        <w:fldChar w:fldCharType="separate"/>
      </w:r>
      <w:r>
        <w:rPr>
          <w:rStyle w:val="31"/>
          <w:rFonts w:hint="eastAsia"/>
          <w:kern w:val="36"/>
          <w:sz w:val="24"/>
          <w:szCs w:val="24"/>
        </w:rPr>
        <w:t>第七章  规划项目效果分析</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_Toc192757705 \h</w:instrText>
      </w:r>
      <w:r>
        <w:rPr>
          <w:rFonts w:hint="eastAsia"/>
          <w:sz w:val="24"/>
          <w:szCs w:val="24"/>
        </w:rPr>
        <w:instrText xml:space="preserve"> </w:instrText>
      </w:r>
      <w:r>
        <w:rPr>
          <w:rFonts w:hint="eastAsia"/>
          <w:sz w:val="24"/>
          <w:szCs w:val="24"/>
        </w:rPr>
        <w:fldChar w:fldCharType="separate"/>
      </w:r>
      <w:r>
        <w:rPr>
          <w:rFonts w:hint="eastAsia"/>
          <w:sz w:val="24"/>
          <w:szCs w:val="24"/>
        </w:rPr>
        <w:t>74</w:t>
      </w:r>
      <w:r>
        <w:rPr>
          <w:rFonts w:hint="eastAsia"/>
          <w:sz w:val="24"/>
          <w:szCs w:val="24"/>
        </w:rPr>
        <w:fldChar w:fldCharType="end"/>
      </w:r>
      <w:r>
        <w:rPr>
          <w:rFonts w:hint="eastAsia"/>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"_Toc192757706" </w:instrText>
      </w:r>
      <w:r>
        <w:fldChar w:fldCharType="separate"/>
      </w:r>
      <w:r>
        <w:rPr>
          <w:rStyle w:val="31"/>
          <w:rFonts w:hint="eastAsia" w:ascii="宋体" w:hAnsi="宋体" w:eastAsia="宋体"/>
          <w:sz w:val="24"/>
          <w:szCs w:val="24"/>
        </w:rPr>
        <w:t>7.1 经济效益分析</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_Toc192757706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74</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"_Toc192757707" </w:instrText>
      </w:r>
      <w:r>
        <w:fldChar w:fldCharType="separate"/>
      </w:r>
      <w:r>
        <w:rPr>
          <w:rStyle w:val="31"/>
          <w:rFonts w:hint="eastAsia" w:ascii="宋体" w:hAnsi="宋体" w:eastAsia="宋体"/>
          <w:i w:val="0"/>
          <w:iCs w:val="0"/>
          <w:sz w:val="24"/>
          <w:szCs w:val="24"/>
        </w:rPr>
        <w:t>7.1.1 规划范围内预测</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_Toc192757707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74</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"_Toc192757708" </w:instrText>
      </w:r>
      <w:r>
        <w:fldChar w:fldCharType="separate"/>
      </w:r>
      <w:r>
        <w:rPr>
          <w:rStyle w:val="31"/>
          <w:rFonts w:hint="eastAsia" w:ascii="宋体" w:hAnsi="宋体" w:eastAsia="宋体"/>
          <w:i w:val="0"/>
          <w:iCs w:val="0"/>
          <w:sz w:val="24"/>
          <w:szCs w:val="24"/>
        </w:rPr>
        <w:t>7.1.2 规划范围外预测</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_Toc192757708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74</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"_Toc192757709" </w:instrText>
      </w:r>
      <w:r>
        <w:fldChar w:fldCharType="separate"/>
      </w:r>
      <w:r>
        <w:rPr>
          <w:rStyle w:val="31"/>
          <w:rFonts w:hint="eastAsia" w:ascii="宋体" w:hAnsi="宋体" w:eastAsia="宋体"/>
          <w:sz w:val="24"/>
          <w:szCs w:val="24"/>
        </w:rPr>
        <w:t>7.2 社会效益分析</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_Toc192757709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75</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"_Toc192757710" </w:instrText>
      </w:r>
      <w:r>
        <w:fldChar w:fldCharType="separate"/>
      </w:r>
      <w:r>
        <w:rPr>
          <w:rStyle w:val="31"/>
          <w:rFonts w:hint="eastAsia" w:ascii="宋体" w:hAnsi="宋体" w:eastAsia="宋体"/>
          <w:i w:val="0"/>
          <w:iCs w:val="0"/>
          <w:sz w:val="24"/>
          <w:szCs w:val="24"/>
        </w:rPr>
        <w:t>7.2.1 是长江三角洲区域一体化发展的重要实践</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_Toc192757710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75</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"_Toc192757711" </w:instrText>
      </w:r>
      <w:r>
        <w:fldChar w:fldCharType="separate"/>
      </w:r>
      <w:r>
        <w:rPr>
          <w:rStyle w:val="31"/>
          <w:rFonts w:hint="eastAsia" w:ascii="宋体" w:hAnsi="宋体" w:eastAsia="宋体"/>
          <w:i w:val="0"/>
          <w:iCs w:val="0"/>
          <w:sz w:val="24"/>
          <w:szCs w:val="24"/>
        </w:rPr>
        <w:t>7.2.2 推动区域经济发展，促进区域经济结构调整</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_Toc192757711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75</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"_Toc192757712" </w:instrText>
      </w:r>
      <w:r>
        <w:fldChar w:fldCharType="separate"/>
      </w:r>
      <w:r>
        <w:rPr>
          <w:rStyle w:val="31"/>
          <w:rFonts w:hint="eastAsia" w:ascii="宋体" w:hAnsi="宋体" w:eastAsia="宋体"/>
          <w:i w:val="0"/>
          <w:iCs w:val="0"/>
          <w:sz w:val="24"/>
          <w:szCs w:val="24"/>
        </w:rPr>
        <w:t>7.2.3 促进就业，提高淮南化工专业技术人才水平</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_Toc192757712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76</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"_Toc192757713" </w:instrText>
      </w:r>
      <w:r>
        <w:fldChar w:fldCharType="separate"/>
      </w:r>
      <w:r>
        <w:rPr>
          <w:rStyle w:val="31"/>
          <w:rFonts w:hint="eastAsia" w:ascii="宋体" w:hAnsi="宋体" w:eastAsia="宋体"/>
          <w:i w:val="0"/>
          <w:iCs w:val="0"/>
          <w:sz w:val="24"/>
          <w:szCs w:val="24"/>
        </w:rPr>
        <w:t>7.2.4 有利于改善投资环境</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_Toc192757713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76</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"_Toc192757714" </w:instrText>
      </w:r>
      <w:r>
        <w:fldChar w:fldCharType="separate"/>
      </w:r>
      <w:r>
        <w:rPr>
          <w:rStyle w:val="31"/>
          <w:rFonts w:hint="eastAsia" w:ascii="宋体" w:hAnsi="宋体" w:eastAsia="宋体"/>
          <w:sz w:val="24"/>
          <w:szCs w:val="24"/>
        </w:rPr>
        <w:t>7.3 安全效益分析</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_Toc192757714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76</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"_Toc192757715" </w:instrText>
      </w:r>
      <w:r>
        <w:fldChar w:fldCharType="separate"/>
      </w:r>
      <w:r>
        <w:rPr>
          <w:rStyle w:val="31"/>
          <w:rFonts w:hint="eastAsia" w:ascii="宋体" w:hAnsi="宋体" w:eastAsia="宋体"/>
          <w:i w:val="0"/>
          <w:iCs w:val="0"/>
          <w:sz w:val="24"/>
          <w:szCs w:val="24"/>
        </w:rPr>
        <w:t>7.3.1 安全生产+信息化</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_Toc192757715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76</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"_Toc192757716" </w:instrText>
      </w:r>
      <w:r>
        <w:fldChar w:fldCharType="separate"/>
      </w:r>
      <w:r>
        <w:rPr>
          <w:rStyle w:val="31"/>
          <w:rFonts w:hint="eastAsia" w:ascii="宋体" w:hAnsi="宋体" w:eastAsia="宋体"/>
          <w:i w:val="0"/>
          <w:iCs w:val="0"/>
          <w:sz w:val="24"/>
          <w:szCs w:val="24"/>
        </w:rPr>
        <w:t>7.3.2 安全管理投资</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_Toc192757716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78</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"_Toc192757717" </w:instrText>
      </w:r>
      <w:r>
        <w:fldChar w:fldCharType="separate"/>
      </w:r>
      <w:r>
        <w:rPr>
          <w:rStyle w:val="31"/>
          <w:rFonts w:hint="eastAsia" w:ascii="宋体" w:hAnsi="宋体" w:eastAsia="宋体"/>
          <w:i w:val="0"/>
          <w:iCs w:val="0"/>
          <w:sz w:val="24"/>
          <w:szCs w:val="24"/>
        </w:rPr>
        <w:t>7.3.3 特种设备安全</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_Toc192757717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78</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"_Toc192757718" </w:instrText>
      </w:r>
      <w:r>
        <w:fldChar w:fldCharType="separate"/>
      </w:r>
      <w:r>
        <w:rPr>
          <w:rStyle w:val="31"/>
          <w:rFonts w:hint="eastAsia" w:ascii="宋体" w:hAnsi="宋体" w:eastAsia="宋体"/>
          <w:sz w:val="24"/>
          <w:szCs w:val="24"/>
        </w:rPr>
        <w:t>7.4 生态效益分析</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_Toc192757718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79</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"_Toc192757719" </w:instrText>
      </w:r>
      <w:r>
        <w:fldChar w:fldCharType="separate"/>
      </w:r>
      <w:r>
        <w:rPr>
          <w:rStyle w:val="31"/>
          <w:rFonts w:hint="eastAsia" w:ascii="宋体" w:hAnsi="宋体" w:eastAsia="宋体"/>
          <w:i w:val="0"/>
          <w:iCs w:val="0"/>
          <w:sz w:val="24"/>
          <w:szCs w:val="24"/>
        </w:rPr>
        <w:t>7.4.1 推行清洁生产，从源头上控制污染物产生</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_Toc192757719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79</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"_Toc192757720" </w:instrText>
      </w:r>
      <w:r>
        <w:fldChar w:fldCharType="separate"/>
      </w:r>
      <w:r>
        <w:rPr>
          <w:rStyle w:val="31"/>
          <w:rFonts w:hint="eastAsia" w:ascii="宋体" w:hAnsi="宋体" w:eastAsia="宋体"/>
          <w:i w:val="0"/>
          <w:iCs w:val="0"/>
          <w:sz w:val="24"/>
          <w:szCs w:val="24"/>
        </w:rPr>
        <w:t>7.4.2 采用先进末端治理工艺，削减污染物排放总量</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_Toc192757720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79</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"_Toc192757721" </w:instrText>
      </w:r>
      <w:r>
        <w:fldChar w:fldCharType="separate"/>
      </w:r>
      <w:r>
        <w:rPr>
          <w:rStyle w:val="31"/>
          <w:rFonts w:hint="eastAsia" w:ascii="宋体" w:hAnsi="宋体" w:eastAsia="宋体"/>
          <w:i w:val="0"/>
          <w:iCs w:val="0"/>
          <w:sz w:val="24"/>
          <w:szCs w:val="24"/>
        </w:rPr>
        <w:t>7.4.3 全面推进碳达峰与碳中和</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_Toc192757721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80</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"_Toc192757722" </w:instrText>
      </w:r>
      <w:r>
        <w:fldChar w:fldCharType="separate"/>
      </w:r>
      <w:r>
        <w:rPr>
          <w:rStyle w:val="31"/>
          <w:rFonts w:hint="eastAsia" w:ascii="宋体" w:hAnsi="宋体" w:eastAsia="宋体"/>
          <w:i w:val="0"/>
          <w:iCs w:val="0"/>
          <w:sz w:val="24"/>
          <w:szCs w:val="24"/>
        </w:rPr>
        <w:t>7.4.4 产业园区环境管理</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_Toc192757722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80</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"_Toc192757723" </w:instrText>
      </w:r>
      <w:r>
        <w:fldChar w:fldCharType="separate"/>
      </w:r>
      <w:r>
        <w:rPr>
          <w:rStyle w:val="31"/>
          <w:rFonts w:hint="eastAsia" w:ascii="宋体" w:hAnsi="宋体" w:eastAsia="宋体"/>
          <w:sz w:val="24"/>
          <w:szCs w:val="24"/>
        </w:rPr>
        <w:t>7.5 产业规划效果</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_Toc192757723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83</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"_Toc192757724" </w:instrText>
      </w:r>
      <w:r>
        <w:fldChar w:fldCharType="separate"/>
      </w:r>
      <w:r>
        <w:rPr>
          <w:rStyle w:val="31"/>
          <w:rFonts w:hint="eastAsia" w:ascii="宋体" w:hAnsi="宋体" w:eastAsia="宋体"/>
          <w:i w:val="0"/>
          <w:iCs w:val="0"/>
          <w:sz w:val="24"/>
          <w:szCs w:val="24"/>
        </w:rPr>
        <w:t>7.5.1 产业目标</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_Toc192757724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83</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1"/>
        <w:tabs>
          <w:tab w:val="right" w:leader="dot" w:pos="9130"/>
        </w:tabs>
        <w:ind w:firstLine="400"/>
        <w:rPr>
          <w:rFonts w:hint="eastAsia" w:ascii="宋体" w:hAnsi="宋体" w:eastAsia="宋体" w:cstheme="minorBidi"/>
          <w:i w:val="0"/>
          <w:iCs w:val="0"/>
          <w:color w:val="auto"/>
          <w:kern w:val="2"/>
          <w:sz w:val="24"/>
          <w:szCs w:val="24"/>
          <w:lang w:bidi="ar-SA"/>
          <w14:ligatures w14:val="standardContextual"/>
        </w:rPr>
      </w:pPr>
      <w:r>
        <w:fldChar w:fldCharType="begin"/>
      </w:r>
      <w:r>
        <w:instrText xml:space="preserve"> HYPERLINK \l "_Toc192757725" </w:instrText>
      </w:r>
      <w:r>
        <w:fldChar w:fldCharType="separate"/>
      </w:r>
      <w:r>
        <w:rPr>
          <w:rStyle w:val="31"/>
          <w:rFonts w:hint="eastAsia" w:ascii="宋体" w:hAnsi="宋体" w:eastAsia="宋体"/>
          <w:i w:val="0"/>
          <w:iCs w:val="0"/>
          <w:sz w:val="24"/>
          <w:szCs w:val="24"/>
        </w:rPr>
        <w:t>7.5.2 规划工作重点</w:t>
      </w:r>
      <w:r>
        <w:rPr>
          <w:rFonts w:hint="eastAsia" w:ascii="宋体" w:hAnsi="宋体" w:eastAsia="宋体"/>
          <w:i w:val="0"/>
          <w:iCs w:val="0"/>
          <w:sz w:val="24"/>
          <w:szCs w:val="24"/>
        </w:rPr>
        <w:tab/>
      </w:r>
      <w:r>
        <w:rPr>
          <w:rFonts w:hint="eastAsia" w:ascii="宋体" w:hAnsi="宋体" w:eastAsia="宋体"/>
          <w:i w:val="0"/>
          <w:iCs w:val="0"/>
          <w:sz w:val="24"/>
          <w:szCs w:val="24"/>
        </w:rPr>
        <w:fldChar w:fldCharType="begin"/>
      </w:r>
      <w:r>
        <w:rPr>
          <w:rFonts w:hint="eastAsia" w:ascii="宋体" w:hAnsi="宋体" w:eastAsia="宋体"/>
          <w:i w:val="0"/>
          <w:iCs w:val="0"/>
          <w:sz w:val="24"/>
          <w:szCs w:val="24"/>
        </w:rPr>
        <w:instrText xml:space="preserve"> </w:instrText>
      </w:r>
      <w:r>
        <w:rPr>
          <w:rFonts w:ascii="宋体" w:hAnsi="宋体" w:eastAsia="宋体"/>
          <w:i w:val="0"/>
          <w:iCs w:val="0"/>
          <w:sz w:val="24"/>
          <w:szCs w:val="24"/>
        </w:rPr>
        <w:instrText xml:space="preserve">PAGEREF _Toc192757725 \h</w:instrText>
      </w:r>
      <w:r>
        <w:rPr>
          <w:rFonts w:hint="eastAsia" w:ascii="宋体" w:hAnsi="宋体" w:eastAsia="宋体"/>
          <w:i w:val="0"/>
          <w:iCs w:val="0"/>
          <w:sz w:val="24"/>
          <w:szCs w:val="24"/>
        </w:rPr>
        <w:instrText xml:space="preserve"> </w:instrText>
      </w:r>
      <w:r>
        <w:rPr>
          <w:rFonts w:hint="eastAsia" w:ascii="宋体" w:hAnsi="宋体" w:eastAsia="宋体"/>
          <w:i w:val="0"/>
          <w:iCs w:val="0"/>
          <w:sz w:val="24"/>
          <w:szCs w:val="24"/>
        </w:rPr>
        <w:fldChar w:fldCharType="separate"/>
      </w:r>
      <w:r>
        <w:rPr>
          <w:rFonts w:ascii="宋体" w:hAnsi="宋体" w:eastAsia="宋体"/>
          <w:i w:val="0"/>
          <w:iCs w:val="0"/>
          <w:sz w:val="24"/>
          <w:szCs w:val="24"/>
        </w:rPr>
        <w:t>83</w:t>
      </w:r>
      <w:r>
        <w:rPr>
          <w:rFonts w:hint="eastAsia" w:ascii="宋体" w:hAnsi="宋体" w:eastAsia="宋体"/>
          <w:i w:val="0"/>
          <w:iCs w:val="0"/>
          <w:sz w:val="24"/>
          <w:szCs w:val="24"/>
        </w:rPr>
        <w:fldChar w:fldCharType="end"/>
      </w:r>
      <w:r>
        <w:rPr>
          <w:rFonts w:hint="eastAsia" w:ascii="宋体" w:hAnsi="宋体" w:eastAsia="宋体"/>
          <w:i w:val="0"/>
          <w:iCs w:val="0"/>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"_Toc192757726" </w:instrText>
      </w:r>
      <w:r>
        <w:fldChar w:fldCharType="separate"/>
      </w:r>
      <w:r>
        <w:rPr>
          <w:rStyle w:val="31"/>
          <w:rFonts w:hint="eastAsia"/>
          <w:sz w:val="24"/>
          <w:szCs w:val="24"/>
        </w:rPr>
        <w:t>第八章 产业安全发展</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_Toc192757726 \h</w:instrText>
      </w:r>
      <w:r>
        <w:rPr>
          <w:rFonts w:hint="eastAsia"/>
          <w:sz w:val="24"/>
          <w:szCs w:val="24"/>
        </w:rPr>
        <w:instrText xml:space="preserve"> </w:instrText>
      </w:r>
      <w:r>
        <w:rPr>
          <w:rFonts w:hint="eastAsia"/>
          <w:sz w:val="24"/>
          <w:szCs w:val="24"/>
        </w:rPr>
        <w:fldChar w:fldCharType="separate"/>
      </w:r>
      <w:r>
        <w:rPr>
          <w:rFonts w:hint="eastAsia"/>
          <w:sz w:val="24"/>
          <w:szCs w:val="24"/>
        </w:rPr>
        <w:t>84</w:t>
      </w:r>
      <w:r>
        <w:rPr>
          <w:rFonts w:hint="eastAsia"/>
          <w:sz w:val="24"/>
          <w:szCs w:val="24"/>
        </w:rPr>
        <w:fldChar w:fldCharType="end"/>
      </w:r>
      <w:r>
        <w:rPr>
          <w:rFonts w:hint="eastAsia"/>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"_Toc192757727" </w:instrText>
      </w:r>
      <w:r>
        <w:fldChar w:fldCharType="separate"/>
      </w:r>
      <w:r>
        <w:rPr>
          <w:rStyle w:val="31"/>
          <w:rFonts w:hint="eastAsia" w:ascii="宋体" w:hAnsi="宋体" w:eastAsia="宋体"/>
          <w:sz w:val="24"/>
          <w:szCs w:val="24"/>
        </w:rPr>
        <w:t>8.1 国家政策推动</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_Toc192757727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84</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"_Toc192757728" </w:instrText>
      </w:r>
      <w:r>
        <w:fldChar w:fldCharType="separate"/>
      </w:r>
      <w:r>
        <w:rPr>
          <w:rStyle w:val="31"/>
          <w:rFonts w:hint="eastAsia" w:ascii="宋体" w:hAnsi="宋体" w:eastAsia="宋体"/>
          <w:sz w:val="24"/>
          <w:szCs w:val="24"/>
        </w:rPr>
        <w:t>8.2 园区自身需求</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_Toc192757728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85</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"_Toc192757729" </w:instrText>
      </w:r>
      <w:r>
        <w:fldChar w:fldCharType="separate"/>
      </w:r>
      <w:r>
        <w:rPr>
          <w:rStyle w:val="31"/>
          <w:rFonts w:hint="eastAsia" w:ascii="宋体" w:hAnsi="宋体" w:eastAsia="宋体"/>
          <w:sz w:val="24"/>
          <w:szCs w:val="24"/>
        </w:rPr>
        <w:t>8.3 安全管理目标</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_Toc192757729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85</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"_Toc192757730" </w:instrText>
      </w:r>
      <w:r>
        <w:fldChar w:fldCharType="separate"/>
      </w:r>
      <w:r>
        <w:rPr>
          <w:rStyle w:val="31"/>
          <w:rFonts w:hint="eastAsia" w:ascii="宋体" w:hAnsi="宋体" w:eastAsia="宋体"/>
          <w:sz w:val="24"/>
          <w:szCs w:val="24"/>
        </w:rPr>
        <w:t>8.4 管理体系建立</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_Toc192757730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86</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"_Toc192757731" </w:instrText>
      </w:r>
      <w:r>
        <w:fldChar w:fldCharType="separate"/>
      </w:r>
      <w:r>
        <w:rPr>
          <w:rStyle w:val="31"/>
          <w:rFonts w:hint="eastAsia"/>
          <w:sz w:val="24"/>
          <w:szCs w:val="24"/>
        </w:rPr>
        <w:t>第九章 保障措施</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_Toc192757731 \h</w:instrText>
      </w:r>
      <w:r>
        <w:rPr>
          <w:rFonts w:hint="eastAsia"/>
          <w:sz w:val="24"/>
          <w:szCs w:val="24"/>
        </w:rPr>
        <w:instrText xml:space="preserve"> </w:instrText>
      </w:r>
      <w:r>
        <w:rPr>
          <w:rFonts w:hint="eastAsia"/>
          <w:sz w:val="24"/>
          <w:szCs w:val="24"/>
        </w:rPr>
        <w:fldChar w:fldCharType="separate"/>
      </w:r>
      <w:r>
        <w:rPr>
          <w:rFonts w:hint="eastAsia"/>
          <w:sz w:val="24"/>
          <w:szCs w:val="24"/>
        </w:rPr>
        <w:t>87</w:t>
      </w:r>
      <w:r>
        <w:rPr>
          <w:rFonts w:hint="eastAsia"/>
          <w:sz w:val="24"/>
          <w:szCs w:val="24"/>
        </w:rPr>
        <w:fldChar w:fldCharType="end"/>
      </w:r>
      <w:r>
        <w:rPr>
          <w:rFonts w:hint="eastAsia"/>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"_Toc192757732" </w:instrText>
      </w:r>
      <w:r>
        <w:fldChar w:fldCharType="separate"/>
      </w:r>
      <w:r>
        <w:rPr>
          <w:rStyle w:val="31"/>
          <w:rFonts w:hint="eastAsia" w:ascii="宋体" w:hAnsi="宋体" w:eastAsia="宋体"/>
          <w:sz w:val="24"/>
          <w:szCs w:val="24"/>
        </w:rPr>
        <w:t>9.1 强化组织协调机制</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_Toc192757732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87</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"_Toc192757733" </w:instrText>
      </w:r>
      <w:r>
        <w:fldChar w:fldCharType="separate"/>
      </w:r>
      <w:r>
        <w:rPr>
          <w:rStyle w:val="31"/>
          <w:rFonts w:hint="eastAsia" w:ascii="宋体" w:hAnsi="宋体" w:eastAsia="宋体"/>
          <w:sz w:val="24"/>
          <w:szCs w:val="24"/>
        </w:rPr>
        <w:t>9.2 推行智慧安全管理</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_Toc192757733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88</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"_Toc192757734" </w:instrText>
      </w:r>
      <w:r>
        <w:fldChar w:fldCharType="separate"/>
      </w:r>
      <w:r>
        <w:rPr>
          <w:rStyle w:val="31"/>
          <w:rFonts w:hint="eastAsia" w:ascii="宋体" w:hAnsi="宋体" w:eastAsia="宋体"/>
          <w:sz w:val="24"/>
          <w:szCs w:val="24"/>
        </w:rPr>
        <w:t>9.3 提升环境承载能力</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_Toc192757734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88</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"_Toc192757735" </w:instrText>
      </w:r>
      <w:r>
        <w:fldChar w:fldCharType="separate"/>
      </w:r>
      <w:r>
        <w:rPr>
          <w:rStyle w:val="31"/>
          <w:rFonts w:hint="eastAsia" w:ascii="宋体" w:hAnsi="宋体" w:eastAsia="宋体"/>
          <w:sz w:val="24"/>
          <w:szCs w:val="24"/>
        </w:rPr>
        <w:t>9.4 加强技术支撑作用</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_Toc192757735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90</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"_Toc192757736" </w:instrText>
      </w:r>
      <w:r>
        <w:fldChar w:fldCharType="separate"/>
      </w:r>
      <w:r>
        <w:rPr>
          <w:rStyle w:val="31"/>
          <w:rFonts w:hint="eastAsia" w:ascii="宋体" w:hAnsi="宋体" w:eastAsia="宋体"/>
          <w:sz w:val="24"/>
          <w:szCs w:val="24"/>
        </w:rPr>
        <w:t>9.5 加快人才队伍建设</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_Toc192757736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90</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"_Toc192757737" </w:instrText>
      </w:r>
      <w:r>
        <w:fldChar w:fldCharType="separate"/>
      </w:r>
      <w:r>
        <w:rPr>
          <w:rStyle w:val="31"/>
          <w:rFonts w:hint="eastAsia" w:ascii="宋体" w:hAnsi="宋体" w:eastAsia="宋体"/>
          <w:sz w:val="24"/>
          <w:szCs w:val="24"/>
        </w:rPr>
        <w:t>9.6 拓展对外合作机会</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_Toc192757737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91</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"_Toc192757738" </w:instrText>
      </w:r>
      <w:r>
        <w:fldChar w:fldCharType="separate"/>
      </w:r>
      <w:r>
        <w:rPr>
          <w:rStyle w:val="31"/>
          <w:rFonts w:hint="eastAsia" w:ascii="宋体" w:hAnsi="宋体" w:eastAsia="宋体"/>
          <w:sz w:val="24"/>
          <w:szCs w:val="24"/>
        </w:rPr>
        <w:t>9.7 加大招商引资力度</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_Toc192757738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91</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"_Toc192757739" </w:instrText>
      </w:r>
      <w:r>
        <w:fldChar w:fldCharType="separate"/>
      </w:r>
      <w:r>
        <w:rPr>
          <w:rStyle w:val="31"/>
          <w:rFonts w:hint="eastAsia" w:ascii="宋体" w:hAnsi="宋体" w:eastAsia="宋体"/>
          <w:sz w:val="24"/>
          <w:szCs w:val="24"/>
        </w:rPr>
        <w:t>9.8 产学研及中试基地</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_Toc192757739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91</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"_Toc192757740" </w:instrText>
      </w:r>
      <w:r>
        <w:fldChar w:fldCharType="separate"/>
      </w:r>
      <w:r>
        <w:rPr>
          <w:rStyle w:val="31"/>
          <w:rFonts w:hint="eastAsia" w:ascii="宋体" w:hAnsi="宋体" w:eastAsia="宋体"/>
          <w:sz w:val="24"/>
          <w:szCs w:val="24"/>
        </w:rPr>
        <w:t>9.9 入园项目论证制度</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_Toc192757740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92</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"_Toc192757741" </w:instrText>
      </w:r>
      <w:r>
        <w:fldChar w:fldCharType="separate"/>
      </w:r>
      <w:r>
        <w:rPr>
          <w:rStyle w:val="31"/>
          <w:rFonts w:hint="eastAsia" w:ascii="宋体" w:hAnsi="宋体" w:eastAsia="宋体"/>
          <w:sz w:val="24"/>
          <w:szCs w:val="24"/>
        </w:rPr>
        <w:t>9.10 安全环保基础保障</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_Toc192757741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92</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"_Toc192757742" </w:instrText>
      </w:r>
      <w:r>
        <w:fldChar w:fldCharType="separate"/>
      </w:r>
      <w:r>
        <w:rPr>
          <w:rStyle w:val="31"/>
          <w:rFonts w:hint="eastAsia"/>
          <w:sz w:val="24"/>
          <w:szCs w:val="24"/>
        </w:rPr>
        <w:t>第十章 规划结论及建议</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_Toc192757742 \h</w:instrText>
      </w:r>
      <w:r>
        <w:rPr>
          <w:rFonts w:hint="eastAsia"/>
          <w:sz w:val="24"/>
          <w:szCs w:val="24"/>
        </w:rPr>
        <w:instrText xml:space="preserve"> </w:instrText>
      </w:r>
      <w:r>
        <w:rPr>
          <w:rFonts w:hint="eastAsia"/>
          <w:sz w:val="24"/>
          <w:szCs w:val="24"/>
        </w:rPr>
        <w:fldChar w:fldCharType="separate"/>
      </w:r>
      <w:r>
        <w:rPr>
          <w:rFonts w:hint="eastAsia"/>
          <w:sz w:val="24"/>
          <w:szCs w:val="24"/>
        </w:rPr>
        <w:t>93</w:t>
      </w:r>
      <w:r>
        <w:rPr>
          <w:rFonts w:hint="eastAsia"/>
          <w:sz w:val="24"/>
          <w:szCs w:val="24"/>
        </w:rPr>
        <w:fldChar w:fldCharType="end"/>
      </w:r>
      <w:r>
        <w:rPr>
          <w:rFonts w:hint="eastAsia"/>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"_Toc192757743" </w:instrText>
      </w:r>
      <w:r>
        <w:fldChar w:fldCharType="separate"/>
      </w:r>
      <w:r>
        <w:rPr>
          <w:rStyle w:val="31"/>
          <w:rFonts w:hint="eastAsia" w:ascii="宋体" w:hAnsi="宋体" w:eastAsia="宋体"/>
          <w:sz w:val="24"/>
          <w:szCs w:val="24"/>
        </w:rPr>
        <w:t>10.1 规划结论</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_Toc192757743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93</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20"/>
        <w:tabs>
          <w:tab w:val="right" w:leader="dot" w:pos="9130"/>
        </w:tabs>
        <w:ind w:firstLine="400"/>
        <w:rPr>
          <w:rFonts w:hint="eastAsia" w:ascii="宋体" w:hAnsi="宋体" w:eastAsia="宋体" w:cstheme="minorBidi"/>
          <w:smallCaps w:val="0"/>
          <w:color w:val="auto"/>
          <w:kern w:val="2"/>
          <w:sz w:val="24"/>
          <w:szCs w:val="24"/>
          <w:lang w:bidi="ar-SA"/>
          <w14:ligatures w14:val="standardContextual"/>
        </w:rPr>
      </w:pPr>
      <w:r>
        <w:fldChar w:fldCharType="begin"/>
      </w:r>
      <w:r>
        <w:instrText xml:space="preserve"> HYPERLINK \l "_Toc192757744" </w:instrText>
      </w:r>
      <w:r>
        <w:fldChar w:fldCharType="separate"/>
      </w:r>
      <w:r>
        <w:rPr>
          <w:rStyle w:val="31"/>
          <w:rFonts w:hint="eastAsia" w:ascii="宋体" w:hAnsi="宋体" w:eastAsia="宋体"/>
          <w:sz w:val="24"/>
          <w:szCs w:val="24"/>
        </w:rPr>
        <w:t>10.1 建议</w:t>
      </w:r>
      <w:r>
        <w:rPr>
          <w:rFonts w:hint="eastAsia" w:ascii="宋体" w:hAnsi="宋体" w:eastAsia="宋体"/>
          <w:sz w:val="24"/>
          <w:szCs w:val="24"/>
        </w:rPr>
        <w:tab/>
      </w:r>
      <w:r>
        <w:rPr>
          <w:rFonts w:hint="eastAsia" w:ascii="宋体" w:hAnsi="宋体" w:eastAsia="宋体"/>
          <w:sz w:val="24"/>
          <w:szCs w:val="24"/>
        </w:rPr>
        <w:fldChar w:fldCharType="begin"/>
      </w:r>
      <w:r>
        <w:rPr>
          <w:rFonts w:hint="eastAsia" w:ascii="宋体" w:hAnsi="宋体" w:eastAsia="宋体"/>
          <w:sz w:val="24"/>
          <w:szCs w:val="24"/>
        </w:rPr>
        <w:instrText xml:space="preserve"> </w:instrText>
      </w:r>
      <w:r>
        <w:rPr>
          <w:rFonts w:ascii="宋体" w:hAnsi="宋体" w:eastAsia="宋体"/>
          <w:sz w:val="24"/>
          <w:szCs w:val="24"/>
        </w:rPr>
        <w:instrText xml:space="preserve">PAGEREF _Toc192757744 \h</w:instrText>
      </w:r>
      <w:r>
        <w:rPr>
          <w:rFonts w:hint="eastAsia" w:ascii="宋体" w:hAnsi="宋体" w:eastAsia="宋体"/>
          <w:sz w:val="24"/>
          <w:szCs w:val="24"/>
        </w:rPr>
        <w:instrText xml:space="preserve"> </w:instrText>
      </w:r>
      <w:r>
        <w:rPr>
          <w:rFonts w:hint="eastAsia" w:ascii="宋体" w:hAnsi="宋体" w:eastAsia="宋体"/>
          <w:sz w:val="24"/>
          <w:szCs w:val="24"/>
        </w:rPr>
        <w:fldChar w:fldCharType="separate"/>
      </w:r>
      <w:r>
        <w:rPr>
          <w:rFonts w:ascii="宋体" w:hAnsi="宋体" w:eastAsia="宋体"/>
          <w:sz w:val="24"/>
          <w:szCs w:val="24"/>
        </w:rPr>
        <w:t>93</w:t>
      </w:r>
      <w:r>
        <w:rPr>
          <w:rFonts w:hint="eastAsia" w:ascii="宋体" w:hAnsi="宋体" w:eastAsia="宋体"/>
          <w:sz w:val="24"/>
          <w:szCs w:val="24"/>
        </w:rPr>
        <w:fldChar w:fldCharType="end"/>
      </w:r>
      <w:r>
        <w:rPr>
          <w:rFonts w:hint="eastAsia" w:ascii="宋体" w:hAnsi="宋体" w:eastAsia="宋体"/>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"_Toc192757745" </w:instrText>
      </w:r>
      <w:r>
        <w:fldChar w:fldCharType="separate"/>
      </w:r>
      <w:r>
        <w:rPr>
          <w:rStyle w:val="31"/>
          <w:rFonts w:hint="eastAsia"/>
          <w:sz w:val="24"/>
          <w:szCs w:val="24"/>
        </w:rPr>
        <w:t>附件一</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_Toc192757745 \h</w:instrText>
      </w:r>
      <w:r>
        <w:rPr>
          <w:rFonts w:hint="eastAsia"/>
          <w:sz w:val="24"/>
          <w:szCs w:val="24"/>
        </w:rPr>
        <w:instrText xml:space="preserve"> </w:instrText>
      </w:r>
      <w:r>
        <w:rPr>
          <w:rFonts w:hint="eastAsia"/>
          <w:sz w:val="24"/>
          <w:szCs w:val="24"/>
        </w:rPr>
        <w:fldChar w:fldCharType="separate"/>
      </w:r>
      <w:r>
        <w:rPr>
          <w:rFonts w:hint="eastAsia"/>
          <w:sz w:val="24"/>
          <w:szCs w:val="24"/>
        </w:rPr>
        <w:t>94</w:t>
      </w:r>
      <w:r>
        <w:rPr>
          <w:rFonts w:hint="eastAsia"/>
          <w:sz w:val="24"/>
          <w:szCs w:val="24"/>
        </w:rPr>
        <w:fldChar w:fldCharType="end"/>
      </w:r>
      <w:r>
        <w:rPr>
          <w:rFonts w:hint="eastAsia"/>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"_Toc192757746" </w:instrText>
      </w:r>
      <w:r>
        <w:fldChar w:fldCharType="separate"/>
      </w:r>
      <w:r>
        <w:rPr>
          <w:rStyle w:val="31"/>
          <w:rFonts w:hint="eastAsia"/>
          <w:sz w:val="24"/>
          <w:szCs w:val="24"/>
        </w:rPr>
        <w:t>附件二</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_Toc192757746 \h</w:instrText>
      </w:r>
      <w:r>
        <w:rPr>
          <w:rFonts w:hint="eastAsia"/>
          <w:sz w:val="24"/>
          <w:szCs w:val="24"/>
        </w:rPr>
        <w:instrText xml:space="preserve"> </w:instrText>
      </w:r>
      <w:r>
        <w:rPr>
          <w:rFonts w:hint="eastAsia"/>
          <w:sz w:val="24"/>
          <w:szCs w:val="24"/>
        </w:rPr>
        <w:fldChar w:fldCharType="separate"/>
      </w:r>
      <w:r>
        <w:rPr>
          <w:rFonts w:hint="eastAsia"/>
          <w:sz w:val="24"/>
          <w:szCs w:val="24"/>
        </w:rPr>
        <w:t>98</w:t>
      </w:r>
      <w:r>
        <w:rPr>
          <w:rFonts w:hint="eastAsia"/>
          <w:sz w:val="24"/>
          <w:szCs w:val="24"/>
        </w:rPr>
        <w:fldChar w:fldCharType="end"/>
      </w:r>
      <w:r>
        <w:rPr>
          <w:rFonts w:hint="eastAsia"/>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"_Toc192757747" </w:instrText>
      </w:r>
      <w:r>
        <w:fldChar w:fldCharType="separate"/>
      </w:r>
      <w:r>
        <w:rPr>
          <w:rStyle w:val="31"/>
          <w:rFonts w:hint="eastAsia"/>
          <w:sz w:val="24"/>
          <w:szCs w:val="24"/>
        </w:rPr>
        <w:t>附件三 禁限控目录</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_Toc192757747 \h</w:instrText>
      </w:r>
      <w:r>
        <w:rPr>
          <w:rFonts w:hint="eastAsia"/>
          <w:sz w:val="24"/>
          <w:szCs w:val="24"/>
        </w:rPr>
        <w:instrText xml:space="preserve"> </w:instrText>
      </w:r>
      <w:r>
        <w:rPr>
          <w:rFonts w:hint="eastAsia"/>
          <w:sz w:val="24"/>
          <w:szCs w:val="24"/>
        </w:rPr>
        <w:fldChar w:fldCharType="separate"/>
      </w:r>
      <w:r>
        <w:rPr>
          <w:rFonts w:hint="eastAsia"/>
          <w:sz w:val="24"/>
          <w:szCs w:val="24"/>
        </w:rPr>
        <w:t>101</w:t>
      </w:r>
      <w:r>
        <w:rPr>
          <w:rFonts w:hint="eastAsia"/>
          <w:sz w:val="24"/>
          <w:szCs w:val="24"/>
        </w:rPr>
        <w:fldChar w:fldCharType="end"/>
      </w:r>
      <w:r>
        <w:rPr>
          <w:rFonts w:hint="eastAsia"/>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"_Toc192757748" </w:instrText>
      </w:r>
      <w:r>
        <w:fldChar w:fldCharType="separate"/>
      </w:r>
      <w:r>
        <w:rPr>
          <w:rStyle w:val="31"/>
          <w:rFonts w:hint="eastAsia"/>
          <w:sz w:val="24"/>
          <w:szCs w:val="24"/>
        </w:rPr>
        <w:t>附件四 原产业规划批文</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_Toc192757748 \h</w:instrText>
      </w:r>
      <w:r>
        <w:rPr>
          <w:rFonts w:hint="eastAsia"/>
          <w:sz w:val="24"/>
          <w:szCs w:val="24"/>
        </w:rPr>
        <w:instrText xml:space="preserve"> </w:instrText>
      </w:r>
      <w:r>
        <w:rPr>
          <w:rFonts w:hint="eastAsia"/>
          <w:sz w:val="24"/>
          <w:szCs w:val="24"/>
        </w:rPr>
        <w:fldChar w:fldCharType="separate"/>
      </w:r>
      <w:r>
        <w:rPr>
          <w:rFonts w:hint="eastAsia"/>
          <w:sz w:val="24"/>
          <w:szCs w:val="24"/>
        </w:rPr>
        <w:t>165</w:t>
      </w:r>
      <w:r>
        <w:rPr>
          <w:rFonts w:hint="eastAsia"/>
          <w:sz w:val="24"/>
          <w:szCs w:val="24"/>
        </w:rPr>
        <w:fldChar w:fldCharType="end"/>
      </w:r>
      <w:r>
        <w:rPr>
          <w:rFonts w:hint="eastAsia"/>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"_Toc192757749" </w:instrText>
      </w:r>
      <w:r>
        <w:fldChar w:fldCharType="separate"/>
      </w:r>
      <w:r>
        <w:rPr>
          <w:rStyle w:val="31"/>
          <w:rFonts w:hint="eastAsia"/>
          <w:sz w:val="24"/>
          <w:szCs w:val="24"/>
        </w:rPr>
        <w:t>附件五 产业分区布置图</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_Toc192757749 \h</w:instrText>
      </w:r>
      <w:r>
        <w:rPr>
          <w:rFonts w:hint="eastAsia"/>
          <w:sz w:val="24"/>
          <w:szCs w:val="24"/>
        </w:rPr>
        <w:instrText xml:space="preserve"> </w:instrText>
      </w:r>
      <w:r>
        <w:rPr>
          <w:rFonts w:hint="eastAsia"/>
          <w:sz w:val="24"/>
          <w:szCs w:val="24"/>
        </w:rPr>
        <w:fldChar w:fldCharType="separate"/>
      </w:r>
      <w:r>
        <w:rPr>
          <w:rFonts w:hint="eastAsia"/>
          <w:sz w:val="24"/>
          <w:szCs w:val="24"/>
        </w:rPr>
        <w:t>167</w:t>
      </w:r>
      <w:r>
        <w:rPr>
          <w:rFonts w:hint="eastAsia"/>
          <w:sz w:val="24"/>
          <w:szCs w:val="24"/>
        </w:rPr>
        <w:fldChar w:fldCharType="end"/>
      </w:r>
      <w:r>
        <w:rPr>
          <w:rFonts w:hint="eastAsia"/>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"_Toc192757750" </w:instrText>
      </w:r>
      <w:r>
        <w:fldChar w:fldCharType="separate"/>
      </w:r>
      <w:r>
        <w:rPr>
          <w:rStyle w:val="31"/>
          <w:rFonts w:hint="eastAsia"/>
          <w:sz w:val="24"/>
          <w:szCs w:val="24"/>
        </w:rPr>
        <w:t>附件六 上位规划分析图</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_Toc192757750 \h</w:instrText>
      </w:r>
      <w:r>
        <w:rPr>
          <w:rFonts w:hint="eastAsia"/>
          <w:sz w:val="24"/>
          <w:szCs w:val="24"/>
        </w:rPr>
        <w:instrText xml:space="preserve"> </w:instrText>
      </w:r>
      <w:r>
        <w:rPr>
          <w:rFonts w:hint="eastAsia"/>
          <w:sz w:val="24"/>
          <w:szCs w:val="24"/>
        </w:rPr>
        <w:fldChar w:fldCharType="separate"/>
      </w:r>
      <w:r>
        <w:rPr>
          <w:rFonts w:hint="eastAsia"/>
          <w:sz w:val="24"/>
          <w:szCs w:val="24"/>
        </w:rPr>
        <w:t>169</w:t>
      </w:r>
      <w:r>
        <w:rPr>
          <w:rFonts w:hint="eastAsia"/>
          <w:sz w:val="24"/>
          <w:szCs w:val="24"/>
        </w:rPr>
        <w:fldChar w:fldCharType="end"/>
      </w:r>
      <w:r>
        <w:rPr>
          <w:rFonts w:hint="eastAsia"/>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"_Toc192757751" </w:instrText>
      </w:r>
      <w:r>
        <w:fldChar w:fldCharType="separate"/>
      </w:r>
      <w:r>
        <w:rPr>
          <w:rStyle w:val="31"/>
          <w:rFonts w:hint="eastAsia"/>
          <w:sz w:val="24"/>
          <w:szCs w:val="24"/>
        </w:rPr>
        <w:t>附件七 周边土地规划安全控制线</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_Toc192757751 \h</w:instrText>
      </w:r>
      <w:r>
        <w:rPr>
          <w:rFonts w:hint="eastAsia"/>
          <w:sz w:val="24"/>
          <w:szCs w:val="24"/>
        </w:rPr>
        <w:instrText xml:space="preserve"> </w:instrText>
      </w:r>
      <w:r>
        <w:rPr>
          <w:rFonts w:hint="eastAsia"/>
          <w:sz w:val="24"/>
          <w:szCs w:val="24"/>
        </w:rPr>
        <w:fldChar w:fldCharType="separate"/>
      </w:r>
      <w:r>
        <w:rPr>
          <w:rFonts w:hint="eastAsia"/>
          <w:sz w:val="24"/>
          <w:szCs w:val="24"/>
        </w:rPr>
        <w:t>170</w:t>
      </w:r>
      <w:r>
        <w:rPr>
          <w:rFonts w:hint="eastAsia"/>
          <w:sz w:val="24"/>
          <w:szCs w:val="24"/>
        </w:rPr>
        <w:fldChar w:fldCharType="end"/>
      </w:r>
      <w:r>
        <w:rPr>
          <w:rFonts w:hint="eastAsia"/>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"_Toc192757752" </w:instrText>
      </w:r>
      <w:r>
        <w:fldChar w:fldCharType="separate"/>
      </w:r>
      <w:r>
        <w:rPr>
          <w:rStyle w:val="31"/>
          <w:rFonts w:hint="eastAsia"/>
          <w:sz w:val="24"/>
          <w:szCs w:val="24"/>
        </w:rPr>
        <w:t>附件八 区块一规划用地红线图</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_Toc192757752 \h</w:instrText>
      </w:r>
      <w:r>
        <w:rPr>
          <w:rFonts w:hint="eastAsia"/>
          <w:sz w:val="24"/>
          <w:szCs w:val="24"/>
        </w:rPr>
        <w:instrText xml:space="preserve"> </w:instrText>
      </w:r>
      <w:r>
        <w:rPr>
          <w:rFonts w:hint="eastAsia"/>
          <w:sz w:val="24"/>
          <w:szCs w:val="24"/>
        </w:rPr>
        <w:fldChar w:fldCharType="separate"/>
      </w:r>
      <w:r>
        <w:rPr>
          <w:rFonts w:hint="eastAsia"/>
          <w:sz w:val="24"/>
          <w:szCs w:val="24"/>
        </w:rPr>
        <w:t>171</w:t>
      </w:r>
      <w:r>
        <w:rPr>
          <w:rFonts w:hint="eastAsia"/>
          <w:sz w:val="24"/>
          <w:szCs w:val="24"/>
        </w:rPr>
        <w:fldChar w:fldCharType="end"/>
      </w:r>
      <w:r>
        <w:rPr>
          <w:rFonts w:hint="eastAsia"/>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"_Toc192757753" </w:instrText>
      </w:r>
      <w:r>
        <w:fldChar w:fldCharType="separate"/>
      </w:r>
      <w:r>
        <w:rPr>
          <w:rStyle w:val="31"/>
          <w:rFonts w:hint="eastAsia"/>
          <w:sz w:val="24"/>
          <w:szCs w:val="24"/>
        </w:rPr>
        <w:t>附件九 区块二规划用地红线图</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_Toc192757753 \h</w:instrText>
      </w:r>
      <w:r>
        <w:rPr>
          <w:rFonts w:hint="eastAsia"/>
          <w:sz w:val="24"/>
          <w:szCs w:val="24"/>
        </w:rPr>
        <w:instrText xml:space="preserve"> </w:instrText>
      </w:r>
      <w:r>
        <w:rPr>
          <w:rFonts w:hint="eastAsia"/>
          <w:sz w:val="24"/>
          <w:szCs w:val="24"/>
        </w:rPr>
        <w:fldChar w:fldCharType="separate"/>
      </w:r>
      <w:r>
        <w:rPr>
          <w:rFonts w:hint="eastAsia"/>
          <w:sz w:val="24"/>
          <w:szCs w:val="24"/>
        </w:rPr>
        <w:t>172</w:t>
      </w:r>
      <w:r>
        <w:rPr>
          <w:rFonts w:hint="eastAsia"/>
          <w:sz w:val="24"/>
          <w:szCs w:val="24"/>
        </w:rPr>
        <w:fldChar w:fldCharType="end"/>
      </w:r>
      <w:r>
        <w:rPr>
          <w:rFonts w:hint="eastAsia"/>
          <w:sz w:val="24"/>
          <w:szCs w:val="24"/>
        </w:rPr>
        <w:fldChar w:fldCharType="end"/>
      </w:r>
    </w:p>
    <w:p>
      <w:pPr>
        <w:pStyle w:val="17"/>
        <w:rPr>
          <w:rFonts w:hint="eastAsia" w:cstheme="minorBidi"/>
          <w:b w:val="0"/>
          <w:bCs w:val="0"/>
          <w:caps w:val="0"/>
          <w:kern w:val="2"/>
          <w:sz w:val="24"/>
          <w:szCs w:val="24"/>
          <w:lang w:bidi="ar-SA"/>
          <w14:ligatures w14:val="standardContextual"/>
        </w:rPr>
      </w:pPr>
      <w:r>
        <w:fldChar w:fldCharType="begin"/>
      </w:r>
      <w:r>
        <w:instrText xml:space="preserve"> HYPERLINK \l "_Toc192757754" </w:instrText>
      </w:r>
      <w:r>
        <w:fldChar w:fldCharType="separate"/>
      </w:r>
      <w:r>
        <w:rPr>
          <w:rStyle w:val="31"/>
          <w:rFonts w:hint="eastAsia"/>
          <w:sz w:val="24"/>
          <w:szCs w:val="24"/>
        </w:rPr>
        <w:t>附件十 区块一土地利用规划图</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_Toc192757754 \h</w:instrText>
      </w:r>
      <w:r>
        <w:rPr>
          <w:rFonts w:hint="eastAsia"/>
          <w:sz w:val="24"/>
          <w:szCs w:val="24"/>
        </w:rPr>
        <w:instrText xml:space="preserve"> </w:instrText>
      </w:r>
      <w:r>
        <w:rPr>
          <w:rFonts w:hint="eastAsia"/>
          <w:sz w:val="24"/>
          <w:szCs w:val="24"/>
        </w:rPr>
        <w:fldChar w:fldCharType="separate"/>
      </w:r>
      <w:r>
        <w:rPr>
          <w:rFonts w:hint="eastAsia"/>
          <w:sz w:val="24"/>
          <w:szCs w:val="24"/>
        </w:rPr>
        <w:t>173</w:t>
      </w:r>
      <w:r>
        <w:rPr>
          <w:rFonts w:hint="eastAsia"/>
          <w:sz w:val="24"/>
          <w:szCs w:val="24"/>
        </w:rPr>
        <w:fldChar w:fldCharType="end"/>
      </w:r>
      <w:r>
        <w:rPr>
          <w:rFonts w:hint="eastAsia"/>
          <w:sz w:val="24"/>
          <w:szCs w:val="24"/>
        </w:rPr>
        <w:fldChar w:fldCharType="end"/>
      </w:r>
    </w:p>
    <w:p>
      <w:pPr>
        <w:pStyle w:val="17"/>
        <w:rPr>
          <w:rFonts w:hint="eastAsia" w:asciiTheme="minorHAnsi" w:hAnsiTheme="minorHAnsi" w:eastAsiaTheme="minorEastAsia" w:cstheme="minorBidi"/>
          <w:b w:val="0"/>
          <w:bCs w:val="0"/>
          <w:caps w:val="0"/>
          <w:kern w:val="2"/>
          <w:sz w:val="22"/>
          <w:szCs w:val="24"/>
          <w:lang w:bidi="ar-SA"/>
          <w14:ligatures w14:val="standardContextual"/>
        </w:rPr>
      </w:pPr>
      <w:r>
        <w:fldChar w:fldCharType="begin"/>
      </w:r>
      <w:r>
        <w:instrText xml:space="preserve"> HYPERLINK \l "_Toc192757755" </w:instrText>
      </w:r>
      <w:r>
        <w:fldChar w:fldCharType="separate"/>
      </w:r>
      <w:r>
        <w:rPr>
          <w:rStyle w:val="31"/>
          <w:rFonts w:hint="eastAsia"/>
          <w:sz w:val="24"/>
          <w:szCs w:val="24"/>
        </w:rPr>
        <w:t>附件十一 区块二土地利用规划图</w:t>
      </w:r>
      <w:r>
        <w:rPr>
          <w:rFonts w:hint="eastAsia"/>
          <w:sz w:val="24"/>
          <w:szCs w:val="24"/>
        </w:rPr>
        <w:tab/>
      </w:r>
      <w:r>
        <w:rPr>
          <w:rFonts w:hint="eastAsia"/>
          <w:sz w:val="24"/>
          <w:szCs w:val="24"/>
        </w:rPr>
        <w:fldChar w:fldCharType="begin"/>
      </w:r>
      <w:r>
        <w:rPr>
          <w:rFonts w:hint="eastAsia"/>
          <w:sz w:val="24"/>
          <w:szCs w:val="24"/>
        </w:rPr>
        <w:instrText xml:space="preserve"> </w:instrText>
      </w:r>
      <w:r>
        <w:rPr>
          <w:sz w:val="24"/>
          <w:szCs w:val="24"/>
        </w:rPr>
        <w:instrText xml:space="preserve">PAGEREF _Toc192757755 \h</w:instrText>
      </w:r>
      <w:r>
        <w:rPr>
          <w:rFonts w:hint="eastAsia"/>
          <w:sz w:val="24"/>
          <w:szCs w:val="24"/>
        </w:rPr>
        <w:instrText xml:space="preserve"> </w:instrText>
      </w:r>
      <w:r>
        <w:rPr>
          <w:rFonts w:hint="eastAsia"/>
          <w:sz w:val="24"/>
          <w:szCs w:val="24"/>
        </w:rPr>
        <w:fldChar w:fldCharType="separate"/>
      </w:r>
      <w:r>
        <w:rPr>
          <w:rFonts w:hint="eastAsia"/>
          <w:sz w:val="24"/>
          <w:szCs w:val="24"/>
        </w:rPr>
        <w:t>174</w:t>
      </w:r>
      <w:r>
        <w:rPr>
          <w:rFonts w:hint="eastAsia"/>
          <w:sz w:val="24"/>
          <w:szCs w:val="24"/>
        </w:rPr>
        <w:fldChar w:fldCharType="end"/>
      </w:r>
      <w:r>
        <w:rPr>
          <w:rFonts w:hint="eastAsia"/>
          <w:sz w:val="24"/>
          <w:szCs w:val="24"/>
        </w:rPr>
        <w:fldChar w:fldCharType="end"/>
      </w:r>
    </w:p>
    <w:p>
      <w:pPr>
        <w:pStyle w:val="33"/>
        <w:rPr>
          <w:color w:val="auto"/>
        </w:rPr>
      </w:pPr>
      <w:r>
        <w:rPr>
          <w:rFonts w:ascii="宋体" w:hAnsi="宋体" w:eastAsia="宋体"/>
          <w:color w:val="auto"/>
          <w:sz w:val="24"/>
          <w:szCs w:val="24"/>
        </w:rPr>
        <w:fldChar w:fldCharType="end"/>
      </w: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sectPr>
          <w:headerReference r:id="rId8" w:type="default"/>
          <w:pgSz w:w="11900" w:h="16840"/>
          <w:pgMar w:top="1580" w:right="1300" w:bottom="1200" w:left="1460" w:header="1113" w:footer="1001" w:gutter="0"/>
          <w:cols w:space="720" w:num="1"/>
        </w:sectPr>
      </w:pPr>
    </w:p>
    <w:p>
      <w:pPr>
        <w:pStyle w:val="2"/>
        <w:rPr>
          <w:rFonts w:ascii="Times New Roman" w:hAnsi="Times New Roman" w:eastAsia="仿宋_GB2312" w:cs="Times New Roman"/>
          <w:b/>
          <w:bCs/>
          <w:color w:val="auto"/>
          <w:kern w:val="36"/>
        </w:rPr>
      </w:pPr>
      <w:bookmarkStart w:id="2" w:name="_Toc16832"/>
      <w:bookmarkEnd w:id="2"/>
      <w:bookmarkStart w:id="3" w:name="_Toc192757638"/>
      <w:r>
        <w:rPr>
          <w:rFonts w:ascii="Times New Roman" w:hAnsi="Times New Roman" w:eastAsia="仿宋_GB2312" w:cs="Times New Roman"/>
          <w:b/>
          <w:bCs/>
          <w:color w:val="auto"/>
          <w:kern w:val="36"/>
        </w:rPr>
        <w:t>第一章 总论</w:t>
      </w:r>
      <w:bookmarkEnd w:id="3"/>
    </w:p>
    <w:p>
      <w:pPr>
        <w:pStyle w:val="3"/>
        <w:rPr>
          <w:color w:val="auto"/>
        </w:rPr>
      </w:pPr>
      <w:bookmarkStart w:id="4" w:name="_Toc2301"/>
      <w:bookmarkEnd w:id="4"/>
      <w:bookmarkStart w:id="5" w:name="_Toc192757639"/>
      <w:r>
        <w:rPr>
          <w:color w:val="auto"/>
        </w:rPr>
        <w:t>1.1 规划背景</w:t>
      </w:r>
      <w:bookmarkEnd w:id="5"/>
    </w:p>
    <w:p>
      <w:pPr>
        <w:pStyle w:val="4"/>
        <w:rPr>
          <w:color w:val="auto"/>
        </w:rPr>
      </w:pPr>
      <w:bookmarkStart w:id="6" w:name="_Toc192757640"/>
      <w:r>
        <w:rPr>
          <w:color w:val="auto"/>
        </w:rPr>
        <w:t>1.</w:t>
      </w:r>
      <w:r>
        <w:rPr>
          <w:rFonts w:hint="eastAsia"/>
          <w:color w:val="auto"/>
        </w:rPr>
        <w:t>1</w:t>
      </w:r>
      <w:r>
        <w:rPr>
          <w:color w:val="auto"/>
        </w:rPr>
        <w:t xml:space="preserve">.1 </w:t>
      </w:r>
      <w:r>
        <w:rPr>
          <w:rFonts w:hint="eastAsia"/>
          <w:color w:val="auto"/>
        </w:rPr>
        <w:t>化工园区发展历程</w:t>
      </w:r>
      <w:bookmarkEnd w:id="6"/>
    </w:p>
    <w:p>
      <w:pPr>
        <w:rPr>
          <w:color w:val="auto"/>
        </w:rPr>
      </w:pPr>
      <w:r>
        <w:rPr>
          <w:color w:val="auto"/>
        </w:rPr>
        <w:t>淮南经济技术开发区始建于1988年5月，1993年4月经省政府批准为省级开发区，2013年3月经国务院批准为国家级经济技术开发区，成为皖北地区首家国家级经济技术开发区（以下简称开发区）。开发区原规划面积4.29平方公里，2011年经省政府批准扩大至20平方公里。重点企业主要有：中国建材集团淮南北新建材等世界500强企业，中国医药集团国瑞药业、凯盛重工、德邦化工、中化三建等知名央企，以及陕汽重卡、国瑞药业、绿十字生物制品、安徽山河药业辅料等行业龙头企业，已形成新能源汽车及零配件、机械装备制造、现代医药、轻工纺织、商贸物流等产业门类。拥有省级新型工业化煤机装备制造产业和医药化工产业示范基地、全省重点支持文化产业（淮南文化设备用品和创意产业）示范园区等三个特色园区。</w:t>
      </w:r>
    </w:p>
    <w:p>
      <w:pPr>
        <w:rPr>
          <w:color w:val="auto"/>
        </w:rPr>
      </w:pPr>
      <w:r>
        <w:rPr>
          <w:color w:val="auto"/>
        </w:rPr>
        <w:t>淮南经开化工园区作为淮南经济技术开发区组成部分之一，建设历程如下：</w:t>
      </w:r>
    </w:p>
    <w:p>
      <w:pPr>
        <w:rPr>
          <w:color w:val="auto"/>
        </w:rPr>
      </w:pPr>
      <w:r>
        <w:rPr>
          <w:color w:val="auto"/>
        </w:rPr>
        <w:t>2013年11月14日《关于要求批准设立淮南经济技术开发区化工集中区的请示》（淮开管〔2013〕101号）向淮南市人民政府提交设立化工集中区的请示。</w:t>
      </w:r>
    </w:p>
    <w:p>
      <w:pPr>
        <w:rPr>
          <w:color w:val="auto"/>
        </w:rPr>
      </w:pPr>
      <w:r>
        <w:rPr>
          <w:color w:val="auto"/>
        </w:rPr>
        <w:t>2016年5月11日《淮南市人民政府关于三个化工集中区主导产业功能定位和四至范围的批复》（淮府秘〔2016〕75号）明确了淮南经济技术开发区化工集中区的四至范围。</w:t>
      </w:r>
    </w:p>
    <w:p>
      <w:pPr>
        <w:rPr>
          <w:color w:val="auto"/>
        </w:rPr>
      </w:pPr>
      <w:r>
        <w:rPr>
          <w:color w:val="auto"/>
        </w:rPr>
        <w:t>2018年12月29日《淮南市人民政府关于调整淮南经济技术开发区化工集中区四至范围的批复》（淮府秘〔2018〕201号）对淮南经济技术开发区化工集中区四至范围进行了调整，同时进行了扩区，新增总面积1.23平方公里，明确了产业定位为医药化工。</w:t>
      </w:r>
    </w:p>
    <w:p>
      <w:pPr>
        <w:rPr>
          <w:color w:val="auto"/>
        </w:rPr>
      </w:pPr>
      <w:r>
        <w:rPr>
          <w:color w:val="auto"/>
        </w:rPr>
        <w:t>2021年2月4日《安徽省人民政府关于同意认定第一批安徽省化工园区的批复》（皖政秘〔2021〕93号），淮南经开化工园区通过省级认定。</w:t>
      </w:r>
    </w:p>
    <w:p>
      <w:pPr>
        <w:rPr>
          <w:color w:val="auto"/>
        </w:rPr>
      </w:pPr>
      <w:r>
        <w:rPr>
          <w:color w:val="auto"/>
        </w:rPr>
        <w:t>2022年5月27日《安徽省自然资源厅关于核定淮南经开化工园区四至范围和面积的通知》（皖自然资用函〔2022〕81 号），淮南经开化工园区四至范围经安徽省自然资源厅核定，核定面积158.9公顷。</w:t>
      </w:r>
    </w:p>
    <w:p>
      <w:pPr>
        <w:rPr>
          <w:color w:val="auto"/>
        </w:rPr>
      </w:pPr>
      <w:r>
        <w:rPr>
          <w:color w:val="auto"/>
        </w:rPr>
        <w:t>2024年6月17日《安徽省自然资源厅关于核定淮南经开化工园区四至范围和面积的通知》（皖自然资用函〔2024〕91号），淮南经开化工园区四至范围包含两个区块，其中区块一面积33.04公顷，四至范围为：东至永兴路，南至田东路，西至皖淮化工厂留守处，北至规划电厂路；区块二面积120.10公顷，四至范围为：东至东兴路，南至朝阳东路，西至屯头排涝站排涝干渠，北至长富路。</w:t>
      </w:r>
    </w:p>
    <w:p>
      <w:pPr>
        <w:pStyle w:val="4"/>
        <w:rPr>
          <w:color w:val="auto"/>
        </w:rPr>
      </w:pPr>
      <w:bookmarkStart w:id="7" w:name="_Toc192757641"/>
      <w:r>
        <w:rPr>
          <w:color w:val="auto"/>
        </w:rPr>
        <w:t>1.</w:t>
      </w:r>
      <w:r>
        <w:rPr>
          <w:rFonts w:hint="eastAsia"/>
          <w:color w:val="auto"/>
        </w:rPr>
        <w:t>1</w:t>
      </w:r>
      <w:r>
        <w:rPr>
          <w:color w:val="auto"/>
        </w:rPr>
        <w:t>.</w:t>
      </w:r>
      <w:r>
        <w:rPr>
          <w:rFonts w:hint="eastAsia"/>
          <w:color w:val="auto"/>
        </w:rPr>
        <w:t>3产业规划编制及修编情况</w:t>
      </w:r>
      <w:bookmarkEnd w:id="7"/>
    </w:p>
    <w:p>
      <w:pPr>
        <w:rPr>
          <w:color w:val="auto"/>
        </w:rPr>
      </w:pPr>
      <w:r>
        <w:rPr>
          <w:color w:val="auto"/>
        </w:rPr>
        <w:t>本规划主要依据淮南市政府关于《淮南市国民经济和社会发展第十四个五年规划和2035年远景目标纲要》的指导精神、《安徽省发展改革委等部门关于印发促进化工园区高质量发展若干措施的通知》（皖发改产业〔2024〕86号）以及与化工园区建设有关的各级规划、批复文件，并遵照最新版《化工园区安全风险排查治理导则》（应急管理部，2023年11月）、《化工园区安全整治提升“十有两禁”释义》（应急管理部，2022 年2月）、关于印发《安徽省安全生产治本攻坚三年行动实施方案（202-2026年）》子方案的通知（皖安办〔2024〕10号）和《产业结构调整指导目录》（2024年本）对化工园区产业发展方向要求，结合淮南现代医药化工产业园概念规划、淮南经开化工园区现有发展情况和重点企业发展进行编制。</w:t>
      </w:r>
    </w:p>
    <w:p>
      <w:pPr>
        <w:rPr>
          <w:color w:val="auto"/>
        </w:rPr>
      </w:pPr>
      <w:r>
        <w:rPr>
          <w:color w:val="auto"/>
        </w:rPr>
        <w:t>面对未来的关键机遇期，如何高效推动淮南经开化工园区上下游产业布局，促进产业链延伸，全面做好区域战略性新兴产业高端承接、细分龙头项目招引和创新产业培育，是淮南经开化工园区需要重点解决的关键性问题。</w:t>
      </w:r>
    </w:p>
    <w:p>
      <w:r>
        <w:rPr>
          <w:rFonts w:hint="eastAsia"/>
        </w:rPr>
        <w:t>淮南经开区管委会2024年组织编制的《淮南经开化工园区产业发展规划（2024-2030年）》于同年获得淮南市工业和信息化局的下发批文《关于</w:t>
      </w:r>
      <w:r>
        <w:rPr>
          <w:rFonts w:hint="eastAsia" w:ascii="仿宋_GB2312"/>
        </w:rPr>
        <w:t>〈</w:t>
      </w:r>
      <w:r>
        <w:rPr>
          <w:rFonts w:hint="eastAsia"/>
        </w:rPr>
        <w:t>淮南经开化工园区产业发展规划（2024-2030年）的批复</w:t>
      </w:r>
      <w:r>
        <w:rPr>
          <w:rFonts w:hint="eastAsia" w:ascii="仿宋_GB2312"/>
        </w:rPr>
        <w:t>〉</w:t>
      </w:r>
      <w:r>
        <w:rPr>
          <w:rFonts w:hint="eastAsia"/>
        </w:rPr>
        <w:t>》（批文号：淮工信节能</w:t>
      </w:r>
      <w:r>
        <w:rPr>
          <w:rFonts w:hint="eastAsia" w:ascii="仿宋_GB2312"/>
        </w:rPr>
        <w:t>【</w:t>
      </w:r>
      <w:r>
        <w:rPr>
          <w:rFonts w:hint="eastAsia"/>
        </w:rPr>
        <w:t>2024</w:t>
      </w:r>
      <w:r>
        <w:rPr>
          <w:rFonts w:hint="eastAsia" w:ascii="仿宋_GB2312"/>
        </w:rPr>
        <w:t>】</w:t>
      </w:r>
      <w:r>
        <w:rPr>
          <w:rFonts w:hint="eastAsia"/>
        </w:rPr>
        <w:t>15号）（详见附件）。</w:t>
      </w:r>
    </w:p>
    <w:p>
      <w:r>
        <w:rPr>
          <w:rFonts w:hint="eastAsia"/>
        </w:rPr>
        <w:t>由于土地性质变更，</w:t>
      </w:r>
      <w:r>
        <w:rPr>
          <w:rFonts w:hint="eastAsia"/>
          <w:color w:val="auto"/>
        </w:rPr>
        <w:t>且</w:t>
      </w:r>
      <w:r>
        <w:rPr>
          <w:rFonts w:hint="eastAsia"/>
        </w:rPr>
        <w:t>化工园区为</w:t>
      </w:r>
      <w:r>
        <w:rPr>
          <w:color w:val="auto"/>
        </w:rPr>
        <w:t>进一步明确淮南经开化工园区产业发展的主导战略及总体思路，优化产业结构和发展路径，发挥产业发展规划在园区发展中的引领作用，淮南经开化工园区决定</w:t>
      </w:r>
      <w:r>
        <w:rPr>
          <w:rFonts w:hint="eastAsia"/>
          <w:color w:val="auto"/>
        </w:rPr>
        <w:t>对</w:t>
      </w:r>
      <w:r>
        <w:rPr>
          <w:color w:val="auto"/>
        </w:rPr>
        <w:t>产业发展规划</w:t>
      </w:r>
      <w:r>
        <w:rPr>
          <w:rFonts w:hint="eastAsia"/>
          <w:color w:val="auto"/>
        </w:rPr>
        <w:t>进行修编</w:t>
      </w:r>
      <w:r>
        <w:rPr>
          <w:color w:val="auto"/>
        </w:rPr>
        <w:t>。</w:t>
      </w:r>
    </w:p>
    <w:p>
      <w:pPr>
        <w:pStyle w:val="3"/>
        <w:rPr>
          <w:color w:val="auto"/>
        </w:rPr>
      </w:pPr>
      <w:bookmarkStart w:id="8" w:name="_Toc17034"/>
      <w:bookmarkEnd w:id="8"/>
      <w:bookmarkStart w:id="9" w:name="_Toc192757642"/>
      <w:r>
        <w:rPr>
          <w:color w:val="auto"/>
        </w:rPr>
        <w:t>1.2 规划原则及目的</w:t>
      </w:r>
      <w:bookmarkEnd w:id="9"/>
    </w:p>
    <w:p>
      <w:pPr>
        <w:pStyle w:val="4"/>
        <w:rPr>
          <w:color w:val="auto"/>
        </w:rPr>
      </w:pPr>
      <w:bookmarkStart w:id="10" w:name="_Toc192757643"/>
      <w:r>
        <w:rPr>
          <w:color w:val="auto"/>
        </w:rPr>
        <w:t>1.2.1 规划的原则</w:t>
      </w:r>
      <w:bookmarkEnd w:id="10"/>
    </w:p>
    <w:p>
      <w:pPr>
        <w:rPr>
          <w:color w:val="auto"/>
        </w:rPr>
      </w:pPr>
      <w:r>
        <w:rPr>
          <w:color w:val="auto"/>
        </w:rPr>
        <w:t>（1）坚持可持续发展</w:t>
      </w:r>
    </w:p>
    <w:p>
      <w:pPr>
        <w:rPr>
          <w:color w:val="auto"/>
        </w:rPr>
      </w:pPr>
      <w:r>
        <w:rPr>
          <w:color w:val="auto"/>
        </w:rPr>
        <w:t>坚持高端引进和绿色低碳发展，走可持续发展的新型工业化道路，坚持资源开发与生态保护并重，大力引进清洁化、绿色化技术和项目，突出生态环境保护和资源循环利用，大力发展循环经济，积极推行园区生态化、经济循环化、环境优美化、项目低碳化，优化产业结构，提高能源利用效率，打造生态、低碳园区。</w:t>
      </w:r>
    </w:p>
    <w:p>
      <w:pPr>
        <w:rPr>
          <w:color w:val="auto"/>
        </w:rPr>
      </w:pPr>
      <w:r>
        <w:rPr>
          <w:color w:val="auto"/>
        </w:rPr>
        <w:t>（2）坚持开放合作发展</w:t>
      </w:r>
    </w:p>
    <w:p>
      <w:pPr>
        <w:rPr>
          <w:color w:val="auto"/>
        </w:rPr>
      </w:pPr>
      <w:r>
        <w:rPr>
          <w:color w:val="auto"/>
        </w:rPr>
        <w:t>以实现区域协调发展为导向，深化同长三角地区的交流与合作，不断优化调整产业结构，深化供给侧结构性改革，做大优势产业，着力打造长三角地区重要的化工园区。抢抓“一带一路”</w:t>
      </w:r>
      <w:r>
        <w:rPr>
          <w:rFonts w:hint="eastAsia"/>
          <w:color w:val="auto"/>
          <w:lang w:eastAsia="zh-CN"/>
        </w:rPr>
        <w:t>倡议</w:t>
      </w:r>
      <w:r>
        <w:rPr>
          <w:color w:val="auto"/>
        </w:rPr>
        <w:t>机遇，积极利用全球资源和市场，加强国际交流与合作，积极引进国内外先进理念和先进技术，实施境外市场开拓计划，巩固传统市场，开辟新兴市场，扩大国际市场占有份额。鼓励引导园区企业积极实施“走出去”战略，到“一带一路”国家和地区投资，开展产能合作。</w:t>
      </w:r>
    </w:p>
    <w:p>
      <w:pPr>
        <w:rPr>
          <w:color w:val="auto"/>
        </w:rPr>
      </w:pPr>
      <w:r>
        <w:rPr>
          <w:color w:val="auto"/>
        </w:rPr>
        <w:t>（3）坚持产业集群发展</w:t>
      </w:r>
    </w:p>
    <w:p>
      <w:pPr>
        <w:rPr>
          <w:color w:val="auto"/>
        </w:rPr>
      </w:pPr>
      <w:r>
        <w:rPr>
          <w:color w:val="auto"/>
        </w:rPr>
        <w:t>以淮南经开化工园区建设为载体，紧紧围绕主导产业和龙头企业，创新招商引资方式，推动由产业链招商向产业生态招商转变，合理配置生产要素资源，健全产业配套体系，提升产业配套能力，搭建完整产业链条，带动相关产业实现集群式发展，促进土地集约利用，实现规模效益，提升产业整体竞争力。</w:t>
      </w:r>
    </w:p>
    <w:p>
      <w:pPr>
        <w:rPr>
          <w:color w:val="auto"/>
        </w:rPr>
      </w:pPr>
      <w:r>
        <w:rPr>
          <w:color w:val="auto"/>
        </w:rPr>
        <w:t>（4）坚持创新引领发展</w:t>
      </w:r>
    </w:p>
    <w:p>
      <w:pPr>
        <w:rPr>
          <w:color w:val="auto"/>
        </w:rPr>
      </w:pPr>
      <w:r>
        <w:rPr>
          <w:color w:val="auto"/>
        </w:rPr>
        <w:t>充分发挥淮南市对接长三角核心区重要窗口作用，选择性地承接长三角地区的产业和技术外溢，完善科技创新体制机制，培育市场化的创新主体，突出企业创新主体地位，鼓励企业加大科技创新投入。</w:t>
      </w:r>
    </w:p>
    <w:p>
      <w:pPr>
        <w:rPr>
          <w:color w:val="auto"/>
        </w:rPr>
      </w:pPr>
      <w:r>
        <w:rPr>
          <w:color w:val="auto"/>
        </w:rPr>
        <w:t>坚持技术创新与管理创新和商业模式创新并重，坚持技术创新与成果转化并重，坚持原始创新与引进消化吸收并重。</w:t>
      </w:r>
    </w:p>
    <w:p>
      <w:pPr>
        <w:pStyle w:val="4"/>
        <w:rPr>
          <w:color w:val="auto"/>
        </w:rPr>
      </w:pPr>
      <w:bookmarkStart w:id="11" w:name="_Toc192757644"/>
      <w:r>
        <w:rPr>
          <w:color w:val="auto"/>
        </w:rPr>
        <w:t>1.2.2 规划的目的</w:t>
      </w:r>
      <w:bookmarkEnd w:id="11"/>
    </w:p>
    <w:p>
      <w:pPr>
        <w:rPr>
          <w:color w:val="auto"/>
        </w:rPr>
      </w:pPr>
      <w:r>
        <w:rPr>
          <w:color w:val="auto"/>
        </w:rPr>
        <w:t>《淮南经开化工园区产业发展规划》的编制，可以为淮南经开化工园区下一步产业链强链、固链、补链、延链确定方向，优化调整化工园区产业布局，引领园区产业发展，促进产业转型升级，指导园区的可持续发展，为园区创造更高的经济、社会效益。</w:t>
      </w:r>
    </w:p>
    <w:p>
      <w:pPr>
        <w:pStyle w:val="3"/>
        <w:rPr>
          <w:color w:val="auto"/>
        </w:rPr>
      </w:pPr>
      <w:bookmarkStart w:id="12" w:name="_Toc28042"/>
      <w:bookmarkEnd w:id="12"/>
      <w:bookmarkStart w:id="13" w:name="_Toc192757645"/>
      <w:r>
        <w:rPr>
          <w:color w:val="auto"/>
        </w:rPr>
        <w:t>1.3 规划编制依据</w:t>
      </w:r>
      <w:bookmarkEnd w:id="13"/>
    </w:p>
    <w:p>
      <w:pPr>
        <w:rPr>
          <w:color w:val="auto"/>
        </w:rPr>
      </w:pPr>
      <w:r>
        <w:rPr>
          <w:color w:val="auto"/>
        </w:rPr>
        <w:t>（1）《中华人民共和国城乡规划法》（2019年修正）；</w:t>
      </w:r>
    </w:p>
    <w:p>
      <w:pPr>
        <w:rPr>
          <w:color w:val="auto"/>
        </w:rPr>
      </w:pPr>
      <w:r>
        <w:rPr>
          <w:color w:val="auto"/>
        </w:rPr>
        <w:t>（2）《中华人民共和国土地管理法》（2019年修正）；</w:t>
      </w:r>
    </w:p>
    <w:p>
      <w:pPr>
        <w:rPr>
          <w:color w:val="auto"/>
        </w:rPr>
      </w:pPr>
      <w:r>
        <w:rPr>
          <w:color w:val="auto"/>
        </w:rPr>
        <w:t>（3）《中华人民共和国土地管理法实施条例》（2021年修订）；</w:t>
      </w:r>
    </w:p>
    <w:p>
      <w:pPr>
        <w:rPr>
          <w:color w:val="auto"/>
        </w:rPr>
      </w:pPr>
      <w:r>
        <w:rPr>
          <w:color w:val="auto"/>
        </w:rPr>
        <w:t>（4）《习近平总书记在扎实推进长三角一体化发展座谈会上的重要讲话》；</w:t>
      </w:r>
    </w:p>
    <w:p>
      <w:pPr>
        <w:rPr>
          <w:color w:val="auto"/>
        </w:rPr>
      </w:pPr>
      <w:r>
        <w:rPr>
          <w:color w:val="auto"/>
        </w:rPr>
        <w:t>（5）《长江三角洲区域一体化发展规划纲要》；</w:t>
      </w:r>
    </w:p>
    <w:p>
      <w:pPr>
        <w:rPr>
          <w:color w:val="auto"/>
        </w:rPr>
      </w:pPr>
      <w:r>
        <w:rPr>
          <w:color w:val="auto"/>
        </w:rPr>
        <w:t>（6）《国务院办公厅关于石化产业调结构促转型增效益的指导意见》；</w:t>
      </w:r>
    </w:p>
    <w:p>
      <w:pPr>
        <w:rPr>
          <w:color w:val="auto"/>
        </w:rPr>
      </w:pPr>
      <w:r>
        <w:rPr>
          <w:color w:val="auto"/>
        </w:rPr>
        <w:t>（7）《产业结构调整指导目录》（2024年本）；</w:t>
      </w:r>
    </w:p>
    <w:p>
      <w:pPr>
        <w:rPr>
          <w:color w:val="auto"/>
        </w:rPr>
      </w:pPr>
      <w:r>
        <w:rPr>
          <w:color w:val="auto"/>
        </w:rPr>
        <w:t>（8）《关于做好石化产业规划布局方案（修订版）贯彻落实工作的通知》；</w:t>
      </w:r>
    </w:p>
    <w:p>
      <w:pPr>
        <w:rPr>
          <w:color w:val="auto"/>
        </w:rPr>
      </w:pPr>
      <w:r>
        <w:rPr>
          <w:color w:val="auto"/>
        </w:rPr>
        <w:t>（9）《石化和化工行业“十四五”规划指南》；</w:t>
      </w:r>
    </w:p>
    <w:p>
      <w:pPr>
        <w:rPr>
          <w:color w:val="auto"/>
        </w:rPr>
      </w:pPr>
      <w:r>
        <w:rPr>
          <w:color w:val="auto"/>
        </w:rPr>
        <w:t>（10）《关于“十四五”推动石化化工行业高质量发展的指导意见》；</w:t>
      </w:r>
    </w:p>
    <w:p>
      <w:pPr>
        <w:rPr>
          <w:color w:val="auto"/>
        </w:rPr>
      </w:pPr>
      <w:r>
        <w:rPr>
          <w:color w:val="auto"/>
        </w:rPr>
        <w:t>（11）《关于全面加强危险化学品安全生产工作的意见》；</w:t>
      </w:r>
    </w:p>
    <w:p>
      <w:pPr>
        <w:rPr>
          <w:color w:val="auto"/>
        </w:rPr>
      </w:pPr>
      <w:r>
        <w:rPr>
          <w:color w:val="auto"/>
        </w:rPr>
        <w:t>（12）《石化产业规划布局方案（2018修订版）》；</w:t>
      </w:r>
    </w:p>
    <w:p>
      <w:pPr>
        <w:rPr>
          <w:color w:val="auto"/>
        </w:rPr>
      </w:pPr>
      <w:r>
        <w:rPr>
          <w:color w:val="auto"/>
        </w:rPr>
        <w:t>（13）《安徽省开发区规划编制技术导则（试行）》（2014）；</w:t>
      </w:r>
    </w:p>
    <w:p>
      <w:pPr>
        <w:rPr>
          <w:color w:val="auto"/>
        </w:rPr>
      </w:pPr>
      <w:r>
        <w:rPr>
          <w:color w:val="auto"/>
        </w:rPr>
        <w:t>（14）《安徽省建设用地使用标准》（2020年）；</w:t>
      </w:r>
    </w:p>
    <w:p>
      <w:pPr>
        <w:rPr>
          <w:color w:val="auto"/>
        </w:rPr>
      </w:pPr>
      <w:r>
        <w:rPr>
          <w:color w:val="auto"/>
        </w:rPr>
        <w:t>（15）《安徽省新材料产业“十四五”发展规划》；</w:t>
      </w:r>
    </w:p>
    <w:p>
      <w:pPr>
        <w:rPr>
          <w:color w:val="auto"/>
        </w:rPr>
      </w:pPr>
      <w:r>
        <w:rPr>
          <w:color w:val="auto"/>
        </w:rPr>
        <w:t>（16）《淮南市国民经济和社会发展第十四个五年规划和2035年远景目标纲要》；</w:t>
      </w:r>
    </w:p>
    <w:p>
      <w:pPr>
        <w:rPr>
          <w:color w:val="auto"/>
        </w:rPr>
      </w:pPr>
      <w:r>
        <w:rPr>
          <w:color w:val="auto"/>
        </w:rPr>
        <w:t>（17）《淮南市化工产业发展规划（2021-2025）》；</w:t>
      </w:r>
    </w:p>
    <w:p>
      <w:pPr>
        <w:rPr>
          <w:color w:val="auto"/>
        </w:rPr>
      </w:pPr>
      <w:r>
        <w:rPr>
          <w:color w:val="auto"/>
        </w:rPr>
        <w:t>（18）《淮南经济技术开发区“十四五”产业发展规划》；</w:t>
      </w:r>
    </w:p>
    <w:p>
      <w:pPr>
        <w:rPr>
          <w:color w:val="auto"/>
        </w:rPr>
      </w:pPr>
      <w:r>
        <w:rPr>
          <w:color w:val="auto"/>
        </w:rPr>
        <w:t>（19）《安徽省自然资源厅关于核定淮南经开化工园区四至范围和面积的通知》；</w:t>
      </w:r>
    </w:p>
    <w:p>
      <w:pPr>
        <w:rPr>
          <w:color w:val="auto"/>
        </w:rPr>
      </w:pPr>
      <w:r>
        <w:rPr>
          <w:color w:val="auto"/>
        </w:rPr>
        <w:t>（20）《化工园区开发建设导则》；</w:t>
      </w:r>
    </w:p>
    <w:p>
      <w:pPr>
        <w:rPr>
          <w:color w:val="auto"/>
        </w:rPr>
      </w:pPr>
      <w:r>
        <w:rPr>
          <w:color w:val="auto"/>
        </w:rPr>
        <w:t>（21）《化工园区隐患排查导则》；</w:t>
      </w:r>
    </w:p>
    <w:p>
      <w:pPr>
        <w:rPr>
          <w:color w:val="auto"/>
        </w:rPr>
      </w:pPr>
      <w:r>
        <w:rPr>
          <w:color w:val="auto"/>
        </w:rPr>
        <w:t>（22）园区管理服务中心提供的相关基础资料。</w:t>
      </w:r>
    </w:p>
    <w:p>
      <w:pPr>
        <w:pStyle w:val="3"/>
        <w:rPr>
          <w:color w:val="auto"/>
        </w:rPr>
      </w:pPr>
      <w:bookmarkStart w:id="14" w:name="_Toc5443"/>
      <w:bookmarkEnd w:id="14"/>
      <w:bookmarkStart w:id="15" w:name="_Toc192757646"/>
      <w:r>
        <w:rPr>
          <w:color w:val="auto"/>
        </w:rPr>
        <w:t>1.4 规划范围及时限</w:t>
      </w:r>
      <w:bookmarkEnd w:id="15"/>
    </w:p>
    <w:p>
      <w:pPr>
        <w:rPr>
          <w:color w:val="auto"/>
        </w:rPr>
      </w:pPr>
      <w:r>
        <w:rPr>
          <w:color w:val="auto"/>
        </w:rPr>
        <w:t>（1）规划范围</w:t>
      </w:r>
    </w:p>
    <w:p>
      <w:pPr>
        <w:rPr>
          <w:color w:val="auto"/>
        </w:rPr>
      </w:pPr>
      <w:r>
        <w:rPr>
          <w:color w:val="auto"/>
        </w:rPr>
        <w:t>区块一面积33.04公顷，四至范围为：东至永兴路，南至田东路，西至皖淮化工厂留守处，北至规划电厂路。</w:t>
      </w:r>
    </w:p>
    <w:p>
      <w:pPr>
        <w:rPr>
          <w:color w:val="auto"/>
        </w:rPr>
      </w:pPr>
      <w:r>
        <w:rPr>
          <w:color w:val="auto"/>
        </w:rPr>
        <w:t>区块二面积120.10公顷，四至范围为：东至东兴路，南至朝阳东路，西至屯头排涝站排涝干渠，北至长富路。</w:t>
      </w:r>
    </w:p>
    <w:p>
      <w:pPr>
        <w:rPr>
          <w:color w:val="auto"/>
        </w:rPr>
      </w:pPr>
      <w:r>
        <w:rPr>
          <w:color w:val="auto"/>
        </w:rPr>
        <w:t>（2）规划时限</w:t>
      </w:r>
    </w:p>
    <w:p>
      <w:pPr>
        <w:rPr>
          <w:color w:val="auto"/>
        </w:rPr>
      </w:pPr>
      <w:r>
        <w:rPr>
          <w:color w:val="auto"/>
        </w:rPr>
        <w:t>按照“统一规划、分步实施、远近结合、灵活调整”的原则，规划时限为2024-2030年。</w:t>
      </w:r>
    </w:p>
    <w:p>
      <w:pPr>
        <w:pStyle w:val="3"/>
        <w:rPr>
          <w:color w:val="auto"/>
        </w:rPr>
      </w:pPr>
      <w:bookmarkStart w:id="16" w:name="_Toc21729"/>
      <w:bookmarkEnd w:id="16"/>
      <w:bookmarkStart w:id="17" w:name="_Toc192757647"/>
      <w:r>
        <w:rPr>
          <w:color w:val="auto"/>
        </w:rPr>
        <w:t>1.5 规划目标</w:t>
      </w:r>
      <w:bookmarkEnd w:id="17"/>
    </w:p>
    <w:p>
      <w:pPr>
        <w:rPr>
          <w:color w:val="auto"/>
        </w:rPr>
      </w:pPr>
      <w:r>
        <w:rPr>
          <w:color w:val="auto"/>
        </w:rPr>
        <w:t>淮南经开化工园区着力提升改造传统化工产业，加快培育生物医药、化工新材料等高端精细化学品产业，并形成功能布局合理、主导产业明晰、资源利用高效、基础设施完善，具有核心竞争力的现代化化工产业园区。</w:t>
      </w:r>
    </w:p>
    <w:p>
      <w:pPr>
        <w:rPr>
          <w:color w:val="auto"/>
        </w:rPr>
      </w:pPr>
      <w:r>
        <w:rPr>
          <w:color w:val="auto"/>
        </w:rPr>
        <w:t>以领军企业为龙头，以产业链关键产品、创新链关键技术为核心，实现强链、补链、延链、固链的目标。</w:t>
      </w:r>
    </w:p>
    <w:p>
      <w:pPr>
        <w:rPr>
          <w:color w:val="auto"/>
        </w:rPr>
      </w:pPr>
      <w:r>
        <w:rPr>
          <w:color w:val="auto"/>
        </w:rPr>
        <w:t>到2030年，园区企业总产值达到144.5亿元，培育产值10亿元及以上企业5家。</w:t>
      </w:r>
    </w:p>
    <w:p>
      <w:pPr>
        <w:ind w:firstLine="0" w:firstLineChars="0"/>
        <w:jc w:val="center"/>
        <w:rPr>
          <w:b/>
          <w:bCs/>
          <w:color w:val="auto"/>
        </w:rPr>
      </w:pPr>
      <w:r>
        <w:rPr>
          <w:b/>
          <w:bCs/>
          <w:color w:val="auto"/>
        </w:rPr>
        <w:t>表1-1 淮南经开化工园区发展主要目标</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4"/>
        <w:gridCol w:w="3627"/>
        <w:gridCol w:w="2177"/>
        <w:gridCol w:w="1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color w:val="auto"/>
                <w:sz w:val="24"/>
                <w:szCs w:val="24"/>
              </w:rPr>
            </w:pPr>
            <w:r>
              <w:rPr>
                <w:b/>
                <w:bCs/>
                <w:color w:val="auto"/>
                <w:sz w:val="24"/>
                <w:szCs w:val="24"/>
              </w:rPr>
              <w:t>序号</w:t>
            </w:r>
          </w:p>
        </w:tc>
        <w:tc>
          <w:tcPr>
            <w:tcW w:w="212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color w:val="auto"/>
                <w:sz w:val="24"/>
                <w:szCs w:val="24"/>
              </w:rPr>
            </w:pPr>
            <w:r>
              <w:rPr>
                <w:b/>
                <w:bCs/>
                <w:color w:val="auto"/>
                <w:sz w:val="24"/>
                <w:szCs w:val="24"/>
              </w:rPr>
              <w:t>指标</w:t>
            </w:r>
          </w:p>
        </w:tc>
        <w:tc>
          <w:tcPr>
            <w:tcW w:w="127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color w:val="auto"/>
                <w:sz w:val="24"/>
                <w:szCs w:val="24"/>
              </w:rPr>
            </w:pPr>
            <w:r>
              <w:rPr>
                <w:b/>
                <w:bCs/>
                <w:color w:val="auto"/>
                <w:sz w:val="24"/>
                <w:szCs w:val="24"/>
              </w:rPr>
              <w:t>2030年目标</w:t>
            </w:r>
          </w:p>
        </w:tc>
        <w:tc>
          <w:tcPr>
            <w:tcW w:w="98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color w:val="auto"/>
                <w:sz w:val="24"/>
                <w:szCs w:val="24"/>
              </w:rPr>
            </w:pPr>
            <w:r>
              <w:rPr>
                <w:b/>
                <w:bCs/>
                <w:color w:val="auto"/>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color w:val="auto"/>
                <w:sz w:val="24"/>
                <w:szCs w:val="24"/>
              </w:rPr>
            </w:pPr>
            <w:r>
              <w:rPr>
                <w:b/>
                <w:bCs/>
                <w:color w:val="auto"/>
                <w:sz w:val="24"/>
                <w:szCs w:val="24"/>
              </w:rPr>
              <w:t>1</w:t>
            </w:r>
          </w:p>
        </w:tc>
        <w:tc>
          <w:tcPr>
            <w:tcW w:w="212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生产总值</w:t>
            </w:r>
          </w:p>
        </w:tc>
        <w:tc>
          <w:tcPr>
            <w:tcW w:w="127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144.5亿元</w:t>
            </w:r>
          </w:p>
        </w:tc>
        <w:tc>
          <w:tcPr>
            <w:tcW w:w="98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color w:val="auto"/>
                <w:sz w:val="24"/>
                <w:szCs w:val="24"/>
              </w:rPr>
            </w:pPr>
            <w:r>
              <w:rPr>
                <w:b/>
                <w:bCs/>
                <w:color w:val="auto"/>
                <w:sz w:val="24"/>
                <w:szCs w:val="24"/>
              </w:rPr>
              <w:t>2</w:t>
            </w:r>
          </w:p>
        </w:tc>
        <w:tc>
          <w:tcPr>
            <w:tcW w:w="212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培育产值10亿元及以上企业</w:t>
            </w:r>
          </w:p>
        </w:tc>
        <w:tc>
          <w:tcPr>
            <w:tcW w:w="127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5家</w:t>
            </w:r>
          </w:p>
        </w:tc>
        <w:tc>
          <w:tcPr>
            <w:tcW w:w="98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预期性</w:t>
            </w:r>
          </w:p>
        </w:tc>
      </w:tr>
    </w:tbl>
    <w:p>
      <w:pPr>
        <w:pStyle w:val="3"/>
        <w:rPr>
          <w:color w:val="auto"/>
        </w:rPr>
      </w:pPr>
      <w:bookmarkStart w:id="18" w:name="_Toc7898"/>
      <w:bookmarkEnd w:id="18"/>
      <w:bookmarkStart w:id="19" w:name="_Toc192757648"/>
      <w:r>
        <w:rPr>
          <w:color w:val="auto"/>
        </w:rPr>
        <w:t>1.6 规划主要研究结论</w:t>
      </w:r>
      <w:bookmarkEnd w:id="19"/>
    </w:p>
    <w:p>
      <w:pPr>
        <w:rPr>
          <w:color w:val="auto"/>
        </w:rPr>
      </w:pPr>
      <w:r>
        <w:rPr>
          <w:color w:val="auto"/>
        </w:rPr>
        <w:t xml:space="preserve">淮南经开化工园区着力提升改造传统化工产业，加快培育生物医药、化工新材料等高端精细化学品产业。 </w:t>
      </w:r>
    </w:p>
    <w:p>
      <w:pPr>
        <w:rPr>
          <w:color w:val="auto"/>
        </w:rPr>
      </w:pPr>
      <w:r>
        <w:rPr>
          <w:color w:val="auto"/>
        </w:rPr>
        <w:t>淮南经开化工园区积极发挥区域国家政策叠加优势，着眼于产业结构升级转型和用地存量动态管理需求，从产业准入、用地管理、环境保护、招才引智等方面，逐步将淮南经开化工园区建设成为产业链条完整、经济效益突出、功能定位明确、产业特色突出、空间布局合理、基础设施完善、具有核心竞争力的化工园区。</w:t>
      </w:r>
      <w:r>
        <w:rPr>
          <w:color w:val="auto"/>
        </w:rPr>
        <w:br w:type="page"/>
      </w:r>
    </w:p>
    <w:p>
      <w:pPr>
        <w:pStyle w:val="2"/>
        <w:rPr>
          <w:rFonts w:ascii="Times New Roman" w:hAnsi="Times New Roman" w:eastAsia="仿宋_GB2312" w:cs="Times New Roman"/>
          <w:b/>
          <w:bCs/>
          <w:color w:val="auto"/>
          <w:kern w:val="36"/>
        </w:rPr>
      </w:pPr>
      <w:bookmarkStart w:id="20" w:name="_Toc24292"/>
      <w:bookmarkEnd w:id="20"/>
      <w:bookmarkStart w:id="21" w:name="_Toc192757649"/>
      <w:r>
        <w:rPr>
          <w:rFonts w:ascii="Times New Roman" w:hAnsi="Times New Roman" w:eastAsia="仿宋_GB2312" w:cs="Times New Roman"/>
          <w:b/>
          <w:bCs/>
          <w:color w:val="auto"/>
          <w:kern w:val="36"/>
        </w:rPr>
        <w:t>第二章 基础条件分析</w:t>
      </w:r>
      <w:bookmarkEnd w:id="21"/>
    </w:p>
    <w:p>
      <w:pPr>
        <w:pStyle w:val="3"/>
        <w:rPr>
          <w:color w:val="auto"/>
        </w:rPr>
      </w:pPr>
      <w:bookmarkStart w:id="22" w:name="_Toc23444"/>
      <w:bookmarkEnd w:id="22"/>
      <w:bookmarkStart w:id="23" w:name="_Toc192757650"/>
      <w:r>
        <w:rPr>
          <w:color w:val="auto"/>
        </w:rPr>
        <w:t>2.1 园区所在地基础条件</w:t>
      </w:r>
      <w:bookmarkEnd w:id="23"/>
    </w:p>
    <w:p>
      <w:pPr>
        <w:pStyle w:val="4"/>
        <w:rPr>
          <w:color w:val="auto"/>
        </w:rPr>
      </w:pPr>
      <w:bookmarkStart w:id="24" w:name="_Toc192757651"/>
      <w:r>
        <w:rPr>
          <w:color w:val="auto"/>
        </w:rPr>
        <w:t>2.1.1 园区所在地概况</w:t>
      </w:r>
      <w:bookmarkEnd w:id="24"/>
    </w:p>
    <w:p>
      <w:pPr>
        <w:rPr>
          <w:color w:val="auto"/>
        </w:rPr>
      </w:pPr>
      <w:r>
        <w:rPr>
          <w:color w:val="auto"/>
        </w:rPr>
        <w:t>淮南经开区位于淮南市东部新区，西接服务设施完备的主城区，东濒风景秀美的高塘湖，南依绿树成荫的舜耕山，北靠通江达海的千里淮河，座落于青山绿水之间。园区交通便捷，区位优越，206国道穿境而过，把东西城区连为一体；合徐高速、合淮阜高速、合蚌高速盘汇于此，把淮南与国内各大城市紧密相连；京福高铁淮南东站坐落在经开区，淮南、淮阜铁路横贯全市，与京沪、京广、陇海、京九四大动脉接轨；淮河水道四季通航，通江达海；距合肥新桥机场50分钟车程，距南京机场2.5小时车程，可直飞国内外各大城市。</w:t>
      </w:r>
    </w:p>
    <w:p>
      <w:pPr>
        <w:pStyle w:val="4"/>
        <w:rPr>
          <w:color w:val="auto"/>
        </w:rPr>
      </w:pPr>
      <w:bookmarkStart w:id="25" w:name="_Toc192757652"/>
      <w:r>
        <w:rPr>
          <w:color w:val="auto"/>
        </w:rPr>
        <w:t>2.1.2 经济状况</w:t>
      </w:r>
      <w:bookmarkEnd w:id="25"/>
    </w:p>
    <w:p>
      <w:pPr>
        <w:rPr>
          <w:color w:val="auto"/>
        </w:rPr>
      </w:pPr>
      <w:r>
        <w:rPr>
          <w:color w:val="auto"/>
        </w:rPr>
        <w:t>2023年，在市委、市政府的坚强领导下，淮南经济技术开发区深入贯彻落实中央决策部署和省市委工作要求，坚持拼经济、抓招商、攻项目、优环境、促发展，经济社会发展呈现积极恢复、平稳健康的良好态势。全年固定资产投资同比增长30.4%；其中工业投资增长134%，制造业投资增长155.4%，项目投资增长133.8%，新开工制造业增长226.8%，完成进出口总额增长40.2%，全市排名均为第一位；打破多年外资投资低位徘徊的局面，超额完成省级开发区考核任务，全省国家级经开区增幅排名第一位。</w:t>
      </w:r>
    </w:p>
    <w:p>
      <w:pPr>
        <w:pStyle w:val="4"/>
        <w:rPr>
          <w:color w:val="auto"/>
        </w:rPr>
      </w:pPr>
      <w:bookmarkStart w:id="26" w:name="_Toc192757653"/>
      <w:r>
        <w:rPr>
          <w:color w:val="auto"/>
        </w:rPr>
        <w:t>2.1.3 营商环境</w:t>
      </w:r>
      <w:bookmarkEnd w:id="26"/>
    </w:p>
    <w:p>
      <w:pPr>
        <w:rPr>
          <w:color w:val="auto"/>
        </w:rPr>
      </w:pPr>
      <w:r>
        <w:rPr>
          <w:color w:val="auto"/>
        </w:rPr>
        <w:t>淮南经开区加大公共服务投入力度，设立了（一站式）政务服务大厅，优化了服务流程，通过交办会固化项目入区落地流程，通过“四送一服”、“三包三抓”、创优“四最”营商环境等专项活动，提升入园企业满意度。</w:t>
      </w:r>
    </w:p>
    <w:p>
      <w:pPr>
        <w:rPr>
          <w:color w:val="auto"/>
        </w:rPr>
      </w:pPr>
      <w:r>
        <w:rPr>
          <w:color w:val="auto"/>
        </w:rPr>
        <w:t>区内基础设施配套完善，功能齐全。拥有热电站、变电站、污水处理厂、电信分局等配套设施。现已实现道路、供水、排水、供电、供热、燃气、通讯、有线电视和土地平整，可为投资提供“八通一平”的建设用地。</w:t>
      </w:r>
    </w:p>
    <w:p>
      <w:pPr>
        <w:rPr>
          <w:color w:val="auto"/>
        </w:rPr>
      </w:pPr>
      <w:r>
        <w:rPr>
          <w:color w:val="auto"/>
        </w:rPr>
        <w:t>进一步优化“工业做强”优惠政策办法和双招双引实施方案，积极协助企业开拓国际市场。健全领导、业务部门对接服务机制，主动掌握企业经营情况和发展意图，及时兑现各类惠企承诺，做好企业“问题清单”动态跟踪管理，协助企业拓展业务范围，常态化开展“遍访企业、助企纾困”、“优环境、稳经济”等系列活动。</w:t>
      </w:r>
    </w:p>
    <w:p>
      <w:pPr>
        <w:pStyle w:val="3"/>
        <w:rPr>
          <w:color w:val="auto"/>
        </w:rPr>
      </w:pPr>
      <w:bookmarkStart w:id="27" w:name="_Toc11017"/>
      <w:bookmarkEnd w:id="27"/>
      <w:bookmarkStart w:id="28" w:name="_Toc192757654"/>
      <w:r>
        <w:rPr>
          <w:color w:val="auto"/>
        </w:rPr>
        <w:t>2.2 化工园区基础条件</w:t>
      </w:r>
      <w:bookmarkEnd w:id="28"/>
    </w:p>
    <w:p>
      <w:pPr>
        <w:pStyle w:val="4"/>
        <w:rPr>
          <w:color w:val="auto"/>
        </w:rPr>
      </w:pPr>
      <w:bookmarkStart w:id="29" w:name="_Toc192757655"/>
      <w:r>
        <w:rPr>
          <w:color w:val="auto"/>
        </w:rPr>
        <w:t>2.2.1 化工园区产业概况</w:t>
      </w:r>
      <w:bookmarkEnd w:id="29"/>
    </w:p>
    <w:p>
      <w:pPr>
        <w:rPr>
          <w:color w:val="auto"/>
        </w:rPr>
      </w:pPr>
      <w:r>
        <w:rPr>
          <w:color w:val="auto"/>
        </w:rPr>
        <w:t>化工园区以国药集团国瑞药业有限公司、安徽山河药用辅料股份有限公司、安徽德邦化工有限公司为核心，主导产业为精细化工（重点发展医药化工）。目前园区已建成基础设施配套齐全、资源循环利用率高的化工产业园，初步形成了完整的产业链。</w:t>
      </w:r>
    </w:p>
    <w:p>
      <w:pPr>
        <w:rPr>
          <w:color w:val="auto"/>
        </w:rPr>
      </w:pPr>
      <w:r>
        <w:rPr>
          <w:color w:val="auto"/>
        </w:rPr>
        <w:t>2023年，淮南经开化工园区已投产化工企业7家，生产化工产品数十种，其中冻干粉针制剂、原料药、微晶纤维素、纯碱等在国内同行业占有重要地位。</w:t>
      </w:r>
    </w:p>
    <w:p>
      <w:pPr>
        <w:pStyle w:val="4"/>
        <w:rPr>
          <w:color w:val="auto"/>
        </w:rPr>
      </w:pPr>
      <w:bookmarkStart w:id="30" w:name="_Toc192757656"/>
      <w:r>
        <w:rPr>
          <w:color w:val="auto"/>
        </w:rPr>
        <w:t>2.2.2 自然条件</w:t>
      </w:r>
      <w:bookmarkEnd w:id="30"/>
    </w:p>
    <w:p>
      <w:pPr>
        <w:rPr>
          <w:color w:val="auto"/>
        </w:rPr>
      </w:pPr>
      <w:r>
        <w:rPr>
          <w:color w:val="auto"/>
        </w:rPr>
        <w:t>（1）气象气候</w:t>
      </w:r>
    </w:p>
    <w:p>
      <w:pPr>
        <w:rPr>
          <w:color w:val="auto"/>
        </w:rPr>
      </w:pPr>
      <w:r>
        <w:rPr>
          <w:color w:val="auto"/>
        </w:rPr>
        <w:t>淮南经开区境属北半球亚热带与温带的过渡地带，属暖温带气候。其特征是：热量丰富，日照充足，气候温和、雨量适中，夏季多雨，冬季干旱，四季分明，季风显著，无霜期长。但年际降水量变化大，季节分布不均匀，易形成旱涝灾害，春秋两季时热时冷，气温不稳定。淮南经开区内年平均气温15.3℃，最高16.4℃，最低14.3℃，一年中气温最高的是7月，平均气温28~28.4℃，最低的是1月，平均气温1.2℃。极端最高温度是1959年8月28日，达到41.4℃，最低温度出现在1955年1月16日，为零下22.2℃，日平均气温稳定通过0℃的天数有300~310天。全年中，春季风速最大，为3.2米/秒，夏季平均风速2.8米/秒，冬季则为2.7米/秒，风速大于秋季，小于春季，主要是夏季大风和雷雨天气多。秋季风速最小，平均值2.5米/秒。淮南经开区年平均降水量为900毫米，但年度间相差很大，季节雨水也不均匀。降雨量最大的是1956年，达到1428.3毫米，降水量最小的是1966年，只有471.9毫米。一年之中，夏季雨水最多，占年降水量的50%。春秋两季次之，分别占24.3%和17.8%。冬季最少，占7.9%。平均年降水天数为107天，其中，冬季19.3天，秋季23.2天，夏季31.6天，春季32.9天。日降水量最大的达136.9毫米，出现在1974年8月13日。</w:t>
      </w:r>
    </w:p>
    <w:p>
      <w:pPr>
        <w:rPr>
          <w:color w:val="auto"/>
        </w:rPr>
      </w:pPr>
      <w:bookmarkStart w:id="31" w:name="_Toc156223304"/>
      <w:bookmarkEnd w:id="31"/>
      <w:bookmarkStart w:id="32" w:name="_Toc493614337"/>
      <w:r>
        <w:rPr>
          <w:color w:val="auto"/>
        </w:rPr>
        <w:t>（</w:t>
      </w:r>
      <w:bookmarkEnd w:id="32"/>
      <w:r>
        <w:rPr>
          <w:color w:val="auto"/>
        </w:rPr>
        <w:t>2）地形地貌</w:t>
      </w:r>
    </w:p>
    <w:p>
      <w:pPr>
        <w:rPr>
          <w:color w:val="auto"/>
        </w:rPr>
      </w:pPr>
      <w:r>
        <w:rPr>
          <w:color w:val="auto"/>
        </w:rPr>
        <w:t>淮南经开区位于舜耕山北麓，淮河南岸，形成南高北低的倾斜地貌。地形由丘陵、河流、低山、湖泊、河湾构成。分为丘陵和平原两大地貌。上窑群山最高峰是朱家大山，海拔212米，海拔200米以上的还有光山、东历山、独山、大北山、洞山、魏家大山、鹰咀山、老鸽山等9座山丘。境内多山，绵延40余里，有山头39座。地面标高在23.5-28.9m之间。</w:t>
      </w:r>
    </w:p>
    <w:p>
      <w:pPr>
        <w:rPr>
          <w:color w:val="auto"/>
        </w:rPr>
      </w:pPr>
      <w:bookmarkStart w:id="33" w:name="_Toc493614338"/>
      <w:bookmarkEnd w:id="33"/>
      <w:bookmarkStart w:id="34" w:name="_Toc156223305"/>
      <w:r>
        <w:rPr>
          <w:color w:val="auto"/>
        </w:rPr>
        <w:t>（</w:t>
      </w:r>
      <w:bookmarkEnd w:id="34"/>
      <w:r>
        <w:rPr>
          <w:color w:val="auto"/>
        </w:rPr>
        <w:t>3）地质水文</w:t>
      </w:r>
    </w:p>
    <w:p>
      <w:pPr>
        <w:rPr>
          <w:color w:val="auto"/>
        </w:rPr>
      </w:pPr>
      <w:r>
        <w:rPr>
          <w:color w:val="auto"/>
        </w:rPr>
        <w:t>淮南经开区南高北低、南部和东部是丘陵地带、两山与淮河之间是平原。上窑山石和矿产资源主要有：陶土、紫砂、老泥、粘泥、拌子、迭层石、大理石、花岗岩、石灰岩、白云石、方解石、冰川石、赤土、轻质陶粒、太湖石、石乳、铁矿石、煤炭等，储藏量极为可观。舜耕山地质年龄约为1.5亿万年，有页岩、灰岩、砂岩组成，东首为残积、坡积土壤，多为石灰土。舜耕山下石炭、三叠纪地层有丰富的煤炭赋存，由于板块活动所致，舜耕山系形成逆掩断层，区境地层局部倒转，煤炭均为“立槽”。靠近淮河南岸的河谷湾地，属于第四纪更新世地层，其基质是近代黄泛冲积物构成，经过祖先多代耕作为潮土类土壤，耕地面积3万亩。河谷平原与丘陵之间是凸凹不平的岗地，同属第四纪更新世地层，基层下蜀系土，为黄棕壤土。</w:t>
      </w:r>
    </w:p>
    <w:p>
      <w:pPr>
        <w:rPr>
          <w:color w:val="auto"/>
        </w:rPr>
      </w:pPr>
      <w:r>
        <w:rPr>
          <w:color w:val="auto"/>
        </w:rPr>
        <w:t>淮南经开区有河流、湖泊、天然降水和地下水四大部分。淮河是生活和工农业生产用水的重要来源，境内长12.2公里，河道宽65－115米，深2.5－9.5米，也是重要的水路航道。水位最高的是1954年7月27日达到24.03米，水位最低的是1953年只有12.36米。据鲁台孜水文资料，50年代，淮河年均流量888立方米/秒。60年代为707立方米/秒。70年代为525.6立方米/秒。60年代比50年代减少20.4%，70年代又比60年代减少25.7%， 比50年代减少40.8%。年平均流量最小为111立方米/秒，多年最小月均流量104立方米/秒，多年平均枯水期流量仅为58.7立方米/秒，最大月与最小月平均流量相差22倍之多。高塘湖积水7万多亩，平均水深入2.5米，总容水量450万立方米。山泉、山涧和水库集中在上窑山内，共有31处山泉、5条山涧，2条提水坝。主要山泉有：凉泉、龙山泉、果老泉、乌龟泉、大山泉、大沙泉、老泉，它们汇集一条大山涧流入窑河。此外，另有响山泉、砚天泉、雷草洼泉、乌龟泉、牛鼻泉、黄泥泉、爬海泉、石眼泉、高埂泉、蒋坝泉、官泉、黑石大泉、赵桥泉、余家沟泉，共汇成3条山涧，流经大石棚、贡家庵、霍家桥流入窑河。还有老坝泉、烂泥泉、拦路泉、狼洞泉、罗泉、狗泉、马泉、老泉、小桥口泉、小水潭泉，汇集成外窑大涧，流入窑河。泉源水库大坝长350米，宽18米，高10米，蓄水60 万立方米。花果山下拦水坝长60米，宽12米，高4米，蓄水量6万立方米。外窑大桥北拦涧拦水坝，坝长80米，宽 14米，高5米，蓄水量8万立方米。淮河淮南段最高洪水位22.5m。</w:t>
      </w:r>
    </w:p>
    <w:p>
      <w:pPr>
        <w:rPr>
          <w:color w:val="auto"/>
        </w:rPr>
      </w:pPr>
      <w:bookmarkStart w:id="35" w:name="_Toc493614339"/>
      <w:bookmarkEnd w:id="35"/>
      <w:bookmarkStart w:id="36" w:name="_Toc156223306"/>
      <w:r>
        <w:rPr>
          <w:color w:val="auto"/>
        </w:rPr>
        <w:t>（</w:t>
      </w:r>
      <w:bookmarkEnd w:id="36"/>
      <w:r>
        <w:rPr>
          <w:color w:val="auto"/>
        </w:rPr>
        <w:t>4）地震</w:t>
      </w:r>
    </w:p>
    <w:p>
      <w:pPr>
        <w:rPr>
          <w:color w:val="auto"/>
        </w:rPr>
      </w:pPr>
      <w:r>
        <w:rPr>
          <w:color w:val="auto"/>
        </w:rPr>
        <w:t>根据《建筑抗震设计规范（2016版）》（GB50011-2010）、《建筑与市政工程抗震通用规范》（GB55002-2021）和《中国地震动参数区划图》（GB18306-2015），淮南经开区地震基本烈度为7度，设计基本地震加速度值为0.10g。</w:t>
      </w:r>
    </w:p>
    <w:p>
      <w:pPr>
        <w:pStyle w:val="4"/>
        <w:rPr>
          <w:color w:val="auto"/>
        </w:rPr>
      </w:pPr>
      <w:bookmarkStart w:id="37" w:name="_Toc192757657"/>
      <w:r>
        <w:rPr>
          <w:color w:val="auto"/>
        </w:rPr>
        <w:t>2.2.3 配套基础设施</w:t>
      </w:r>
      <w:bookmarkEnd w:id="37"/>
    </w:p>
    <w:p>
      <w:pPr>
        <w:rPr>
          <w:color w:val="auto"/>
        </w:rPr>
      </w:pPr>
      <w:r>
        <w:rPr>
          <w:color w:val="auto"/>
        </w:rPr>
        <w:t>（1）供水现状</w:t>
      </w:r>
    </w:p>
    <w:p>
      <w:pPr>
        <w:rPr>
          <w:color w:val="auto"/>
        </w:rPr>
      </w:pPr>
      <w:r>
        <w:rPr>
          <w:color w:val="auto"/>
        </w:rPr>
        <w:t>淮南经济技术开发区供水主要由首创公司第一水厂和第三水厂环网提供，设计供水能力为170000m</w:t>
      </w:r>
      <w:r>
        <w:rPr>
          <w:color w:val="auto"/>
          <w:vertAlign w:val="superscript"/>
        </w:rPr>
        <w:t>3</w:t>
      </w:r>
      <w:r>
        <w:rPr>
          <w:color w:val="auto"/>
        </w:rPr>
        <w:t>/d（含化工园区用水以及化工园区外用水），实际供水能力为90000m</w:t>
      </w:r>
      <w:r>
        <w:rPr>
          <w:color w:val="auto"/>
          <w:vertAlign w:val="superscript"/>
        </w:rPr>
        <w:t>3</w:t>
      </w:r>
      <w:r>
        <w:rPr>
          <w:color w:val="auto"/>
        </w:rPr>
        <w:t>/d（供化工园区能力20000m</w:t>
      </w:r>
      <w:r>
        <w:rPr>
          <w:color w:val="auto"/>
          <w:vertAlign w:val="superscript"/>
        </w:rPr>
        <w:t>3</w:t>
      </w:r>
      <w:r>
        <w:rPr>
          <w:color w:val="auto"/>
        </w:rPr>
        <w:t>/d，供化工园区外能力70000m</w:t>
      </w:r>
      <w:r>
        <w:rPr>
          <w:color w:val="auto"/>
          <w:vertAlign w:val="superscript"/>
        </w:rPr>
        <w:t>3</w:t>
      </w:r>
      <w:r>
        <w:rPr>
          <w:color w:val="auto"/>
        </w:rPr>
        <w:t>/d）。</w:t>
      </w:r>
    </w:p>
    <w:p>
      <w:pPr>
        <w:rPr>
          <w:color w:val="auto"/>
        </w:rPr>
      </w:pPr>
      <w:r>
        <w:rPr>
          <w:color w:val="auto"/>
        </w:rPr>
        <w:t>（2）供水规划</w:t>
      </w:r>
    </w:p>
    <w:p>
      <w:pPr>
        <w:rPr>
          <w:color w:val="auto"/>
        </w:rPr>
      </w:pPr>
      <w:r>
        <w:rPr>
          <w:color w:val="auto"/>
        </w:rPr>
        <w:t>区块一规划接城市给水管网沿着田东路由西向东供水总管为DN600，沿着建设路由南向北供水总管为DN300，能满足入园企业用水要求。</w:t>
      </w:r>
    </w:p>
    <w:p>
      <w:pPr>
        <w:rPr>
          <w:color w:val="auto"/>
        </w:rPr>
      </w:pPr>
      <w:r>
        <w:rPr>
          <w:color w:val="auto"/>
        </w:rPr>
        <w:t>化工园区（区块一）：规划接城市给水管网沿着田东路由西向东供水总管为 DN500，沿着建设路由南向北供水总管为DN300，沿着永兴路由南向北供水总管为DN100。德邦化工自建取水管为DN600。</w:t>
      </w:r>
    </w:p>
    <w:p>
      <w:pPr>
        <w:rPr>
          <w:color w:val="auto"/>
        </w:rPr>
      </w:pPr>
      <w:r>
        <w:rPr>
          <w:color w:val="auto"/>
        </w:rPr>
        <w:t>化工园区（区块二）：规划完善供水管网，实现二路供水系统。规划接城市给水管网（市政一、三水厂）沿着朝阳路由西向东供水总管为DN300，规划接城市给水管网（市政一水厂）沿着洛九由北向南供水总管为DN500，化工园区内给水支管DN300。</w:t>
      </w:r>
    </w:p>
    <w:p>
      <w:pPr>
        <w:rPr>
          <w:color w:val="auto"/>
        </w:rPr>
      </w:pPr>
      <w:r>
        <w:rPr>
          <w:color w:val="auto"/>
        </w:rPr>
        <w:t>近期规划将淮南首创经开区污水处理厂做为园区的中水水源，可为化工园区提供中水量为10000m</w:t>
      </w:r>
      <w:r>
        <w:rPr>
          <w:color w:val="auto"/>
          <w:vertAlign w:val="superscript"/>
        </w:rPr>
        <w:t>3</w:t>
      </w:r>
      <w:r>
        <w:rPr>
          <w:color w:val="auto"/>
        </w:rPr>
        <w:t>/d。</w:t>
      </w:r>
    </w:p>
    <w:p>
      <w:pPr>
        <w:rPr>
          <w:color w:val="auto"/>
        </w:rPr>
      </w:pPr>
      <w:r>
        <w:rPr>
          <w:color w:val="auto"/>
        </w:rPr>
        <w:t>（3）排水现状</w:t>
      </w:r>
    </w:p>
    <w:p>
      <w:pPr>
        <w:rPr>
          <w:color w:val="auto"/>
        </w:rPr>
      </w:pPr>
      <w:r>
        <w:rPr>
          <w:color w:val="auto"/>
        </w:rPr>
        <w:t>淮南经济技术开发区目前主要依托淮南第一污水处理厂，设计处理能力200000m</w:t>
      </w:r>
      <w:r>
        <w:rPr>
          <w:color w:val="auto"/>
          <w:vertAlign w:val="superscript"/>
        </w:rPr>
        <w:t>3</w:t>
      </w:r>
      <w:r>
        <w:rPr>
          <w:color w:val="auto"/>
        </w:rPr>
        <w:t>/d，实际处理能力100000m</w:t>
      </w:r>
      <w:r>
        <w:rPr>
          <w:color w:val="auto"/>
          <w:vertAlign w:val="superscript"/>
        </w:rPr>
        <w:t>3</w:t>
      </w:r>
      <w:r>
        <w:rPr>
          <w:color w:val="auto"/>
        </w:rPr>
        <w:t>/d（含化工企业10000m</w:t>
      </w:r>
      <w:r>
        <w:rPr>
          <w:color w:val="auto"/>
          <w:vertAlign w:val="superscript"/>
        </w:rPr>
        <w:t>3</w:t>
      </w:r>
      <w:r>
        <w:rPr>
          <w:color w:val="auto"/>
        </w:rPr>
        <w:t>/d和其他污水90000m</w:t>
      </w:r>
      <w:r>
        <w:rPr>
          <w:color w:val="auto"/>
          <w:vertAlign w:val="superscript"/>
        </w:rPr>
        <w:t>3</w:t>
      </w:r>
      <w:r>
        <w:rPr>
          <w:color w:val="auto"/>
        </w:rPr>
        <w:t>/d）以及淮南首创经开区工业污水处理厂，设计处理能力30000m</w:t>
      </w:r>
      <w:r>
        <w:rPr>
          <w:color w:val="auto"/>
          <w:vertAlign w:val="superscript"/>
        </w:rPr>
        <w:t>3</w:t>
      </w:r>
      <w:r>
        <w:rPr>
          <w:color w:val="auto"/>
        </w:rPr>
        <w:t>/d，实际处理能力10000m</w:t>
      </w:r>
      <w:r>
        <w:rPr>
          <w:color w:val="auto"/>
          <w:vertAlign w:val="superscript"/>
        </w:rPr>
        <w:t>3</w:t>
      </w:r>
      <w:r>
        <w:rPr>
          <w:color w:val="auto"/>
        </w:rPr>
        <w:t>/d（含化工企业污水8000m</w:t>
      </w:r>
      <w:r>
        <w:rPr>
          <w:color w:val="auto"/>
          <w:vertAlign w:val="superscript"/>
        </w:rPr>
        <w:t>3</w:t>
      </w:r>
      <w:r>
        <w:rPr>
          <w:color w:val="auto"/>
        </w:rPr>
        <w:t>/d以及非化工企业污水2000m</w:t>
      </w:r>
      <w:r>
        <w:rPr>
          <w:color w:val="auto"/>
          <w:vertAlign w:val="superscript"/>
        </w:rPr>
        <w:t>3</w:t>
      </w:r>
      <w:r>
        <w:rPr>
          <w:color w:val="auto"/>
        </w:rPr>
        <w:t>/d）。</w:t>
      </w:r>
    </w:p>
    <w:p>
      <w:pPr>
        <w:rPr>
          <w:color w:val="auto"/>
        </w:rPr>
      </w:pPr>
      <w:r>
        <w:rPr>
          <w:color w:val="auto"/>
        </w:rPr>
        <w:t>化工园区生活污水经厂内生活污水处理设施处理达到《污水综合排放标准》（GB8978-1996）三级标准后，排入污水排水管道，通过管道输送到淮南第一污水处理厂或淮南首创经开区工业污水处理厂</w:t>
      </w:r>
      <w:r>
        <w:rPr>
          <w:color w:val="auto"/>
          <w:spacing w:val="-4"/>
        </w:rPr>
        <w:t>处理达标后排放</w:t>
      </w:r>
      <w:r>
        <w:rPr>
          <w:color w:val="auto"/>
        </w:rPr>
        <w:t>。</w:t>
      </w:r>
    </w:p>
    <w:p>
      <w:pPr>
        <w:rPr>
          <w:color w:val="auto"/>
        </w:rPr>
      </w:pPr>
      <w:r>
        <w:rPr>
          <w:color w:val="auto"/>
        </w:rPr>
        <w:t>化工园区污染区域的初期雨水由厂内的雨水管道汇总收集后，排入厂内的初期雨水收集池/事故池，经过处理达到《污水综合排放标准》（GB8978-1996）三级标准后，排入污水排水管道，通过管道输送到淮南第一污水处理厂或淮南首创经开区工业污水处理厂。后期雨水和装置排出的未被污染的水（清洁下水），就近排入雨水排水管道，汇总后排入园区的雨水排水管道，最终排入淮河。</w:t>
      </w:r>
    </w:p>
    <w:p>
      <w:pPr>
        <w:rPr>
          <w:color w:val="auto"/>
        </w:rPr>
      </w:pPr>
      <w:r>
        <w:rPr>
          <w:color w:val="auto"/>
        </w:rPr>
        <w:t>（4）排水规划</w:t>
      </w:r>
    </w:p>
    <w:p>
      <w:pPr>
        <w:rPr>
          <w:color w:val="auto"/>
        </w:rPr>
      </w:pPr>
      <w:r>
        <w:rPr>
          <w:color w:val="auto"/>
        </w:rPr>
        <w:t>化工园区（区块一）：区块一企业污水管网收集至各自污水处理设施处理达到《污水综合排放标准》（GB8978-1996），泵送至淮南首创经开区工业污水处理厂。采用一企一管。</w:t>
      </w:r>
    </w:p>
    <w:p>
      <w:pPr>
        <w:rPr>
          <w:color w:val="auto"/>
        </w:rPr>
      </w:pPr>
      <w:r>
        <w:rPr>
          <w:color w:val="auto"/>
        </w:rPr>
        <w:t>雨水主干管电厂路西向东铺设，雨水管主管DN800-DN1000，雨水主干管田东路由西向 东铺设，雨水管主管DN600，雨水主干管建设路由南向北铺设，雨水管主管 DN800。</w:t>
      </w:r>
    </w:p>
    <w:p>
      <w:pPr>
        <w:rPr>
          <w:color w:val="auto"/>
        </w:rPr>
      </w:pPr>
      <w:r>
        <w:rPr>
          <w:color w:val="auto"/>
        </w:rPr>
        <w:t>化工园区（区块二）：区块二企业污水管网收集至各自污水处理设施处理达到《污水综合排放标准》（GB8978-1996），泵送至淮南首创经开区工业污水处理厂。采用一企一管。</w:t>
      </w:r>
    </w:p>
    <w:p>
      <w:pPr>
        <w:rPr>
          <w:color w:val="auto"/>
        </w:rPr>
      </w:pPr>
      <w:r>
        <w:rPr>
          <w:color w:val="auto"/>
        </w:rPr>
        <w:t>根据自然地形特点，“分区收集、就近排放”，雨水主干管</w:t>
      </w:r>
      <w:r>
        <w:rPr>
          <w:rFonts w:hint="eastAsia"/>
          <w:color w:val="auto"/>
        </w:rPr>
        <w:t>经</w:t>
      </w:r>
      <w:r>
        <w:rPr>
          <w:color w:val="auto"/>
        </w:rPr>
        <w:t>长宁路、吉安路、庆兴北路由西向东铺设，雨水管主管DN800，吉兴路由 南和由北铺设汇入庆兴北路，雨水管主管DN500，雨水主干管洛九路、东兴路由北向南铺设，雨水管主管DN800-DN1000，雨水经雨水管道汇集后排入水体。</w:t>
      </w:r>
    </w:p>
    <w:p>
      <w:pPr>
        <w:rPr>
          <w:color w:val="auto"/>
        </w:rPr>
      </w:pPr>
      <w:r>
        <w:rPr>
          <w:color w:val="auto"/>
        </w:rPr>
        <w:t>（5）供电现状</w:t>
      </w:r>
    </w:p>
    <w:p>
      <w:pPr>
        <w:rPr>
          <w:color w:val="auto"/>
        </w:rPr>
      </w:pPr>
      <w:r>
        <w:rPr>
          <w:color w:val="auto"/>
        </w:rPr>
        <w:t>淮南经济技术开发区目前拥有三座变电站，分别是220KV洛河变电站、110KV洛开变电站及110KV田东变电站，双电源及双回路供电可满足化工园区各企业一级负荷及二级负荷用电需求。</w:t>
      </w:r>
    </w:p>
    <w:p>
      <w:pPr>
        <w:rPr>
          <w:color w:val="auto"/>
        </w:rPr>
      </w:pPr>
      <w:r>
        <w:rPr>
          <w:color w:val="auto"/>
        </w:rPr>
        <w:t>（6）供电规划</w:t>
      </w:r>
    </w:p>
    <w:p>
      <w:pPr>
        <w:rPr>
          <w:color w:val="auto"/>
        </w:rPr>
      </w:pPr>
      <w:r>
        <w:rPr>
          <w:color w:val="auto"/>
        </w:rPr>
        <w:t>化工园区（区块一）依托220KV洛河变电站、110KV田东变电站，化工园区（区块二）依托110KV洛开变电站、220KV洛河变电站。220KV洛河变电站</w:t>
      </w:r>
      <w:r>
        <w:rPr>
          <w:rFonts w:hint="eastAsia"/>
          <w:color w:val="auto"/>
        </w:rPr>
        <w:t>、</w:t>
      </w:r>
      <w:r>
        <w:rPr>
          <w:color w:val="auto"/>
        </w:rPr>
        <w:t>110KV 田东变电站、110KV洛开变电站规划进一步完善供电出线。</w:t>
      </w:r>
    </w:p>
    <w:p>
      <w:pPr>
        <w:rPr>
          <w:color w:val="auto"/>
        </w:rPr>
      </w:pPr>
      <w:r>
        <w:rPr>
          <w:color w:val="auto"/>
        </w:rPr>
        <w:t xml:space="preserve">1）220KV洛河变电站：位于洛九路东侧，长富路南侧，距长富路约一公里，距朝阳路约2.5公里。110KV洛河变电站至化工园区附近出线规划： </w:t>
      </w:r>
    </w:p>
    <w:p>
      <w:pPr>
        <w:rPr>
          <w:color w:val="auto"/>
        </w:rPr>
      </w:pPr>
      <w:r>
        <w:rPr>
          <w:rFonts w:ascii="Cambria Math" w:hAnsi="Cambria Math" w:cs="Cambria Math"/>
          <w:color w:val="auto"/>
        </w:rPr>
        <w:t>①</w:t>
      </w:r>
      <w:r>
        <w:rPr>
          <w:color w:val="auto"/>
        </w:rPr>
        <w:t xml:space="preserve">延洛九路向南至朝阳路现有10KV四回路供电线路，从朝阳路开始分为二回路向东往高铁站、二回路向南往农场方向。 </w:t>
      </w:r>
    </w:p>
    <w:p>
      <w:pPr>
        <w:rPr>
          <w:color w:val="auto"/>
        </w:rPr>
      </w:pPr>
      <w:r>
        <w:rPr>
          <w:rFonts w:ascii="Cambria Math" w:hAnsi="Cambria Math" w:cs="Cambria Math"/>
          <w:color w:val="auto"/>
        </w:rPr>
        <w:t>②</w:t>
      </w:r>
      <w:r>
        <w:rPr>
          <w:color w:val="auto"/>
        </w:rPr>
        <w:t>延长富路向西过长宁路经吉兴路向南至朝阳路架设10KV四回路供电线路。</w:t>
      </w:r>
    </w:p>
    <w:p>
      <w:pPr>
        <w:rPr>
          <w:color w:val="auto"/>
        </w:rPr>
      </w:pPr>
      <w:r>
        <w:rPr>
          <w:rFonts w:ascii="Cambria Math" w:hAnsi="Cambria Math" w:cs="Cambria Math"/>
          <w:color w:val="auto"/>
        </w:rPr>
        <w:t>③</w:t>
      </w:r>
      <w:r>
        <w:rPr>
          <w:color w:val="auto"/>
        </w:rPr>
        <w:t xml:space="preserve">延东兴路附近至朝阳路架设10KV二回路供电线路。 </w:t>
      </w:r>
    </w:p>
    <w:p>
      <w:pPr>
        <w:rPr>
          <w:color w:val="auto"/>
        </w:rPr>
      </w:pPr>
      <w:r>
        <w:rPr>
          <w:rFonts w:ascii="Cambria Math" w:hAnsi="Cambria Math" w:cs="Cambria Math"/>
          <w:color w:val="auto"/>
        </w:rPr>
        <w:t>④</w:t>
      </w:r>
      <w:r>
        <w:rPr>
          <w:color w:val="auto"/>
        </w:rPr>
        <w:t>延朝阳路向西经河滨、振兴路架设10KV二回路供电线路至德邦化工。</w:t>
      </w:r>
    </w:p>
    <w:p>
      <w:pPr>
        <w:rPr>
          <w:color w:val="auto"/>
        </w:rPr>
      </w:pPr>
      <w:r>
        <w:rPr>
          <w:color w:val="auto"/>
        </w:rPr>
        <w:t>2）110KV洛开变电站：位于沿河路和锦绣路交口，距朝阳路约1.1公里。110KV洛开变电站至化工园区附近出线：</w:t>
      </w:r>
    </w:p>
    <w:p>
      <w:pPr>
        <w:rPr>
          <w:color w:val="auto"/>
        </w:rPr>
      </w:pPr>
      <w:r>
        <w:rPr>
          <w:rFonts w:ascii="Cambria Math" w:hAnsi="Cambria Math" w:cs="Cambria Math"/>
          <w:color w:val="auto"/>
        </w:rPr>
        <w:t>①</w:t>
      </w:r>
      <w:r>
        <w:rPr>
          <w:color w:val="auto"/>
        </w:rPr>
        <w:t xml:space="preserve">延沿河路向南至朝阳路国瑞药业西侧向西至经开区架设10KV四回路供电线路; </w:t>
      </w:r>
    </w:p>
    <w:p>
      <w:pPr>
        <w:rPr>
          <w:color w:val="auto"/>
        </w:rPr>
      </w:pPr>
      <w:r>
        <w:rPr>
          <w:rFonts w:ascii="Cambria Math" w:hAnsi="Cambria Math" w:cs="Cambria Math"/>
          <w:color w:val="auto"/>
        </w:rPr>
        <w:t>②</w:t>
      </w:r>
      <w:r>
        <w:rPr>
          <w:color w:val="auto"/>
        </w:rPr>
        <w:t>延锦绣路向西经庆兴路至朝阳路架设10KV四回路供电线路。</w:t>
      </w:r>
    </w:p>
    <w:p>
      <w:pPr>
        <w:rPr>
          <w:color w:val="auto"/>
        </w:rPr>
      </w:pPr>
      <w:r>
        <w:rPr>
          <w:color w:val="auto"/>
        </w:rPr>
        <w:t>3）110KV田东变电站：位于国庆东路和建设路交口，距朝阳路约1.5公里</w:t>
      </w:r>
      <w:r>
        <w:rPr>
          <w:rFonts w:hint="eastAsia"/>
          <w:color w:val="auto"/>
        </w:rPr>
        <w:t>。</w:t>
      </w:r>
      <w:r>
        <w:rPr>
          <w:color w:val="auto"/>
        </w:rPr>
        <w:t xml:space="preserve">110KV 田东变电站至化工园区附近出线： </w:t>
      </w:r>
    </w:p>
    <w:p>
      <w:pPr>
        <w:rPr>
          <w:color w:val="auto"/>
        </w:rPr>
      </w:pPr>
      <w:r>
        <w:rPr>
          <w:rFonts w:ascii="Cambria Math" w:hAnsi="Cambria Math" w:cs="Cambria Math"/>
          <w:color w:val="auto"/>
        </w:rPr>
        <w:t>①</w:t>
      </w:r>
      <w:r>
        <w:rPr>
          <w:color w:val="auto"/>
        </w:rPr>
        <w:t>延国庆东路向西和向东架设10KV四回路供电线路，从朝阳路开始分为二回路向东往高铁站、二回路向南往农场方向；</w:t>
      </w:r>
    </w:p>
    <w:p>
      <w:pPr>
        <w:rPr>
          <w:color w:val="auto"/>
        </w:rPr>
      </w:pPr>
      <w:r>
        <w:rPr>
          <w:rFonts w:ascii="Cambria Math" w:hAnsi="Cambria Math" w:cs="Cambria Math"/>
          <w:color w:val="auto"/>
        </w:rPr>
        <w:t>②</w:t>
      </w:r>
      <w:r>
        <w:rPr>
          <w:color w:val="auto"/>
        </w:rPr>
        <w:t>延振兴路架设10KV四回路供电线路至朝阳东路；</w:t>
      </w:r>
    </w:p>
    <w:p>
      <w:pPr>
        <w:rPr>
          <w:color w:val="auto"/>
        </w:rPr>
      </w:pPr>
      <w:r>
        <w:rPr>
          <w:rFonts w:ascii="Cambria Math" w:hAnsi="Cambria Math" w:cs="Cambria Math"/>
          <w:color w:val="auto"/>
        </w:rPr>
        <w:t>③</w:t>
      </w:r>
      <w:r>
        <w:rPr>
          <w:color w:val="auto"/>
        </w:rPr>
        <w:t>延建设路架设10KV四回路供电线路至朝阳东路；</w:t>
      </w:r>
    </w:p>
    <w:p>
      <w:pPr>
        <w:rPr>
          <w:color w:val="auto"/>
        </w:rPr>
      </w:pPr>
      <w:r>
        <w:rPr>
          <w:rFonts w:ascii="Cambria Math" w:hAnsi="Cambria Math" w:cs="Cambria Math"/>
          <w:color w:val="auto"/>
        </w:rPr>
        <w:t>④</w:t>
      </w:r>
      <w:r>
        <w:rPr>
          <w:color w:val="auto"/>
        </w:rPr>
        <w:t>延建设路架设10KV三回路供电线路至田东路；</w:t>
      </w:r>
    </w:p>
    <w:p>
      <w:pPr>
        <w:rPr>
          <w:color w:val="auto"/>
        </w:rPr>
      </w:pPr>
      <w:r>
        <w:rPr>
          <w:rFonts w:ascii="Cambria Math" w:hAnsi="Cambria Math" w:cs="Cambria Math"/>
          <w:color w:val="auto"/>
        </w:rPr>
        <w:t>⑤</w:t>
      </w:r>
      <w:r>
        <w:rPr>
          <w:color w:val="auto"/>
        </w:rPr>
        <w:t>延振兴路架设110KV专线至德邦化工；</w:t>
      </w:r>
    </w:p>
    <w:p>
      <w:pPr>
        <w:rPr>
          <w:color w:val="auto"/>
        </w:rPr>
      </w:pPr>
      <w:r>
        <w:rPr>
          <w:rFonts w:ascii="Cambria Math" w:hAnsi="Cambria Math" w:cs="Cambria Math"/>
          <w:color w:val="auto"/>
        </w:rPr>
        <w:t>⑥</w:t>
      </w:r>
      <w:r>
        <w:rPr>
          <w:color w:val="auto"/>
        </w:rPr>
        <w:t>延朝阳东路向西和向东架设10KV二回路供电线路。</w:t>
      </w:r>
    </w:p>
    <w:p>
      <w:pPr>
        <w:rPr>
          <w:color w:val="auto"/>
        </w:rPr>
      </w:pPr>
      <w:r>
        <w:rPr>
          <w:color w:val="auto"/>
        </w:rPr>
        <w:t>（7）供气现状</w:t>
      </w:r>
    </w:p>
    <w:p>
      <w:pPr>
        <w:rPr>
          <w:color w:val="auto"/>
        </w:rPr>
      </w:pPr>
      <w:r>
        <w:rPr>
          <w:color w:val="auto"/>
        </w:rPr>
        <w:t>化工园区（区块一）：目前德邦化工、恒诚制药、水卫士环保、均不涉及使用天然气。各企业涉及使用的氮气、压缩空气以及其它工业气体以各企业自配制氮机、空压机、工业气瓶供气为主。</w:t>
      </w:r>
    </w:p>
    <w:p>
      <w:pPr>
        <w:rPr>
          <w:color w:val="auto"/>
        </w:rPr>
      </w:pPr>
      <w:r>
        <w:rPr>
          <w:color w:val="auto"/>
        </w:rPr>
        <w:t>化工园区（区块二）：目前国瑞药业涉及使用天然气（燃气锅炉），由朝阳北路引DN160中压燃气管道，压力0.4MPa，至厂区内DN100低压燃气管道，压力2000Pa。国瑞药业、森吉制药、山河药辅涉及使用的氮气、压缩空气以及其它工业气体企业自配制氮机、空压机、工业气瓶供气为主。</w:t>
      </w:r>
    </w:p>
    <w:p>
      <w:pPr>
        <w:rPr>
          <w:color w:val="auto"/>
        </w:rPr>
      </w:pPr>
      <w:r>
        <w:rPr>
          <w:color w:val="auto"/>
        </w:rPr>
        <w:t>（8）供气规划</w:t>
      </w:r>
    </w:p>
    <w:p>
      <w:pPr>
        <w:rPr>
          <w:color w:val="auto"/>
        </w:rPr>
      </w:pPr>
      <w:r>
        <w:rPr>
          <w:color w:val="auto"/>
        </w:rPr>
        <w:t>规划燃气总用量为5x10</w:t>
      </w:r>
      <w:r>
        <w:rPr>
          <w:color w:val="auto"/>
          <w:vertAlign w:val="superscript"/>
        </w:rPr>
        <w:t>6</w:t>
      </w:r>
      <w:r>
        <w:rPr>
          <w:color w:val="auto"/>
        </w:rPr>
        <w:t>万大卡/年。化工园区的燃气由洛河天然气门站供应。洛河天然气门站位于洛河镇东，洛九路北的陈庄、王庄中间地段，洛河天然气门站接收上游天然气量约1.98亿Nm</w:t>
      </w:r>
      <w:r>
        <w:rPr>
          <w:color w:val="auto"/>
          <w:vertAlign w:val="superscript"/>
        </w:rPr>
        <w:t>3</w:t>
      </w:r>
      <w:r>
        <w:rPr>
          <w:color w:val="auto"/>
        </w:rPr>
        <w:t>/a，第二气源管道具备接收天然气能力约3.5亿Nm</w:t>
      </w:r>
      <w:r>
        <w:rPr>
          <w:color w:val="auto"/>
          <w:vertAlign w:val="superscript"/>
        </w:rPr>
        <w:t>3</w:t>
      </w:r>
      <w:r>
        <w:rPr>
          <w:color w:val="auto"/>
        </w:rPr>
        <w:t>/a。由国庆东路城市主干管引入淮南经济技术开发区，管径为DN400，在园区内部形成干管环网。根据拟建、在建项目安全评价报告，健坤制药拟使用天然气7万Nm</w:t>
      </w:r>
      <w:r>
        <w:rPr>
          <w:color w:val="auto"/>
          <w:vertAlign w:val="superscript"/>
        </w:rPr>
        <w:t>3</w:t>
      </w:r>
      <w:r>
        <w:rPr>
          <w:color w:val="auto"/>
        </w:rPr>
        <w:t>/a，锦德生物拟使用天然气92万Nm</w:t>
      </w:r>
      <w:r>
        <w:rPr>
          <w:color w:val="auto"/>
          <w:vertAlign w:val="superscript"/>
        </w:rPr>
        <w:t>3</w:t>
      </w:r>
      <w:r>
        <w:rPr>
          <w:color w:val="auto"/>
        </w:rPr>
        <w:t>/a。化工园区各企业涉及使用的氮气、压缩空气以及其它工业气体以各企业自配制氮机、空压机或工业气瓶或工业气储罐供气为主。</w:t>
      </w:r>
    </w:p>
    <w:p>
      <w:pPr>
        <w:rPr>
          <w:color w:val="auto"/>
        </w:rPr>
      </w:pPr>
      <w:r>
        <w:rPr>
          <w:color w:val="auto"/>
        </w:rPr>
        <w:t>（9）供热现状</w:t>
      </w:r>
    </w:p>
    <w:p>
      <w:pPr>
        <w:rPr>
          <w:color w:val="auto"/>
        </w:rPr>
      </w:pPr>
      <w:r>
        <w:rPr>
          <w:color w:val="auto"/>
        </w:rPr>
        <w:t>区块一：引自田家庵电厂2*320MW热电联产机组DN600供热管道，德邦化工的蒸汽需求来源于自建的75t/h锅炉和田家庵电厂热力提供蒸汽，总需求量</w:t>
      </w:r>
      <w:r>
        <w:rPr>
          <w:rFonts w:hint="eastAsia"/>
          <w:color w:val="auto"/>
        </w:rPr>
        <w:t>1</w:t>
      </w:r>
      <w:r>
        <w:rPr>
          <w:color w:val="auto"/>
        </w:rPr>
        <w:t>30t/h。恒诚制药、水卫士环保（目前停产）蒸汽由田家庵电厂热力厂、中润热电厂提供蒸汽，恒诚制药蒸汽用量为0.6t/h，水卫士环保（目前停产）蒸汽用量为0.5t/h。目前区块一蒸汽余量较大，且剩余发展空间不大，故能满足规划要求。</w:t>
      </w:r>
    </w:p>
    <w:p>
      <w:pPr>
        <w:rPr>
          <w:color w:val="auto"/>
        </w:rPr>
      </w:pPr>
      <w:r>
        <w:rPr>
          <w:color w:val="auto"/>
        </w:rPr>
        <w:t>区块二：引自田家庵电厂2*320MW热电联产机组DN600供热管道，蒸汽管道沿长宁路铺设，总管径为DN500，沿吉兴路铺设，管径为DN200，沿长宁路铺设，管径为DN200，最大供热能力300t/h。根据拟建、在建项目安全评价报告，国瑞药业、锦德生物、健坤制药、美泰医疗、中试基地、东盛友邦蒸汽拟使用量分别约21t/h、45.5t/h、3.2t/h、5.9t/h、6t/h、14t/h，总拟新增95.6t/h。</w:t>
      </w:r>
    </w:p>
    <w:p>
      <w:pPr>
        <w:rPr>
          <w:color w:val="auto"/>
        </w:rPr>
      </w:pPr>
      <w:r>
        <w:rPr>
          <w:color w:val="auto"/>
        </w:rPr>
        <w:t>（10）供热规划</w:t>
      </w:r>
    </w:p>
    <w:p>
      <w:pPr>
        <w:rPr>
          <w:color w:val="auto"/>
        </w:rPr>
      </w:pPr>
      <w:r>
        <w:rPr>
          <w:color w:val="auto"/>
        </w:rPr>
        <w:t>区块一蒸汽管道来自田家庵电厂热力厂，蒸汽管道沿电厂路-建设路-田东路铺设</w:t>
      </w:r>
    </w:p>
    <w:p>
      <w:pPr>
        <w:rPr>
          <w:color w:val="auto"/>
        </w:rPr>
      </w:pPr>
      <w:r>
        <w:rPr>
          <w:color w:val="auto"/>
        </w:rPr>
        <w:t>区块二蒸汽管道来自田家庵电厂热力厂，蒸汽管道沿长宁路-华兴路-吉安路-东兴路铺设，总管径为DN500。沿长宁路铺设至区块二国瑞制药支管管径为DN200，由吉安路接入东兴路北管径为DN200，最大供热能力300t/h。化工园区各企业供热以自建燃气锅炉、余热锅炉、燃气导热油炉供热为备用热源。</w:t>
      </w:r>
    </w:p>
    <w:p>
      <w:pPr>
        <w:pStyle w:val="4"/>
        <w:rPr>
          <w:color w:val="auto"/>
        </w:rPr>
      </w:pPr>
      <w:bookmarkStart w:id="38" w:name="_Toc192757658"/>
      <w:r>
        <w:rPr>
          <w:color w:val="auto"/>
        </w:rPr>
        <w:t>2.2.4 交通</w:t>
      </w:r>
      <w:bookmarkEnd w:id="38"/>
    </w:p>
    <w:p>
      <w:pPr>
        <w:rPr>
          <w:color w:val="auto"/>
        </w:rPr>
      </w:pPr>
      <w:r>
        <w:rPr>
          <w:color w:val="auto"/>
        </w:rPr>
        <w:t>化工园区对外运输道路：蚌淮高速、洞山东路、建设北路、朝阳东路。</w:t>
      </w:r>
    </w:p>
    <w:p>
      <w:pPr>
        <w:rPr>
          <w:color w:val="auto"/>
        </w:rPr>
      </w:pPr>
      <w:r>
        <w:rPr>
          <w:color w:val="auto"/>
        </w:rPr>
        <w:t>化工园区（区块一）：内部运输道路：田东路、建设北路、永兴路。其中建设北路（德邦化工段）为危险化学品运输专用道路。</w:t>
      </w:r>
    </w:p>
    <w:p>
      <w:pPr>
        <w:rPr>
          <w:color w:val="auto"/>
        </w:rPr>
      </w:pPr>
      <w:r>
        <w:rPr>
          <w:color w:val="auto"/>
        </w:rPr>
        <w:t>化工园区（区块二）：内部运输道路：长宁路、吉安路、长富路（园区内西段已建，园区内东段未建）、洛九路、东兴路、朝阳东路、吉兴路、庆兴路（园区内西段已建，园区内东段未建）。其中吉兴路（化工园区段）为危险化学品运输专用道路，长宁路（华兴路与洛九路段）、吉安路（华兴路与洛九路段）、长富路（华兴路与洛九路段）、华兴路（长宁路与长富路段）为危险化学品运输专用车道。</w:t>
      </w:r>
    </w:p>
    <w:p>
      <w:pPr>
        <w:pStyle w:val="4"/>
        <w:rPr>
          <w:color w:val="auto"/>
        </w:rPr>
      </w:pPr>
      <w:bookmarkStart w:id="39" w:name="_Toc192757659"/>
      <w:r>
        <w:rPr>
          <w:color w:val="auto"/>
        </w:rPr>
        <w:t>2.2.</w:t>
      </w:r>
      <w:r>
        <w:rPr>
          <w:rFonts w:hint="eastAsia"/>
          <w:color w:val="auto"/>
        </w:rPr>
        <w:t>5</w:t>
      </w:r>
      <w:r>
        <w:rPr>
          <w:color w:val="auto"/>
        </w:rPr>
        <w:t xml:space="preserve"> </w:t>
      </w:r>
      <w:r>
        <w:rPr>
          <w:rFonts w:hint="eastAsia"/>
          <w:color w:val="auto"/>
        </w:rPr>
        <w:t>用地</w:t>
      </w:r>
      <w:bookmarkEnd w:id="39"/>
    </w:p>
    <w:p>
      <w:r>
        <w:rPr>
          <w:rFonts w:hint="eastAsia"/>
        </w:rPr>
        <w:t>（1）用地现状</w:t>
      </w:r>
    </w:p>
    <w:p>
      <w:pPr>
        <w:rPr>
          <w:color w:val="auto"/>
        </w:rPr>
      </w:pPr>
      <w:r>
        <w:rPr>
          <w:rFonts w:hint="eastAsia"/>
          <w:color w:val="auto"/>
        </w:rPr>
        <w:t>化工园区目前区块一总规划面积</w:t>
      </w:r>
      <w:r>
        <w:rPr>
          <w:color w:val="auto"/>
        </w:rPr>
        <w:t>33.04</w:t>
      </w:r>
      <w:r>
        <w:rPr>
          <w:rFonts w:hint="eastAsia"/>
          <w:color w:val="auto"/>
        </w:rPr>
        <w:t>公顷，已开发面积</w:t>
      </w:r>
      <w:r>
        <w:rPr>
          <w:color w:val="auto"/>
        </w:rPr>
        <w:t>32.38</w:t>
      </w:r>
      <w:r>
        <w:rPr>
          <w:rFonts w:hint="eastAsia"/>
          <w:color w:val="auto"/>
        </w:rPr>
        <w:t>公顷，道路绿化</w:t>
      </w:r>
      <w:r>
        <w:rPr>
          <w:color w:val="auto"/>
        </w:rPr>
        <w:t xml:space="preserve">0.66 </w:t>
      </w:r>
      <w:r>
        <w:rPr>
          <w:rFonts w:hint="eastAsia"/>
          <w:color w:val="auto"/>
        </w:rPr>
        <w:t>公顷，目前工业用地已经全部开发。区块二总规划面积</w:t>
      </w:r>
      <w:r>
        <w:rPr>
          <w:color w:val="auto"/>
        </w:rPr>
        <w:t>120.10</w:t>
      </w:r>
      <w:r>
        <w:rPr>
          <w:rFonts w:hint="eastAsia"/>
          <w:color w:val="auto"/>
        </w:rPr>
        <w:t>公顷，工矿用地（三类工业用地）</w:t>
      </w:r>
      <w:r>
        <w:rPr>
          <w:color w:val="auto"/>
        </w:rPr>
        <w:t>107.86</w:t>
      </w:r>
      <w:r>
        <w:rPr>
          <w:rFonts w:hint="eastAsia"/>
          <w:color w:val="auto"/>
        </w:rPr>
        <w:t>公顷，已开发面积</w:t>
      </w:r>
      <w:r>
        <w:rPr>
          <w:color w:val="auto"/>
        </w:rPr>
        <w:t>67.02</w:t>
      </w:r>
      <w:r>
        <w:rPr>
          <w:rFonts w:hint="eastAsia"/>
          <w:color w:val="auto"/>
        </w:rPr>
        <w:t>公顷，道路绿化及公共设施用地</w:t>
      </w:r>
      <w:r>
        <w:rPr>
          <w:color w:val="auto"/>
        </w:rPr>
        <w:t>12.24</w:t>
      </w:r>
      <w:r>
        <w:rPr>
          <w:rFonts w:hint="eastAsia"/>
          <w:color w:val="auto"/>
        </w:rPr>
        <w:t>公顷，未开发面积</w:t>
      </w:r>
      <w:r>
        <w:rPr>
          <w:color w:val="auto"/>
        </w:rPr>
        <w:t>40.84</w:t>
      </w:r>
      <w:r>
        <w:rPr>
          <w:rFonts w:hint="eastAsia"/>
          <w:color w:val="auto"/>
        </w:rPr>
        <w:t>公顷。规划用地现状主要为道路、企业已建成区及其已征和待征建设用地。</w:t>
      </w:r>
    </w:p>
    <w:p>
      <w:r>
        <w:rPr>
          <w:rFonts w:hint="eastAsia"/>
        </w:rPr>
        <w:t>（2）用地性质表</w:t>
      </w:r>
    </w:p>
    <w:p>
      <w:pPr>
        <w:jc w:val="center"/>
        <w:rPr>
          <w:color w:val="auto"/>
        </w:rPr>
      </w:pPr>
      <w:r>
        <w:rPr>
          <w:rFonts w:hint="eastAsia"/>
          <w:color w:val="auto"/>
        </w:rPr>
        <w:t>表2-1 总用地平衡表</w:t>
      </w:r>
    </w:p>
    <w:p>
      <w:pPr>
        <w:pStyle w:val="33"/>
        <w:jc w:val="both"/>
        <w:rPr>
          <w:lang w:bidi="zh-CN"/>
        </w:rPr>
      </w:pPr>
      <w:r>
        <w:drawing>
          <wp:inline distT="0" distB="0" distL="0" distR="0">
            <wp:extent cx="5274310" cy="1743710"/>
            <wp:effectExtent l="0" t="0" r="2540" b="8890"/>
            <wp:docPr id="16556575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57547" name="图片 1"/>
                    <pic:cNvPicPr>
                      <a:picLocks noChangeAspect="1"/>
                    </pic:cNvPicPr>
                  </pic:nvPicPr>
                  <pic:blipFill>
                    <a:blip r:embed="rId20"/>
                    <a:stretch>
                      <a:fillRect/>
                    </a:stretch>
                  </pic:blipFill>
                  <pic:spPr>
                    <a:xfrm>
                      <a:off x="0" y="0"/>
                      <a:ext cx="5274310" cy="1743710"/>
                    </a:xfrm>
                    <a:prstGeom prst="rect">
                      <a:avLst/>
                    </a:prstGeom>
                  </pic:spPr>
                </pic:pic>
              </a:graphicData>
            </a:graphic>
          </wp:inline>
        </w:drawing>
      </w:r>
    </w:p>
    <w:p>
      <w:pPr>
        <w:jc w:val="center"/>
        <w:rPr>
          <w:color w:val="auto"/>
        </w:rPr>
      </w:pPr>
      <w:r>
        <w:rPr>
          <w:rFonts w:hint="eastAsia"/>
          <w:color w:val="auto"/>
        </w:rPr>
        <w:t>表2-2 各类工业用地表</w:t>
      </w:r>
    </w:p>
    <w:p>
      <w:pPr>
        <w:pStyle w:val="33"/>
        <w:jc w:val="both"/>
        <w:rPr>
          <w:lang w:bidi="zh-CN"/>
        </w:rPr>
      </w:pPr>
      <w:r>
        <w:drawing>
          <wp:inline distT="0" distB="0" distL="0" distR="0">
            <wp:extent cx="5274310" cy="2591435"/>
            <wp:effectExtent l="0" t="0" r="2540" b="0"/>
            <wp:docPr id="20786756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675685" name="图片 1"/>
                    <pic:cNvPicPr>
                      <a:picLocks noChangeAspect="1"/>
                    </pic:cNvPicPr>
                  </pic:nvPicPr>
                  <pic:blipFill>
                    <a:blip r:embed="rId21"/>
                    <a:stretch>
                      <a:fillRect/>
                    </a:stretch>
                  </pic:blipFill>
                  <pic:spPr>
                    <a:xfrm>
                      <a:off x="0" y="0"/>
                      <a:ext cx="5274310" cy="2591435"/>
                    </a:xfrm>
                    <a:prstGeom prst="rect">
                      <a:avLst/>
                    </a:prstGeom>
                  </pic:spPr>
                </pic:pic>
              </a:graphicData>
            </a:graphic>
          </wp:inline>
        </w:drawing>
      </w:r>
    </w:p>
    <w:p>
      <w:pPr>
        <w:jc w:val="center"/>
        <w:rPr>
          <w:color w:val="auto"/>
        </w:rPr>
      </w:pPr>
      <w:r>
        <w:rPr>
          <w:rFonts w:hint="eastAsia"/>
          <w:color w:val="auto"/>
        </w:rPr>
        <w:t>表2-3 各类基础设施用地表</w:t>
      </w:r>
    </w:p>
    <w:p>
      <w:pPr>
        <w:pStyle w:val="33"/>
        <w:jc w:val="both"/>
        <w:rPr>
          <w:lang w:bidi="zh-CN"/>
        </w:rPr>
      </w:pPr>
      <w:r>
        <w:drawing>
          <wp:inline distT="0" distB="0" distL="0" distR="0">
            <wp:extent cx="5274310" cy="687070"/>
            <wp:effectExtent l="0" t="0" r="2540" b="0"/>
            <wp:docPr id="7897934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93414" name="图片 1"/>
                    <pic:cNvPicPr>
                      <a:picLocks noChangeAspect="1"/>
                    </pic:cNvPicPr>
                  </pic:nvPicPr>
                  <pic:blipFill>
                    <a:blip r:embed="rId22"/>
                    <a:stretch>
                      <a:fillRect/>
                    </a:stretch>
                  </pic:blipFill>
                  <pic:spPr>
                    <a:xfrm>
                      <a:off x="0" y="0"/>
                      <a:ext cx="5274310" cy="687070"/>
                    </a:xfrm>
                    <a:prstGeom prst="rect">
                      <a:avLst/>
                    </a:prstGeom>
                  </pic:spPr>
                </pic:pic>
              </a:graphicData>
            </a:graphic>
          </wp:inline>
        </w:drawing>
      </w:r>
    </w:p>
    <w:p>
      <w:r>
        <w:rPr>
          <w:rFonts w:hint="eastAsia"/>
        </w:rPr>
        <w:t>（3）用地性质调整</w:t>
      </w:r>
    </w:p>
    <w:p>
      <w:pPr>
        <w:rPr>
          <w:color w:val="auto"/>
        </w:rPr>
      </w:pPr>
      <w:r>
        <w:rPr>
          <w:rFonts w:hint="eastAsia"/>
          <w:color w:val="auto"/>
        </w:rPr>
        <w:t xml:space="preserve">化工园区各类用地应比例适宜，以满足化工园区生产、仓储运输、环境保护以及卫生防护需要。依据《淮南经济技术开发区建设路东侧 </w:t>
      </w:r>
      <w:r>
        <w:rPr>
          <w:color w:val="auto"/>
        </w:rPr>
        <w:t xml:space="preserve">D02-A2 </w:t>
      </w:r>
      <w:r>
        <w:rPr>
          <w:rFonts w:hint="eastAsia"/>
          <w:color w:val="auto"/>
        </w:rPr>
        <w:t xml:space="preserve">地块、长宁 路北侧 </w:t>
      </w:r>
      <w:r>
        <w:rPr>
          <w:color w:val="auto"/>
        </w:rPr>
        <w:t xml:space="preserve">D06-A1 </w:t>
      </w:r>
      <w:r>
        <w:rPr>
          <w:rFonts w:hint="eastAsia"/>
          <w:color w:val="auto"/>
        </w:rPr>
        <w:t xml:space="preserve">地块、朝阳东路北侧淮南经济技术开发区 </w:t>
      </w:r>
      <w:r>
        <w:rPr>
          <w:color w:val="auto"/>
        </w:rPr>
        <w:t xml:space="preserve">D06-B1 </w:t>
      </w:r>
      <w:r>
        <w:rPr>
          <w:rFonts w:hint="eastAsia"/>
          <w:color w:val="auto"/>
        </w:rPr>
        <w:t>地块详细规划的批复》（淮府秘〔</w:t>
      </w:r>
      <w:r>
        <w:rPr>
          <w:color w:val="auto"/>
        </w:rPr>
        <w:t>2024</w:t>
      </w:r>
      <w:r>
        <w:rPr>
          <w:rFonts w:hint="eastAsia"/>
          <w:color w:val="auto"/>
        </w:rPr>
        <w:t>〕</w:t>
      </w:r>
      <w:r>
        <w:rPr>
          <w:color w:val="auto"/>
        </w:rPr>
        <w:t xml:space="preserve">88 </w:t>
      </w:r>
      <w:r>
        <w:rPr>
          <w:rFonts w:hint="eastAsia"/>
          <w:color w:val="auto"/>
        </w:rPr>
        <w:t>号）化工园区原二类工业用地全部调整为三类工业用地。化工园区用地属于工业用地都为三类工业用地。</w:t>
      </w:r>
      <w:r>
        <w:rPr>
          <w:color w:val="auto"/>
        </w:rPr>
        <w:br w:type="page"/>
      </w:r>
    </w:p>
    <w:p>
      <w:pPr>
        <w:pStyle w:val="2"/>
        <w:rPr>
          <w:rFonts w:ascii="Times New Roman" w:hAnsi="Times New Roman" w:eastAsia="仿宋_GB2312" w:cs="Times New Roman"/>
          <w:b/>
          <w:bCs/>
          <w:color w:val="auto"/>
          <w:kern w:val="36"/>
        </w:rPr>
      </w:pPr>
      <w:bookmarkStart w:id="40" w:name="_Toc14411"/>
      <w:bookmarkEnd w:id="40"/>
      <w:bookmarkStart w:id="41" w:name="_Toc192757660"/>
      <w:r>
        <w:rPr>
          <w:rFonts w:ascii="Times New Roman" w:hAnsi="Times New Roman" w:eastAsia="仿宋_GB2312" w:cs="Times New Roman"/>
          <w:b/>
          <w:bCs/>
          <w:color w:val="auto"/>
          <w:kern w:val="36"/>
        </w:rPr>
        <w:t>第三章 总体要求</w:t>
      </w:r>
      <w:bookmarkEnd w:id="41"/>
    </w:p>
    <w:p>
      <w:pPr>
        <w:pStyle w:val="3"/>
        <w:rPr>
          <w:color w:val="auto"/>
        </w:rPr>
      </w:pPr>
      <w:bookmarkStart w:id="42" w:name="_Toc30997"/>
      <w:bookmarkEnd w:id="42"/>
      <w:bookmarkStart w:id="43" w:name="_Toc192757661"/>
      <w:r>
        <w:rPr>
          <w:color w:val="auto"/>
        </w:rPr>
        <w:t>3.1 指导思想</w:t>
      </w:r>
      <w:bookmarkEnd w:id="43"/>
    </w:p>
    <w:p>
      <w:pPr>
        <w:rPr>
          <w:color w:val="auto"/>
        </w:rPr>
      </w:pPr>
      <w:r>
        <w:rPr>
          <w:color w:val="auto"/>
        </w:rPr>
        <w:t>坚持以习近平新时代中国特色社会主义思想为指导，深入贯彻党的二十大精神，落实习近平总书记系列重要讲话指示精神和考察安徽重要讲话指示精神，持续增强地区产业核心竞争力，推动质量提升和品牌建设，不断引领产业向中高端跃升。巩固优势产业领先地位，推动战略性新兴产业融合集群发展，加快构建具有智能化、绿色化、融合化特征和符合完整性、先进性、安全性要求的现代化产业体系。</w:t>
      </w:r>
      <w:r>
        <w:rPr>
          <w:rFonts w:hint="eastAsia"/>
          <w:color w:val="auto"/>
        </w:rPr>
        <w:t>园区</w:t>
      </w:r>
      <w:r>
        <w:rPr>
          <w:color w:val="auto"/>
        </w:rPr>
        <w:t>着力提升改造传统化工产业，加快培育生物医药、化工新材料等高端精细化学品产业</w:t>
      </w:r>
      <w:r>
        <w:rPr>
          <w:rFonts w:hint="eastAsia"/>
          <w:color w:val="auto"/>
        </w:rPr>
        <w:t>，加快产业转型升级。</w:t>
      </w:r>
    </w:p>
    <w:p>
      <w:pPr>
        <w:rPr>
          <w:color w:val="auto"/>
        </w:rPr>
      </w:pPr>
      <w:r>
        <w:rPr>
          <w:color w:val="auto"/>
        </w:rPr>
        <w:t>注重和践行化工责任关怀，以市场需求为导向，以重点化工企业为依托，以科技进步和自主创新为支撑，以产业集聚发展为方向，以高新技术为手段，以经济效益为核心，</w:t>
      </w:r>
    </w:p>
    <w:p>
      <w:pPr>
        <w:pStyle w:val="3"/>
        <w:rPr>
          <w:color w:val="auto"/>
        </w:rPr>
      </w:pPr>
      <w:bookmarkStart w:id="44" w:name="_Toc10934"/>
      <w:bookmarkEnd w:id="44"/>
      <w:bookmarkStart w:id="45" w:name="_Toc192757662"/>
      <w:r>
        <w:rPr>
          <w:color w:val="auto"/>
        </w:rPr>
        <w:t>3.2 发展原则</w:t>
      </w:r>
      <w:bookmarkEnd w:id="45"/>
    </w:p>
    <w:p>
      <w:pPr>
        <w:ind w:firstLine="562"/>
        <w:rPr>
          <w:color w:val="auto"/>
        </w:rPr>
      </w:pPr>
      <w:r>
        <w:rPr>
          <w:b/>
          <w:color w:val="auto"/>
        </w:rPr>
        <w:t>创新驱动、转型发展。</w:t>
      </w:r>
      <w:r>
        <w:rPr>
          <w:color w:val="auto"/>
        </w:rPr>
        <w:t>加快创新主体能力提升，加强各类创新平台建设，组织开展关键技术攻关，推动新技术、新产业、新业态、新经济蓬勃发展。围绕上下游产业配套，进一步延长产业链、打造产业集群，大力引进高质量项目，推动产业向高端化、精细化方向发展。</w:t>
      </w:r>
    </w:p>
    <w:p>
      <w:pPr>
        <w:ind w:firstLine="562"/>
        <w:rPr>
          <w:color w:val="auto"/>
        </w:rPr>
      </w:pPr>
      <w:r>
        <w:rPr>
          <w:b/>
          <w:color w:val="auto"/>
        </w:rPr>
        <w:t>生态文明、绿色发展。</w:t>
      </w:r>
      <w:r>
        <w:rPr>
          <w:color w:val="auto"/>
        </w:rPr>
        <w:t>统筹资源环境承载能力，牢固树立绿色发展理念，推进化工产业绿色转型，推进资源综合利用。大力实施生态优先战略，推进资源利用节约化、生产方式绿色化、产业发展循环化。</w:t>
      </w:r>
    </w:p>
    <w:p>
      <w:pPr>
        <w:ind w:firstLine="562"/>
        <w:rPr>
          <w:color w:val="auto"/>
        </w:rPr>
      </w:pPr>
      <w:r>
        <w:rPr>
          <w:b/>
          <w:color w:val="auto"/>
        </w:rPr>
        <w:t>本质安全、智能发展。</w:t>
      </w:r>
      <w:r>
        <w:rPr>
          <w:color w:val="auto"/>
        </w:rPr>
        <w:t>树立安全生产理念，建立上下贯通、横向联通的安全风险防控体系，提高企业、园区安全生产水平，加强安全生产监督管理，保障产业和经济安全。采用智能化、数字化、可视化的技术手段，赋能化工园区消防、安全、环保、应急、能源等领域管理，提升管理效率和质量，降低成本，实现“智慧+化工”的高质量发展之路。</w:t>
      </w:r>
    </w:p>
    <w:p>
      <w:pPr>
        <w:ind w:firstLine="562"/>
        <w:rPr>
          <w:color w:val="auto"/>
        </w:rPr>
      </w:pPr>
      <w:r>
        <w:rPr>
          <w:b/>
          <w:color w:val="auto"/>
        </w:rPr>
        <w:t>区域协调、开放合作。</w:t>
      </w:r>
      <w:r>
        <w:rPr>
          <w:color w:val="auto"/>
        </w:rPr>
        <w:t>依托现有产业基础，充分整合与利用淮南市等区域资源，以园区发展为平台，以技术进步和科技创新为支撑，吸引国有、民营、外资等多元化投资，大力发展精细化工产业，打造技术先进、关联性强、符合循环经济要求、有特色和比较优势的高端产业集群，加强国际、国内和区域合作，推动互利共赢、共同发展。</w:t>
      </w:r>
    </w:p>
    <w:p>
      <w:pPr>
        <w:pStyle w:val="3"/>
        <w:rPr>
          <w:color w:val="auto"/>
        </w:rPr>
      </w:pPr>
      <w:bookmarkStart w:id="46" w:name="_Toc28865"/>
      <w:bookmarkEnd w:id="46"/>
      <w:bookmarkStart w:id="47" w:name="_Toc192757663"/>
      <w:r>
        <w:rPr>
          <w:color w:val="auto"/>
        </w:rPr>
        <w:t>3.3发展目标</w:t>
      </w:r>
      <w:bookmarkEnd w:id="47"/>
    </w:p>
    <w:p>
      <w:pPr>
        <w:pStyle w:val="4"/>
        <w:rPr>
          <w:color w:val="auto"/>
        </w:rPr>
      </w:pPr>
      <w:bookmarkStart w:id="48" w:name="_Toc192757664"/>
      <w:r>
        <w:rPr>
          <w:color w:val="auto"/>
        </w:rPr>
        <w:t>3.3.1 产值目标</w:t>
      </w:r>
      <w:bookmarkEnd w:id="48"/>
    </w:p>
    <w:p>
      <w:pPr>
        <w:rPr>
          <w:color w:val="auto"/>
        </w:rPr>
      </w:pPr>
      <w:r>
        <w:rPr>
          <w:color w:val="auto"/>
        </w:rPr>
        <w:t>坚持“以升促建”，补齐发展短板，推进淮南经开化工园区经济转型升级、提质增效，综合实力大幅度提升，到2030年底园区企业总产值达到144.5亿元。</w:t>
      </w:r>
    </w:p>
    <w:p>
      <w:pPr>
        <w:pStyle w:val="4"/>
        <w:rPr>
          <w:color w:val="auto"/>
        </w:rPr>
      </w:pPr>
      <w:bookmarkStart w:id="49" w:name="_Toc192757665"/>
      <w:r>
        <w:rPr>
          <w:color w:val="auto"/>
        </w:rPr>
        <w:t>3.3.2 产业发展定位</w:t>
      </w:r>
      <w:bookmarkEnd w:id="49"/>
    </w:p>
    <w:p>
      <w:pPr>
        <w:rPr>
          <w:color w:val="auto"/>
        </w:rPr>
      </w:pPr>
      <w:r>
        <w:rPr>
          <w:color w:val="auto"/>
        </w:rPr>
        <w:t>淮南经开化工园区着力提升改造传统化工产业，加快培育生物医药、化工新材料等高端精细化学品产业，并形成功能布局合理、主导产业明晰、资源利用高效、基础设施完善，具有核心竞争力的现代化化工产业园区。</w:t>
      </w:r>
    </w:p>
    <w:p>
      <w:pPr>
        <w:ind w:firstLine="0" w:firstLineChars="0"/>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33"/>
        <w:rPr>
          <w:color w:val="auto"/>
        </w:rPr>
      </w:pPr>
    </w:p>
    <w:p>
      <w:pPr>
        <w:pStyle w:val="2"/>
        <w:rPr>
          <w:rFonts w:ascii="Times New Roman" w:hAnsi="Times New Roman" w:eastAsia="仿宋_GB2312" w:cs="Times New Roman"/>
          <w:b/>
          <w:bCs/>
          <w:color w:val="auto"/>
          <w:kern w:val="36"/>
        </w:rPr>
      </w:pPr>
      <w:bookmarkStart w:id="50" w:name="_Toc10506"/>
      <w:bookmarkEnd w:id="50"/>
      <w:bookmarkStart w:id="51" w:name="_Toc192757666"/>
      <w:r>
        <w:rPr>
          <w:rFonts w:ascii="Times New Roman" w:hAnsi="Times New Roman" w:eastAsia="仿宋_GB2312" w:cs="Times New Roman"/>
          <w:b/>
          <w:bCs/>
          <w:color w:val="auto"/>
          <w:kern w:val="36"/>
        </w:rPr>
        <w:t>第四章 产业发展战略审视</w:t>
      </w:r>
      <w:bookmarkEnd w:id="51"/>
    </w:p>
    <w:p>
      <w:pPr>
        <w:pStyle w:val="3"/>
        <w:rPr>
          <w:color w:val="auto"/>
        </w:rPr>
      </w:pPr>
      <w:bookmarkStart w:id="52" w:name="_Toc29720"/>
      <w:bookmarkEnd w:id="52"/>
      <w:bookmarkStart w:id="53" w:name="_Toc20323"/>
      <w:bookmarkStart w:id="54" w:name="_Toc192757667"/>
      <w:r>
        <w:rPr>
          <w:color w:val="auto"/>
        </w:rPr>
        <w:t>4.</w:t>
      </w:r>
      <w:bookmarkEnd w:id="53"/>
      <w:r>
        <w:rPr>
          <w:color w:val="auto"/>
        </w:rPr>
        <w:t>1 精细化工产业发展现状及未来发展趋势</w:t>
      </w:r>
      <w:bookmarkEnd w:id="54"/>
    </w:p>
    <w:p>
      <w:pPr>
        <w:pStyle w:val="4"/>
        <w:rPr>
          <w:color w:val="auto"/>
        </w:rPr>
      </w:pPr>
      <w:bookmarkStart w:id="55" w:name="_Toc192757668"/>
      <w:r>
        <w:rPr>
          <w:color w:val="auto"/>
        </w:rPr>
        <w:t>4.1.1 精细化工产业概况</w:t>
      </w:r>
      <w:bookmarkEnd w:id="55"/>
    </w:p>
    <w:p>
      <w:pPr>
        <w:rPr>
          <w:color w:val="auto"/>
        </w:rPr>
      </w:pPr>
      <w:r>
        <w:rPr>
          <w:color w:val="auto"/>
        </w:rPr>
        <w:t>精细化工是当今世界化学工业发展的战略重点，也是发展最快的经济领域之一。大力发展精细化工是目前世界各国调整化学工业结构、提升化学工业产值和扩大经济效益的战略重点。随着国家产业政策的持续支持和推动、科研水平的不断提高以及下游产业需求的带动，精细化工产业未来市场空间广阔，发展前景良好。由于精细化学品的难以替代性，其应用范围不断向纵深扩张，精细化工行业的快速发展已成为行业发展趋势。</w:t>
      </w:r>
    </w:p>
    <w:p>
      <w:pPr>
        <w:pStyle w:val="4"/>
        <w:rPr>
          <w:color w:val="auto"/>
        </w:rPr>
      </w:pPr>
      <w:bookmarkStart w:id="56" w:name="_Toc192757669"/>
      <w:r>
        <w:rPr>
          <w:color w:val="auto"/>
        </w:rPr>
        <w:t>4.1.2 精细化工行业产业链</w:t>
      </w:r>
      <w:bookmarkEnd w:id="56"/>
    </w:p>
    <w:p>
      <w:pPr>
        <w:rPr>
          <w:color w:val="auto"/>
        </w:rPr>
      </w:pPr>
      <w:r>
        <w:rPr>
          <w:color w:val="auto"/>
        </w:rPr>
        <w:t>精细化工行业产业链是围绕精细化工产品生产及服务所形成的一系列相互联系、相互依存的环节之间的上下游链条，包括矿产、能源材料的勘探、加工（物理反应和化学反应）、分方向精加工、终端消费品生产等主要环节。精细化工的上游行业主要为矿产能源加工业、化工设备制造业以及催化剂生产业等，下游影响行业则包括房地产、纺织、农畜业、日化、汽车、家电等诸多行业。</w:t>
      </w:r>
    </w:p>
    <w:p>
      <w:pPr>
        <w:rPr>
          <w:color w:val="auto"/>
        </w:rPr>
      </w:pPr>
      <w:r>
        <w:rPr>
          <w:color w:val="auto"/>
        </w:rPr>
        <w:t>由于精细化学品难以替代性，应用范围不断向纵深扩张，除了以上提及的纺织行业、房地产行业之外，还应用于农业、食品、造纸、电子、日化用品、医疗保健等行业。</w:t>
      </w:r>
    </w:p>
    <w:p>
      <w:pPr>
        <w:rPr>
          <w:color w:val="auto"/>
        </w:rPr>
      </w:pPr>
      <w:r>
        <w:rPr>
          <w:rFonts w:hint="eastAsia"/>
          <w:color w:val="auto"/>
        </w:rPr>
        <w:t>淮南经开化工园区</w:t>
      </w:r>
      <w:r>
        <w:rPr>
          <w:color w:val="auto"/>
        </w:rPr>
        <w:t>着力提升改造传统化工产业，加快培育生物医药、化工新材料等高端精细化学品产业</w:t>
      </w:r>
      <w:r>
        <w:rPr>
          <w:rFonts w:hint="eastAsia"/>
          <w:color w:val="auto"/>
        </w:rPr>
        <w:t>。</w:t>
      </w:r>
    </w:p>
    <w:p>
      <w:pPr>
        <w:ind w:firstLine="0" w:firstLineChars="0"/>
        <w:rPr>
          <w:color w:val="auto"/>
        </w:rPr>
      </w:pPr>
      <w:r>
        <w:rPr>
          <w:color w:val="auto"/>
        </w:rPr>
        <w:t>4.1.2.1医药化工产业链</w:t>
      </w:r>
    </w:p>
    <w:p>
      <w:pPr>
        <w:rPr>
          <w:color w:val="auto"/>
        </w:rPr>
      </w:pPr>
      <w:r>
        <w:rPr>
          <w:color w:val="auto"/>
        </w:rPr>
        <w:t>医药化工产业链主要由医药化工原料生产与加工、医药化工研发与生产以及医药化工流通与应用组成。</w:t>
      </w:r>
    </w:p>
    <w:p>
      <w:pPr>
        <w:rPr>
          <w:color w:val="auto"/>
        </w:rPr>
      </w:pPr>
      <w:r>
        <w:rPr>
          <w:color w:val="auto"/>
        </w:rPr>
        <w:t>（1）产业链上游</w:t>
      </w:r>
    </w:p>
    <w:p>
      <w:pPr>
        <w:rPr>
          <w:color w:val="auto"/>
        </w:rPr>
      </w:pPr>
      <w:r>
        <w:rPr>
          <w:color w:val="auto"/>
        </w:rPr>
        <w:t>产业上游为医药化工原料生产与加工，包括细分行业原料药、药用辅料等。</w:t>
      </w:r>
    </w:p>
    <w:p>
      <w:pPr>
        <w:rPr>
          <w:color w:val="auto"/>
        </w:rPr>
      </w:pPr>
      <w:r>
        <w:rPr>
          <w:color w:val="auto"/>
        </w:rPr>
        <w:t>原料药是指用于药品制造中的任何一种物质或物质的混合物，而且在用于制药时，成为药品的一种活性成分。经过几十年发展，我国原料药市场已形成较完整的工业体系。目前我国拥有药品原料药生产资质的企业超过2400家，2019年我国原料药出口数量达到1011.85万吨，同比增长8.83%。</w:t>
      </w:r>
    </w:p>
    <w:p>
      <w:pPr>
        <w:rPr>
          <w:color w:val="auto"/>
        </w:rPr>
      </w:pPr>
      <w:r>
        <w:rPr>
          <w:color w:val="auto"/>
        </w:rPr>
        <w:t>药用辅料是直接影响药品的质量、安全性和有效性的重要成分，是保证原料药和药物制剂生产和发展的基础。我国药用辅料行业起步于上世纪80年代，一段时间内，我国药用辅料行业没有受到重视，品种和规模虽然不断扩张，但小乱散的现象明显。近几年。我国药用辅料行业开始进入了快速发展期。目前我国正在使用的药用辅料数量超过550种，药典收纳的辅料标准已从2010年版的132个增加到2015版的270个。</w:t>
      </w:r>
    </w:p>
    <w:p>
      <w:pPr>
        <w:rPr>
          <w:color w:val="auto"/>
        </w:rPr>
      </w:pPr>
      <w:r>
        <w:rPr>
          <w:color w:val="auto"/>
        </w:rPr>
        <w:t>（2）产业链中游</w:t>
      </w:r>
    </w:p>
    <w:p>
      <w:pPr>
        <w:rPr>
          <w:color w:val="auto"/>
        </w:rPr>
      </w:pPr>
      <w:r>
        <w:rPr>
          <w:rFonts w:ascii="Cambria Math" w:hAnsi="Cambria Math" w:cs="Cambria Math"/>
          <w:color w:val="auto"/>
        </w:rPr>
        <w:t>①</w:t>
      </w:r>
      <w:r>
        <w:rPr>
          <w:color w:val="auto"/>
        </w:rPr>
        <w:t>化学原料药</w:t>
      </w:r>
    </w:p>
    <w:p>
      <w:pPr>
        <w:rPr>
          <w:color w:val="auto"/>
        </w:rPr>
      </w:pPr>
      <w:r>
        <w:rPr>
          <w:color w:val="auto"/>
        </w:rPr>
        <w:t>化学原料药是医药化工产业链中游的核心环节。这一环节涉及将上游的医药中间体进行加工、合成等步骤，最终得到用于制造药品的原料药。我国化学原料药的生产能力较强，是全球重要的原料药生产和出口国之一。</w:t>
      </w:r>
    </w:p>
    <w:p>
      <w:pPr>
        <w:rPr>
          <w:color w:val="auto"/>
        </w:rPr>
      </w:pPr>
      <w:r>
        <w:rPr>
          <w:rFonts w:ascii="Cambria Math" w:hAnsi="Cambria Math" w:cs="Cambria Math"/>
          <w:color w:val="auto"/>
        </w:rPr>
        <w:t>②</w:t>
      </w:r>
      <w:r>
        <w:rPr>
          <w:color w:val="auto"/>
        </w:rPr>
        <w:t>化学制剂</w:t>
      </w:r>
    </w:p>
    <w:p>
      <w:pPr>
        <w:rPr>
          <w:color w:val="auto"/>
        </w:rPr>
      </w:pPr>
      <w:r>
        <w:rPr>
          <w:color w:val="auto"/>
        </w:rPr>
        <w:t>化学制剂是将原料药加工成各种剂型的药品的过程，如片剂、胶囊、注射液等。这一环节需要先进的生产设备和严格的质量控制体系，以确保药品的安全性和有效性。</w:t>
      </w:r>
    </w:p>
    <w:p>
      <w:pPr>
        <w:rPr>
          <w:color w:val="auto"/>
        </w:rPr>
      </w:pPr>
      <w:r>
        <w:rPr>
          <w:color w:val="auto"/>
        </w:rPr>
        <w:t>（3）产业链下游</w:t>
      </w:r>
    </w:p>
    <w:p>
      <w:pPr>
        <w:rPr>
          <w:color w:val="auto"/>
        </w:rPr>
      </w:pPr>
      <w:r>
        <w:rPr>
          <w:color w:val="auto"/>
        </w:rPr>
        <w:t>产业链下游为医药化工流通与应用，又细分为医药商业（包括医药物流、医药电商、医药零售、医药批发等）、医药服务（医院、养老院、医疗机构、健康管理机构等）、其他（保健食品、医疗器械、检测设备等）。</w:t>
      </w:r>
    </w:p>
    <w:p>
      <w:pPr>
        <w:rPr>
          <w:color w:val="auto"/>
        </w:rPr>
      </w:pPr>
      <w:r>
        <w:rPr>
          <w:color w:val="auto"/>
        </w:rPr>
        <w:t>目前，下游行业中医疗服务占比最高。根据国家统计局数据显示，2023年年末全国共有医疗卫生机构101.4万个。随着“互联网+药品流通”行动计划的深入推进，医药电商将在医药商业领域占比越来越大。未来，随着医疗机构不断增长，对生物药品的需求也随之加大，这也会推动医药化工行业发展。</w:t>
      </w:r>
    </w:p>
    <w:p>
      <w:pPr>
        <w:pStyle w:val="4"/>
        <w:rPr>
          <w:color w:val="auto"/>
        </w:rPr>
      </w:pPr>
      <w:bookmarkStart w:id="57" w:name="_Toc192757670"/>
      <w:r>
        <w:rPr>
          <w:color w:val="auto"/>
        </w:rPr>
        <w:t>4.1.3 精细化工行业现状</w:t>
      </w:r>
      <w:bookmarkEnd w:id="57"/>
    </w:p>
    <w:p>
      <w:pPr>
        <w:rPr>
          <w:color w:val="auto"/>
        </w:rPr>
      </w:pPr>
      <w:r>
        <w:rPr>
          <w:color w:val="auto"/>
        </w:rPr>
        <w:t>我国十分重视精细化工行业的发展，把精细化工作为化学工业发展的战略重点之一，列入多项国家发展计划中。在国家政策、资金支持和市场需求的引导下，我国精细化工也呈现出快速发展的趋势。</w:t>
      </w:r>
    </w:p>
    <w:p>
      <w:pPr>
        <w:rPr>
          <w:color w:val="auto"/>
        </w:rPr>
      </w:pPr>
      <w:r>
        <w:rPr>
          <w:color w:val="auto"/>
        </w:rPr>
        <w:t>我国精细化工行业在医药、新材料、农药、染料、涂料等传统领域得到了快速发展，现已成为世界上重要的精细化工原材料及中间体的加工地与出口地，部分产品居世界领先地位。同时，近年来一些新领域精细化工产品的生产和应用也取得了巨大进步。我国新领域精细化工已形成医药、电子化学品、催化剂和各种助剂、饲料添加剂、食品添加剂、皮革化学品、造纸化学品、油田化学品等十余个门类。</w:t>
      </w:r>
    </w:p>
    <w:p>
      <w:pPr>
        <w:rPr>
          <w:color w:val="auto"/>
        </w:rPr>
      </w:pPr>
      <w:r>
        <w:rPr>
          <w:color w:val="auto"/>
        </w:rPr>
        <w:t>近年来，精细化工的发展在中国愈来愈受到重视，已经成为化工行业的战略要点。我国部分精细化工产品已具有一定的国际竞争能力，并将继续快速、高质量发展。</w:t>
      </w:r>
    </w:p>
    <w:p>
      <w:pPr>
        <w:ind w:firstLine="0" w:firstLineChars="0"/>
        <w:rPr>
          <w:color w:val="auto"/>
        </w:rPr>
      </w:pPr>
      <w:r>
        <w:rPr>
          <w:color w:val="auto"/>
        </w:rPr>
        <w:t>4.1.3.1医药化工发展现状</w:t>
      </w:r>
    </w:p>
    <w:p>
      <w:pPr>
        <w:rPr>
          <w:color w:val="auto"/>
        </w:rPr>
      </w:pPr>
      <w:r>
        <w:rPr>
          <w:color w:val="auto"/>
        </w:rPr>
        <w:t>医药化工是指将化学工业技术应用于医药制造领域的一种产业。它涵盖了化学合成、生物技术、天然药物等多个方面，致力于医药产品的开发、生产与服务。</w:t>
      </w:r>
    </w:p>
    <w:p>
      <w:pPr>
        <w:rPr>
          <w:color w:val="auto"/>
        </w:rPr>
      </w:pPr>
      <w:r>
        <w:rPr>
          <w:color w:val="auto"/>
        </w:rPr>
        <w:t>具体包括以下几个方面：</w:t>
      </w:r>
    </w:p>
    <w:p>
      <w:pPr>
        <w:rPr>
          <w:color w:val="auto"/>
        </w:rPr>
      </w:pPr>
      <w:r>
        <w:rPr>
          <w:color w:val="auto"/>
        </w:rPr>
        <w:t>（1）化学药品制造：包括合成药、抗生素、激素、维生素、抗肿瘤药、心脑血管药等的制造。</w:t>
      </w:r>
    </w:p>
    <w:p>
      <w:pPr>
        <w:rPr>
          <w:color w:val="auto"/>
        </w:rPr>
      </w:pPr>
      <w:r>
        <w:rPr>
          <w:color w:val="auto"/>
        </w:rPr>
        <w:t>（2）生物制品制造：涵盖了生物制剂、基因工程产品、疫苗、血液制品等的生产。</w:t>
      </w:r>
    </w:p>
    <w:p>
      <w:pPr>
        <w:rPr>
          <w:color w:val="auto"/>
        </w:rPr>
      </w:pPr>
      <w:r>
        <w:rPr>
          <w:color w:val="auto"/>
        </w:rPr>
        <w:t>（3）中药制造：包括中药饮片、中成药、中药提取物等的加工与制造。</w:t>
      </w:r>
    </w:p>
    <w:p>
      <w:pPr>
        <w:rPr>
          <w:color w:val="auto"/>
        </w:rPr>
      </w:pPr>
      <w:r>
        <w:rPr>
          <w:color w:val="auto"/>
        </w:rPr>
        <w:t>（4）医疗器械制造：涉及手术器械、诊断设备、治疗设备、康复设备等医疗器械的制造。</w:t>
      </w:r>
    </w:p>
    <w:p>
      <w:pPr>
        <w:rPr>
          <w:color w:val="auto"/>
        </w:rPr>
      </w:pPr>
      <w:r>
        <w:rPr>
          <w:color w:val="auto"/>
        </w:rPr>
        <w:t>（5）医疗用品制造：如医用绷带、敷料、手术用品、一次性医疗用品等的生产。</w:t>
      </w:r>
    </w:p>
    <w:p>
      <w:pPr>
        <w:rPr>
          <w:color w:val="auto"/>
        </w:rPr>
      </w:pPr>
      <w:r>
        <w:rPr>
          <w:color w:val="auto"/>
        </w:rPr>
        <w:t>（6）化学品制造：包括医药中间体、化学试剂、分析用试剂等的制造。</w:t>
      </w:r>
    </w:p>
    <w:p>
      <w:pPr>
        <w:rPr>
          <w:color w:val="auto"/>
        </w:rPr>
      </w:pPr>
      <w:r>
        <w:rPr>
          <w:color w:val="auto"/>
        </w:rPr>
        <w:t>医药化工还涉及到新药研发、临床试验、技术服务等多个环节，这些环节为医药化工行业的持续发展提供了重要支持。随着全球医药市场的不断扩大和医疗需求的不断增加，医药化工行业的市场规模也在持续增长。未来，随着科学技术的不断进步和医疗需求的多样化，医药化工行业将迎来更加广阔的发展前景。</w:t>
      </w:r>
    </w:p>
    <w:p>
      <w:pPr>
        <w:rPr>
          <w:color w:val="auto"/>
        </w:rPr>
      </w:pPr>
      <w:r>
        <w:rPr>
          <w:color w:val="auto"/>
        </w:rPr>
        <w:t>一、医药化工产业政策</w:t>
      </w:r>
    </w:p>
    <w:p>
      <w:pPr>
        <w:rPr>
          <w:color w:val="auto"/>
        </w:rPr>
      </w:pPr>
      <w:r>
        <w:rPr>
          <w:color w:val="auto"/>
        </w:rPr>
        <w:t>国内医药化工取得快速发展，主要受国家政策、经济发展、人口老龄化等社会因素以及生物制药技术等综合因素的多重驱动。</w:t>
      </w:r>
    </w:p>
    <w:p>
      <w:pPr>
        <w:rPr>
          <w:color w:val="auto"/>
        </w:rPr>
      </w:pPr>
      <w:r>
        <w:rPr>
          <w:color w:val="auto"/>
        </w:rPr>
        <w:t>（1）政策因素</w:t>
      </w:r>
    </w:p>
    <w:p>
      <w:pPr>
        <w:rPr>
          <w:color w:val="auto"/>
        </w:rPr>
      </w:pPr>
      <w:r>
        <w:rPr>
          <w:color w:val="auto"/>
        </w:rPr>
        <w:t>从国家层面的战略规划来看，提出“形成基因工程药物、新型疫苗、抗体药物、化学新药、现代中药等为代表的一批具有国际水平的新药开发平台，制药技术和装备研制水平大幅提升。30个以上自主知识产权新药投放市场，200个以上药品制剂进入国际主流市场。产业集中度大幅提升”的目标，为医药化工相关产业的后续发展方向与节奏定下基调，各地也纷纷出台医药化工产业政策，逐步将医药化工产业培育成区域主导产业。</w:t>
      </w:r>
    </w:p>
    <w:p>
      <w:pPr>
        <w:rPr>
          <w:color w:val="auto"/>
        </w:rPr>
      </w:pPr>
      <w:r>
        <w:rPr>
          <w:color w:val="auto"/>
        </w:rPr>
        <w:t>国家《“十四五”医药工业发展规划》提出，要求2035年，我国医药工业实力将实现整体跃升；创新驱动发展格局全面形成，原创新药和“领跑”产品增多，成为世界医药创新重要源头；产业竞争优势突出，产业结构升级，在全球医药产业链中占据重要地位；产品种类多、质量优，实现更高水平满足人民群众健康需求，为全面建成健 康中国提供坚实保障。</w:t>
      </w:r>
    </w:p>
    <w:p>
      <w:pPr>
        <w:rPr>
          <w:color w:val="auto"/>
        </w:rPr>
      </w:pPr>
      <w:r>
        <w:rPr>
          <w:color w:val="auto"/>
        </w:rPr>
        <w:t>（2）经济因素</w:t>
      </w:r>
    </w:p>
    <w:p>
      <w:pPr>
        <w:rPr>
          <w:color w:val="auto"/>
        </w:rPr>
      </w:pPr>
      <w:r>
        <w:rPr>
          <w:color w:val="auto"/>
        </w:rPr>
        <w:t>中国卫生投入不断提高。2023年中国卫生总费用占GDP比重达到6.6%。城乡居民基本医保财政补助和人均基本公共卫生服务经费补助标准不断提高。基本养老、医疗、低保等保障水平提高，为医药化工行业市场需求提供经济保障。</w:t>
      </w:r>
    </w:p>
    <w:p>
      <w:pPr>
        <w:rPr>
          <w:color w:val="auto"/>
        </w:rPr>
      </w:pPr>
      <w:r>
        <w:rPr>
          <w:color w:val="auto"/>
        </w:rPr>
        <w:t>人均可支配收入不断提高，中产阶级人数高速增长。2023年，居民人均可支配收入接近4万元。中国中产阶级人数也保持高速增长，2009年大概在1.57亿，十年之后翻了三到四倍，而根据相关统计，预测到2030年国内中产阶级人数可能还会翻一倍，达到接近10亿人。中产阶级对健康消费升级需求的提升，以及更强的支付意愿和能力，为医药化工市场扩容提供有力的支撑。</w:t>
      </w:r>
    </w:p>
    <w:p>
      <w:pPr>
        <w:rPr>
          <w:color w:val="auto"/>
        </w:rPr>
      </w:pPr>
      <w:r>
        <w:rPr>
          <w:color w:val="auto"/>
        </w:rPr>
        <w:t>（3）社会因素</w:t>
      </w:r>
    </w:p>
    <w:p>
      <w:pPr>
        <w:rPr>
          <w:color w:val="auto"/>
        </w:rPr>
      </w:pPr>
      <w:r>
        <w:rPr>
          <w:color w:val="auto"/>
        </w:rPr>
        <w:t>中国人口老龄化越来越严重。据统计，我国居民人均寿命由2018年的77岁提高到2023年的78.1岁。当前60岁以上的老人已经达到2.5亿，未来20年内老龄人口会接近5亿，中国已进入老龄化社会，且未来老龄化趋势越来越严重，为医药化工提供广阔的市场发展前景。</w:t>
      </w:r>
    </w:p>
    <w:p>
      <w:pPr>
        <w:rPr>
          <w:color w:val="auto"/>
        </w:rPr>
      </w:pPr>
      <w:r>
        <w:rPr>
          <w:color w:val="auto"/>
        </w:rPr>
        <w:t>此外，中国居民的疾病患病率和死亡率也保持在较高水平。2003～2023年期间，循环系统、内分泌系统、恶性肿瘤等主要疾病发病率呈上升趋势；而造成中国城市居民死亡的主要疾病包括恶性肿瘤（27%）、心脏病（21%）、呼吸系统疾病（12%）以及脑血管病（20%）等，且以上几类疾病的死亡率都保持着上升的趋势，意味着国内居民对医药及医疗服务的需求仍将持续上升。</w:t>
      </w:r>
    </w:p>
    <w:p>
      <w:pPr>
        <w:rPr>
          <w:color w:val="auto"/>
        </w:rPr>
      </w:pPr>
      <w:r>
        <w:rPr>
          <w:color w:val="auto"/>
        </w:rPr>
        <w:t>二、医药化工市场规模</w:t>
      </w:r>
    </w:p>
    <w:p>
      <w:pPr>
        <w:rPr>
          <w:color w:val="auto"/>
        </w:rPr>
      </w:pPr>
      <w:r>
        <w:rPr>
          <w:color w:val="auto"/>
        </w:rPr>
        <w:t>全球来看，医药化工市场规模高速稳定增长，其中美国生物药品在全球市场占主导地位，相关产业总产值约占GDP的17%，研发实力和产业发展领先全球。此外，西欧、日本等发达国家也是生物技术医药产品研发生产的主要国家。</w:t>
      </w:r>
    </w:p>
    <w:p>
      <w:pPr>
        <w:rPr>
          <w:color w:val="auto"/>
        </w:rPr>
      </w:pPr>
      <w:r>
        <w:rPr>
          <w:color w:val="auto"/>
        </w:rPr>
        <w:t>在技术进步、产业结构调整和消费支付能力增加的驱动下，中国医药化工市场规模也呈稳定上升态势。2016年到2023年，我国医药化工市场总体规模从1,836亿元增加到6578亿元，年均复合增长率达20%。预计2030年，我国医药市场总体规模将达到8332亿元。</w:t>
      </w:r>
    </w:p>
    <w:p>
      <w:pPr>
        <w:rPr>
          <w:color w:val="auto"/>
        </w:rPr>
      </w:pPr>
      <w:r>
        <w:rPr>
          <w:color w:val="auto"/>
        </w:rPr>
        <w:drawing>
          <wp:inline distT="0" distB="0" distL="0" distR="0">
            <wp:extent cx="4598670" cy="2197100"/>
            <wp:effectExtent l="0" t="0" r="0" b="0"/>
            <wp:docPr id="14042475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247597" name="图片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4633096" cy="2213295"/>
                    </a:xfrm>
                    <a:prstGeom prst="rect">
                      <a:avLst/>
                    </a:prstGeom>
                    <a:noFill/>
                    <a:ln>
                      <a:noFill/>
                    </a:ln>
                  </pic:spPr>
                </pic:pic>
              </a:graphicData>
            </a:graphic>
          </wp:inline>
        </w:drawing>
      </w:r>
      <w:r>
        <w:rPr>
          <w:color w:val="auto"/>
        </w:rPr>
        <w:t xml:space="preserve"> </w:t>
      </w:r>
    </w:p>
    <w:p>
      <w:pPr>
        <w:ind w:firstLine="0" w:firstLineChars="0"/>
        <w:jc w:val="center"/>
        <w:rPr>
          <w:b/>
          <w:bCs/>
          <w:color w:val="auto"/>
        </w:rPr>
      </w:pPr>
      <w:r>
        <w:rPr>
          <w:b/>
          <w:bCs/>
          <w:color w:val="auto"/>
        </w:rPr>
        <w:t>图4-1 医药化工市场发展现状图</w:t>
      </w:r>
    </w:p>
    <w:p>
      <w:pPr>
        <w:rPr>
          <w:color w:val="auto"/>
        </w:rPr>
      </w:pPr>
      <w:r>
        <w:rPr>
          <w:color w:val="auto"/>
        </w:rPr>
        <w:t>三、医药化工行业格局</w:t>
      </w:r>
    </w:p>
    <w:p>
      <w:pPr>
        <w:rPr>
          <w:color w:val="auto"/>
        </w:rPr>
      </w:pPr>
      <w:r>
        <w:rPr>
          <w:color w:val="auto"/>
        </w:rPr>
        <w:t>医药化工产业是继汽车、机械制造业之后的第三大产业。目前，全球生物技术公司总数已达4,362家，其中76%集中在欧美，欧美公司的销售额占全球生物技术公司销售额的93%，美国作为生物技术产业的龙头，其开发的产品和市场销售额均占全球70%以上，而亚太地区，整体销售额仅占全球3%左右，其中日本、新加坡位居亚太区前列。随着我国医药化工产业技术不断突破、利好政策不断出台，行业发展势头迅猛。据预计，2025年我国医药化工市场将成为仅次于美国的全球第二大医药化工市场。</w:t>
      </w:r>
    </w:p>
    <w:p>
      <w:pPr>
        <w:rPr>
          <w:color w:val="auto"/>
        </w:rPr>
      </w:pPr>
      <w:r>
        <w:rPr>
          <w:color w:val="auto"/>
        </w:rPr>
        <w:t>由于医药化工行业具有创新成本高、投资风险大、研发周期长等特点，通过集聚发展，不仅有助于医药化工企业快速获取资金、人才、研发等资源支持，还可以提高区域医药产业的综合竞争力。同时，国家政策也鼓励科学规划医药化工产业集聚区的发展。在医药行业自身发展需要叠加国家政策的支持下，我国医药化工产业集聚化发展态势明显，生物产业基地及产业园区发展迅速。</w:t>
      </w:r>
    </w:p>
    <w:p>
      <w:pPr>
        <w:rPr>
          <w:color w:val="auto"/>
        </w:rPr>
      </w:pPr>
      <w:r>
        <w:rPr>
          <w:color w:val="auto"/>
        </w:rPr>
        <w:t>从区域发展来看，我国生物制药产业已形成长三角、环渤海、珠三角三大综合型医药化工产业基地。其中，长三角地区产业创新能力和国际交流水平较高，拥有最多的跨国医药化工企业。环渤海地区产业人力资源储备充足，拥有丰富的临床资源和教育资源，产业链互补优势较强。珠三角地区市场经济体系成熟，药流通体系发达，毗邻港澳，对外辐射能力强，民营资本比较活跃。此外，东北地区，中部地区的河南、安徽、湖南、湖北，西部地区的四川、重庆也形成医药化工快速发展的产业格局。</w:t>
      </w:r>
    </w:p>
    <w:p>
      <w:pPr>
        <w:pStyle w:val="4"/>
        <w:rPr>
          <w:color w:val="auto"/>
        </w:rPr>
      </w:pPr>
      <w:bookmarkStart w:id="58" w:name="_Toc192757671"/>
      <w:r>
        <w:rPr>
          <w:color w:val="auto"/>
        </w:rPr>
        <w:t>4.1.4 精细化工行业发展前景</w:t>
      </w:r>
      <w:bookmarkEnd w:id="58"/>
    </w:p>
    <w:p>
      <w:pPr>
        <w:rPr>
          <w:color w:val="auto"/>
        </w:rPr>
      </w:pPr>
      <w:r>
        <w:rPr>
          <w:color w:val="auto"/>
        </w:rPr>
        <w:t>精细化工是综合性较强的技术密集型工业，是化学工业中的新兴领域，也是最具活力的领域之一。精细化工产品种类多、附加值高、用途广，直接服务于国民经济的诸多行业和高新技术产业的各个领域。精细化工2023年的市场规模为5.7万亿元，增长率达7%，预计2027年中国精细化工市场规模将超过11万亿元，年复合增长率达8%，表明精细化工行业的市场规模将持续扩大。医药化工作为精细化工的重要组成部分，其发展前景尤为重要。</w:t>
      </w:r>
    </w:p>
    <w:p>
      <w:pPr>
        <w:rPr>
          <w:color w:val="auto"/>
        </w:rPr>
      </w:pPr>
      <w:r>
        <w:rPr>
          <w:color w:val="auto"/>
        </w:rPr>
        <w:t>（1）市场需求持续增长</w:t>
      </w:r>
    </w:p>
    <w:p>
      <w:pPr>
        <w:rPr>
          <w:color w:val="auto"/>
        </w:rPr>
      </w:pPr>
      <w:r>
        <w:rPr>
          <w:color w:val="auto"/>
        </w:rPr>
        <w:t>随着全球人口增长、中产阶级的扩大以及健康意识的提高，对医药化工产品的需求不断增加。特别是在中国，随着人口老龄化趋势的加剧和医疗技术的不断创新，医药市场的规模不断扩大，为医药化工行业的发展提供了广阔的市场空间。</w:t>
      </w:r>
    </w:p>
    <w:p>
      <w:pPr>
        <w:rPr>
          <w:color w:val="auto"/>
        </w:rPr>
      </w:pPr>
      <w:r>
        <w:rPr>
          <w:color w:val="auto"/>
        </w:rPr>
        <w:t>（2）技术创新推动发展</w:t>
      </w:r>
    </w:p>
    <w:p>
      <w:pPr>
        <w:rPr>
          <w:color w:val="auto"/>
        </w:rPr>
      </w:pPr>
      <w:r>
        <w:rPr>
          <w:color w:val="auto"/>
        </w:rPr>
        <w:t>技术创新是推动医药化工行业发展的关键因素。新材料、新工艺和新技术的出现为医药化工行业带来了新的发展机遇。例如，生物技术的应用使得基因工程药物、抗体药物等新型药物得以研发成功，为医药化工行业带来了更多的增长点。</w:t>
      </w:r>
    </w:p>
    <w:p>
      <w:pPr>
        <w:rPr>
          <w:color w:val="auto"/>
        </w:rPr>
      </w:pPr>
      <w:r>
        <w:rPr>
          <w:color w:val="auto"/>
        </w:rPr>
        <w:t>（3）绿色化和可持续发展成为趋势</w:t>
      </w:r>
    </w:p>
    <w:p>
      <w:pPr>
        <w:rPr>
          <w:color w:val="auto"/>
        </w:rPr>
      </w:pPr>
      <w:r>
        <w:rPr>
          <w:color w:val="auto"/>
        </w:rPr>
        <w:t>环境保护意识的增强使得医药化工行业向绿色化和可持续发展转型成为必然趋势。未来，医药化工行业将更加注重环保、节能减排和资源循环利用等方面的技术创新和改造，推动行业可持续发展。</w:t>
      </w:r>
    </w:p>
    <w:p>
      <w:pPr>
        <w:rPr>
          <w:color w:val="auto"/>
        </w:rPr>
      </w:pPr>
      <w:r>
        <w:rPr>
          <w:color w:val="auto"/>
        </w:rPr>
        <w:t>（4）政策支持力度加大</w:t>
      </w:r>
    </w:p>
    <w:p>
      <w:pPr>
        <w:rPr>
          <w:color w:val="auto"/>
        </w:rPr>
      </w:pPr>
      <w:r>
        <w:rPr>
          <w:color w:val="auto"/>
        </w:rPr>
        <w:t>政府对于医药化工行业的支持力度也在逐步加大。中国政府已经出台了一系列相关政策和措施来支持医药工业的发展，包括加大对药品研发的资金支持、提供税收优惠政策、加强监管等。这些政策的出台将进一步激发医药化工行业的创新活力，推动行业的发展。</w:t>
      </w:r>
    </w:p>
    <w:p>
      <w:pPr>
        <w:rPr>
          <w:color w:val="auto"/>
        </w:rPr>
      </w:pPr>
      <w:r>
        <w:rPr>
          <w:color w:val="auto"/>
        </w:rPr>
        <w:t>（5）医药化工行业的挑战与对策</w:t>
      </w:r>
    </w:p>
    <w:p>
      <w:pPr>
        <w:rPr>
          <w:color w:val="auto"/>
        </w:rPr>
      </w:pPr>
      <w:r>
        <w:rPr>
          <w:color w:val="auto"/>
        </w:rPr>
        <w:t>虽然医药化工行业发展前景广阔，但也面临着一些挑战。例如，环保和安全问题、原材料价格波动、国际贸易保护主义等因素都可能对行业发展产生影响。为了应对这些挑战，医药化工行业需要采取以下对策：</w:t>
      </w:r>
    </w:p>
    <w:p>
      <w:pPr>
        <w:rPr>
          <w:color w:val="auto"/>
        </w:rPr>
      </w:pPr>
      <w:r>
        <w:rPr>
          <w:color w:val="auto"/>
        </w:rPr>
        <w:t>加强技术创新和研发能力，推动产业升级和转型；</w:t>
      </w:r>
    </w:p>
    <w:p>
      <w:pPr>
        <w:rPr>
          <w:color w:val="auto"/>
        </w:rPr>
      </w:pPr>
      <w:r>
        <w:rPr>
          <w:color w:val="auto"/>
        </w:rPr>
        <w:t>注重环保和安全管理，推动绿色化和可持续发展；</w:t>
      </w:r>
    </w:p>
    <w:p>
      <w:pPr>
        <w:rPr>
          <w:color w:val="auto"/>
        </w:rPr>
      </w:pPr>
      <w:r>
        <w:rPr>
          <w:color w:val="auto"/>
        </w:rPr>
        <w:t>拓展国际市场，提高出口竞争力；</w:t>
      </w:r>
    </w:p>
    <w:p>
      <w:pPr>
        <w:rPr>
          <w:color w:val="auto"/>
        </w:rPr>
      </w:pPr>
      <w:r>
        <w:rPr>
          <w:color w:val="auto"/>
        </w:rPr>
        <w:t>加强产业链合作和资源整合，提高整体竞争力。</w:t>
      </w:r>
    </w:p>
    <w:p>
      <w:pPr>
        <w:rPr>
          <w:color w:val="auto"/>
        </w:rPr>
      </w:pPr>
      <w:r>
        <w:rPr>
          <w:color w:val="auto"/>
        </w:rPr>
        <w:t>未来，随着技术创新和环保意识的提高以及政策支持力度的加大，医药化工行业将迎来更加广阔的发展机遇。</w:t>
      </w:r>
    </w:p>
    <w:p>
      <w:pPr>
        <w:pStyle w:val="3"/>
        <w:rPr>
          <w:color w:val="auto"/>
        </w:rPr>
      </w:pPr>
      <w:bookmarkStart w:id="59" w:name="_Toc192757672"/>
      <w:r>
        <w:rPr>
          <w:color w:val="auto"/>
        </w:rPr>
        <w:t>4.2 基础化工产业发展现状及未来发展趋势</w:t>
      </w:r>
      <w:bookmarkEnd w:id="59"/>
    </w:p>
    <w:p>
      <w:pPr>
        <w:pStyle w:val="4"/>
        <w:rPr>
          <w:color w:val="auto"/>
        </w:rPr>
      </w:pPr>
      <w:bookmarkStart w:id="60" w:name="_Toc192757673"/>
      <w:r>
        <w:rPr>
          <w:color w:val="auto"/>
        </w:rPr>
        <w:t>4.2.1 基础化工产业概况</w:t>
      </w:r>
      <w:bookmarkEnd w:id="60"/>
    </w:p>
    <w:p>
      <w:pPr>
        <w:rPr>
          <w:color w:val="auto"/>
        </w:rPr>
      </w:pPr>
      <w:r>
        <w:rPr>
          <w:color w:val="auto"/>
        </w:rPr>
        <w:t>基础化工行业指的是通过煤炭、磷矿、锂矿、萤石矿等原料，经过化学工艺生产的合成氨、硫酸、电石、烧碱等化工品的行业总称。它是连接能源、各类基础原料及下游细分行业的桥梁。基础化工行业可分为九小类，包括化肥、有机品、无机品、氯碱、精细与专用化学品、农药、日用化学品、塑料制品以及橡胶制品。</w:t>
      </w:r>
    </w:p>
    <w:p>
      <w:pPr>
        <w:pStyle w:val="4"/>
        <w:rPr>
          <w:color w:val="auto"/>
        </w:rPr>
      </w:pPr>
      <w:bookmarkStart w:id="61" w:name="_Toc192757674"/>
      <w:r>
        <w:rPr>
          <w:color w:val="auto"/>
        </w:rPr>
        <w:t>4.2.2 基础化工行业产业链</w:t>
      </w:r>
      <w:bookmarkEnd w:id="61"/>
    </w:p>
    <w:p>
      <w:pPr>
        <w:rPr>
          <w:color w:val="auto"/>
        </w:rPr>
      </w:pPr>
      <w:r>
        <w:rPr>
          <w:color w:val="auto"/>
        </w:rPr>
        <w:t>（1）上游原材料</w:t>
      </w:r>
    </w:p>
    <w:p>
      <w:pPr>
        <w:rPr>
          <w:color w:val="auto"/>
        </w:rPr>
      </w:pPr>
      <w:r>
        <w:rPr>
          <w:color w:val="auto"/>
        </w:rPr>
        <w:t>石油、天然气：石油和天然气是基础化工产业的主要原材料来源，通过蒸馏、裂解、气化等方式可以得到大量有机化工品。例如，丙烯作为环氧丙烷的上游原料，我国是丙烯产能和消费量最多的国家，全球占比30%。</w:t>
      </w:r>
    </w:p>
    <w:p>
      <w:pPr>
        <w:rPr>
          <w:color w:val="auto"/>
        </w:rPr>
      </w:pPr>
      <w:r>
        <w:rPr>
          <w:color w:val="auto"/>
        </w:rPr>
        <w:t>煤炭：煤炭也是重要的化工原料，可以通过气化等方式转化为多种化工品。</w:t>
      </w:r>
    </w:p>
    <w:p>
      <w:pPr>
        <w:rPr>
          <w:color w:val="auto"/>
        </w:rPr>
      </w:pPr>
      <w:r>
        <w:rPr>
          <w:color w:val="auto"/>
        </w:rPr>
        <w:t>无机矿物：包括石英砂、磷矿石、硫铁矿、钛铁矿、钾矿、萤石矿、原盐等，用于生产各种无机化工品。</w:t>
      </w:r>
    </w:p>
    <w:p>
      <w:pPr>
        <w:rPr>
          <w:color w:val="auto"/>
        </w:rPr>
      </w:pPr>
      <w:r>
        <w:rPr>
          <w:color w:val="auto"/>
        </w:rPr>
        <w:t>纯碱的上游原料主要包括原盐、石灰石、合成氨等。这些原材料是生产纯碱的基础。氯化铵的上游原材料主要包括铝铝矾土、酸钙粉、盐酸等。这些原材料是生产氯化铵的基础。</w:t>
      </w:r>
    </w:p>
    <w:p>
      <w:pPr>
        <w:rPr>
          <w:color w:val="auto"/>
        </w:rPr>
      </w:pPr>
      <w:r>
        <w:rPr>
          <w:color w:val="auto"/>
        </w:rPr>
        <w:t>（2）中游中间产物</w:t>
      </w:r>
    </w:p>
    <w:p>
      <w:pPr>
        <w:rPr>
          <w:color w:val="auto"/>
        </w:rPr>
      </w:pPr>
      <w:r>
        <w:rPr>
          <w:color w:val="auto"/>
        </w:rPr>
        <w:t>有机化工品：在上游原材料和下游最终制品之间，存在着大量的有机化工品作为中间产物。例如，环氧丙烷是一种重要的基础化工原料，可用于生产多种下游产品。</w:t>
      </w:r>
    </w:p>
    <w:p>
      <w:pPr>
        <w:rPr>
          <w:color w:val="auto"/>
        </w:rPr>
      </w:pPr>
      <w:r>
        <w:rPr>
          <w:color w:val="auto"/>
        </w:rPr>
        <w:t>无机化工品：同样，无机化工品也在产业链中占据重要位置，作为其他化工品的生产原料。</w:t>
      </w:r>
    </w:p>
    <w:p>
      <w:pPr>
        <w:rPr>
          <w:color w:val="auto"/>
        </w:rPr>
      </w:pPr>
      <w:r>
        <w:rPr>
          <w:color w:val="auto"/>
        </w:rPr>
        <w:t>（3）下游制品</w:t>
      </w:r>
    </w:p>
    <w:p>
      <w:pPr>
        <w:rPr>
          <w:color w:val="auto"/>
        </w:rPr>
      </w:pPr>
      <w:r>
        <w:rPr>
          <w:color w:val="auto"/>
        </w:rPr>
        <w:t>纯碱的下游主要包括平板玻璃、光伏玻璃、日用玻璃、泡花碱、小苏打、两钠、洗涤剂等行业。其中，重碱主要用于平板玻璃和光伏玻璃领域，轻碱下游较为分散，广泛应用于各种行业。</w:t>
      </w:r>
    </w:p>
    <w:p>
      <w:pPr>
        <w:rPr>
          <w:color w:val="auto"/>
        </w:rPr>
      </w:pPr>
      <w:r>
        <w:rPr>
          <w:color w:val="auto"/>
        </w:rPr>
        <w:t>氯化铵的下游流向主要为复合肥，其占需求总量的80%。此外，氯化铵还在食品、肥料、医药、电池等领域中获得广泛应用。</w:t>
      </w:r>
    </w:p>
    <w:p>
      <w:pPr>
        <w:rPr>
          <w:color w:val="auto"/>
        </w:rPr>
      </w:pPr>
      <w:r>
        <w:rPr>
          <w:color w:val="auto"/>
        </w:rPr>
        <w:t>聚醚多元醇：作为环氧丙烷最主要的下游产品，主要用于聚氨酯的合成，广泛应用于制冷和建筑行业。</w:t>
      </w:r>
    </w:p>
    <w:p>
      <w:pPr>
        <w:rPr>
          <w:color w:val="auto"/>
        </w:rPr>
      </w:pPr>
      <w:r>
        <w:rPr>
          <w:color w:val="auto"/>
        </w:rPr>
        <w:t>丙二醇：应用于溶剂、日用化工、医药、食品等领域。当前，国内低端工业级产品产能过剩，而医药、香精级高端丙二醇产品依赖进口。</w:t>
      </w:r>
    </w:p>
    <w:p>
      <w:pPr>
        <w:rPr>
          <w:color w:val="auto"/>
        </w:rPr>
      </w:pPr>
      <w:r>
        <w:rPr>
          <w:color w:val="auto"/>
        </w:rPr>
        <w:t>丙二醇醚：如丙二醇甲醚，作为一种通用溶剂，广泛应用于涂料、油漆、防冻剂、皮革染色、电子化学品等领域。</w:t>
      </w:r>
    </w:p>
    <w:p>
      <w:pPr>
        <w:rPr>
          <w:color w:val="auto"/>
        </w:rPr>
      </w:pPr>
      <w:r>
        <w:rPr>
          <w:color w:val="auto"/>
        </w:rPr>
        <w:t>碳酸二甲酯（DMC）：是一种高性能溶剂，最终用于电解液、聚碳酸酯（PC）、显影液、胶黏剂、涂料、农药、医药等领域。</w:t>
      </w:r>
    </w:p>
    <w:p>
      <w:pPr>
        <w:pStyle w:val="4"/>
        <w:rPr>
          <w:color w:val="auto"/>
        </w:rPr>
      </w:pPr>
      <w:bookmarkStart w:id="62" w:name="_Toc192757675"/>
      <w:r>
        <w:rPr>
          <w:color w:val="auto"/>
        </w:rPr>
        <w:t>4.2.3 基础化工行业现状</w:t>
      </w:r>
      <w:bookmarkEnd w:id="62"/>
    </w:p>
    <w:p>
      <w:pPr>
        <w:rPr>
          <w:color w:val="auto"/>
        </w:rPr>
      </w:pPr>
      <w:r>
        <w:rPr>
          <w:color w:val="auto"/>
        </w:rPr>
        <w:t>（1）产业规模与增长</w:t>
      </w:r>
    </w:p>
    <w:p>
      <w:pPr>
        <w:rPr>
          <w:color w:val="auto"/>
        </w:rPr>
      </w:pPr>
      <w:r>
        <w:rPr>
          <w:color w:val="auto"/>
        </w:rPr>
        <w:t>规模持续扩大：随着国内经济的持续增长，基础化工行业的总产值和销售额均实现了显著增长。尤其是在新材料、新能源等领域，基础化工产品的应用范围不断扩大，市场需求持续增长。</w:t>
      </w:r>
    </w:p>
    <w:p>
      <w:pPr>
        <w:rPr>
          <w:color w:val="auto"/>
        </w:rPr>
      </w:pPr>
      <w:r>
        <w:rPr>
          <w:color w:val="auto"/>
        </w:rPr>
        <w:t>营收与利润情况：2023年，受全球经济下行、地缘政治冲突和美联储加息等多重因素影响，基础化工行业面临一定的挑战。据Wind数据，剔除“两桶油”后，364家化工上市企业全年合计实现营业收入34,633.47亿元，同比增长0.65%；但归母净利润同比下降37.93%。</w:t>
      </w:r>
    </w:p>
    <w:p>
      <w:pPr>
        <w:rPr>
          <w:color w:val="auto"/>
        </w:rPr>
      </w:pPr>
      <w:r>
        <w:rPr>
          <w:color w:val="auto"/>
        </w:rPr>
        <w:t>2024年一季度，随着国家逐步推出稳定房市的政策以及化工行业下游需求的复苏，行业盈利能力环比有所改善。一季度共实现营业收入8,113.37亿元，同比增长0.99%；归母净利润同比下降4.25%，但环比增长104.39%。</w:t>
      </w:r>
    </w:p>
    <w:p>
      <w:pPr>
        <w:rPr>
          <w:color w:val="auto"/>
        </w:rPr>
      </w:pPr>
      <w:r>
        <w:rPr>
          <w:color w:val="auto"/>
        </w:rPr>
        <w:drawing>
          <wp:inline distT="0" distB="0" distL="0" distR="0">
            <wp:extent cx="4752975" cy="2723515"/>
            <wp:effectExtent l="0" t="0" r="0" b="635"/>
            <wp:docPr id="1038132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13299" name="图片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4757425" cy="2726431"/>
                    </a:xfrm>
                    <a:prstGeom prst="rect">
                      <a:avLst/>
                    </a:prstGeom>
                    <a:noFill/>
                    <a:ln>
                      <a:noFill/>
                    </a:ln>
                  </pic:spPr>
                </pic:pic>
              </a:graphicData>
            </a:graphic>
          </wp:inline>
        </w:drawing>
      </w:r>
      <w:r>
        <w:rPr>
          <w:color w:val="auto"/>
        </w:rPr>
        <w:t xml:space="preserve"> </w:t>
      </w:r>
    </w:p>
    <w:p>
      <w:pPr>
        <w:ind w:firstLine="2249" w:firstLineChars="800"/>
        <w:rPr>
          <w:b/>
          <w:bCs/>
          <w:color w:val="auto"/>
        </w:rPr>
      </w:pPr>
      <w:r>
        <w:rPr>
          <w:b/>
          <w:bCs/>
          <w:color w:val="auto"/>
        </w:rPr>
        <w:t>图4-2 医药化工市场发展现状图</w:t>
      </w:r>
    </w:p>
    <w:p>
      <w:pPr>
        <w:rPr>
          <w:color w:val="auto"/>
        </w:rPr>
      </w:pPr>
      <w:r>
        <w:rPr>
          <w:color w:val="auto"/>
        </w:rPr>
        <w:t>（2）技术创新与环保</w:t>
      </w:r>
    </w:p>
    <w:p>
      <w:pPr>
        <w:rPr>
          <w:color w:val="auto"/>
        </w:rPr>
      </w:pPr>
      <w:r>
        <w:rPr>
          <w:color w:val="auto"/>
        </w:rPr>
        <w:t>技术创新：近年来，基础化工行业在技术创新方面取得了显著成果。企业加大了研发投入，推动了一系列关键技术的突破，同时产学研合作日益紧密，加速了科技成果的转化和应用。</w:t>
      </w:r>
    </w:p>
    <w:p>
      <w:pPr>
        <w:rPr>
          <w:color w:val="auto"/>
        </w:rPr>
      </w:pPr>
      <w:r>
        <w:rPr>
          <w:color w:val="auto"/>
        </w:rPr>
        <w:t>环保安全：随着环保意识的增强和法律法规的完善，基础化工行业在环保安全方面的投入也不断加大。企业纷纷采用先进的环保技术和设备，加强废水、废气、废渣的处理和回收利用，有效降低了环境污染。同时，行业也加强了安全生产管理，提高了事故预防和应急处理能力。</w:t>
      </w:r>
    </w:p>
    <w:p>
      <w:pPr>
        <w:rPr>
          <w:color w:val="auto"/>
        </w:rPr>
      </w:pPr>
      <w:r>
        <w:rPr>
          <w:color w:val="auto"/>
        </w:rPr>
        <w:t>（3）市场竞争与结构</w:t>
      </w:r>
    </w:p>
    <w:p>
      <w:pPr>
        <w:rPr>
          <w:color w:val="auto"/>
        </w:rPr>
      </w:pPr>
      <w:r>
        <w:rPr>
          <w:color w:val="auto"/>
        </w:rPr>
        <w:t>市场竞争：基础化工行业的市场竞争日趋激烈。国内外企业纷纷加大市场开拓力度，通过技术创新、品牌建设、渠道拓展等手段提升市场竞争力。此外，国际贸易环境的变化也给行业带来了新的挑战和机遇。</w:t>
      </w:r>
    </w:p>
    <w:p>
      <w:pPr>
        <w:rPr>
          <w:color w:val="auto"/>
        </w:rPr>
      </w:pPr>
      <w:r>
        <w:rPr>
          <w:color w:val="auto"/>
        </w:rPr>
        <w:t>产业结构：基础化工行业的产品结构日趋优化，一些高端、高附加值的产品逐渐占据市场主导地位。同时，行业集中度也在持续提升，一些规模较小、竞争力较弱的企业逐渐被淘汰出局。</w:t>
      </w:r>
    </w:p>
    <w:p>
      <w:pPr>
        <w:pStyle w:val="4"/>
        <w:rPr>
          <w:color w:val="auto"/>
        </w:rPr>
      </w:pPr>
      <w:bookmarkStart w:id="63" w:name="_Toc192757676"/>
      <w:r>
        <w:rPr>
          <w:color w:val="auto"/>
        </w:rPr>
        <w:t>4.2.4 行业发展前景及趋势预测</w:t>
      </w:r>
      <w:bookmarkEnd w:id="63"/>
    </w:p>
    <w:p>
      <w:pPr>
        <w:rPr>
          <w:color w:val="auto"/>
        </w:rPr>
      </w:pPr>
      <w:r>
        <w:rPr>
          <w:color w:val="auto"/>
        </w:rPr>
        <w:t>（1）发展前景</w:t>
      </w:r>
    </w:p>
    <w:p>
      <w:pPr>
        <w:rPr>
          <w:color w:val="auto"/>
        </w:rPr>
      </w:pPr>
      <w:bookmarkStart w:id="64" w:name="_Toc30199"/>
      <w:bookmarkEnd w:id="64"/>
      <w:r>
        <w:rPr>
          <w:color w:val="auto"/>
        </w:rPr>
        <w:t>市场规模持续增长：随着全球经济的复苏和新兴市场的崛起，基础化工产品的需求将持续增长。预计至2030年，中国的基础化工行业产值将占全球化工产值的50%左右，继续保持全球领先地位。</w:t>
      </w:r>
    </w:p>
    <w:p>
      <w:pPr>
        <w:rPr>
          <w:color w:val="auto"/>
        </w:rPr>
      </w:pPr>
      <w:r>
        <w:rPr>
          <w:color w:val="auto"/>
        </w:rPr>
        <w:t>产业结构优化升级：随着技术进步和产业升级，基础化工行业将向高端化、精细化、绿色化方向发展。高端化学品、精细化工产品比重将不断增加，低附加值产品将逐渐被淘汰。</w:t>
      </w:r>
    </w:p>
    <w:p>
      <w:pPr>
        <w:rPr>
          <w:color w:val="auto"/>
        </w:rPr>
      </w:pPr>
      <w:r>
        <w:rPr>
          <w:color w:val="auto"/>
        </w:rPr>
        <w:t>环保和可持续发展：环保和可持续发展将成为基础化工行业的重要发展方向。企业将更加注重环保技术的研发和应用，减少污染物排放，提高资源利用效率。</w:t>
      </w:r>
    </w:p>
    <w:p>
      <w:pPr>
        <w:rPr>
          <w:color w:val="auto"/>
        </w:rPr>
      </w:pPr>
      <w:r>
        <w:rPr>
          <w:color w:val="auto"/>
        </w:rPr>
        <w:t>（2）趋势预测</w:t>
      </w:r>
    </w:p>
    <w:p>
      <w:pPr>
        <w:rPr>
          <w:color w:val="auto"/>
        </w:rPr>
      </w:pPr>
      <w:r>
        <w:rPr>
          <w:color w:val="auto"/>
        </w:rPr>
        <w:t>技术创新驱动发展：技术创新将继续是推动基础化工行业发展的核心动力。预计至2030年，基础化工行业将涌现出更多具有自主知识产权的关键技术和创新产品，推动行业整体技术进步和产业升级。</w:t>
      </w:r>
    </w:p>
    <w:p>
      <w:pPr>
        <w:rPr>
          <w:color w:val="auto"/>
        </w:rPr>
      </w:pPr>
      <w:r>
        <w:rPr>
          <w:color w:val="auto"/>
        </w:rPr>
        <w:t>市场规模进一步扩大：随着全球经济的持续增长和新兴市场的发展，基础化工产品的市场规模将进一步扩大。预计至2030年，全球基础化工市场规模将达到数万亿美元，中国将继续保持领先地位。</w:t>
      </w:r>
    </w:p>
    <w:p>
      <w:pPr>
        <w:rPr>
          <w:color w:val="auto"/>
        </w:rPr>
      </w:pPr>
      <w:r>
        <w:rPr>
          <w:color w:val="auto"/>
        </w:rPr>
        <w:t>环保要求更加严格：随着全球环保意识的不断提高和法律法规的完善，基础化工行业将面临更加严格的环保要求。企业需要加大环保投入，提高污染物处理能力和资源利用效率，以适应日益严格的环保标准。</w:t>
      </w:r>
    </w:p>
    <w:p>
      <w:pPr>
        <w:rPr>
          <w:color w:val="auto"/>
        </w:rPr>
      </w:pPr>
      <w:r>
        <w:rPr>
          <w:color w:val="auto"/>
        </w:rPr>
        <w:t>国际合作与竞争并存：国际合作与竞争将成为推动基础化工行业发展的重要力量。中国基础化工企业需要积极参与国际竞争与合作，引进先进技术和管理经验，提高国际化水平。同时，加强与国际同行的交流与合作，共同推动全球基础化工行业的可持续发展。</w:t>
      </w:r>
    </w:p>
    <w:p>
      <w:pPr>
        <w:rPr>
          <w:color w:val="auto"/>
        </w:rPr>
      </w:pPr>
      <w:r>
        <w:rPr>
          <w:color w:val="auto"/>
        </w:rPr>
        <w:t>数字化转型加速：数字化转型将成为基础化工行业的重要趋势。企业需要加强数字化技术的应用，提高生产自动化、智能化水平，降低生产成本，提高产品质量和安全性。同时，通过数字化转型加强供应链管理、客户关系管理等方面的能力，提升企业整体竞争力。</w:t>
      </w:r>
    </w:p>
    <w:p>
      <w:pPr>
        <w:rPr>
          <w:color w:val="auto"/>
        </w:rPr>
      </w:pPr>
      <w:r>
        <w:rPr>
          <w:color w:val="auto"/>
        </w:rPr>
        <w:t>基础化工行业具有广阔的发展前景和积极的发展趋势。预计至2030年，中国的基础化工行业将继续保持全球领先地位，实现产业升级和可持续发展。同时，企业需要积极应对市场变化和环保要求，加强技术创新和数字化转型，提高整体竞争力。</w:t>
      </w:r>
    </w:p>
    <w:p>
      <w:pPr>
        <w:pStyle w:val="3"/>
        <w:rPr>
          <w:color w:val="auto"/>
        </w:rPr>
      </w:pPr>
      <w:bookmarkStart w:id="65" w:name="_Toc192757677"/>
      <w:r>
        <w:rPr>
          <w:color w:val="auto"/>
        </w:rPr>
        <w:t>4.3 全国化工园区发展现状及未来发展趋势</w:t>
      </w:r>
      <w:bookmarkEnd w:id="65"/>
    </w:p>
    <w:p>
      <w:pPr>
        <w:rPr>
          <w:color w:val="auto"/>
        </w:rPr>
      </w:pPr>
      <w:r>
        <w:rPr>
          <w:color w:val="auto"/>
        </w:rPr>
        <w:t>化工园区是现代化学工业为适应资源或原料转换，顺应大型化、集约化、最优化、经营国际化和效益最大化发展趋势的产物；是化工行业发展的重要载体，在促进安全统一监管、环境集中治理、上下游协同发展等方面发挥着重要作用，目前已成为化工行业的主要发展阵地。化工园区是按照产业特色划分，我国化工园区类型主要分为石油化工型、煤化工型、精细化工型；按照发展方式则分为企业扩张型和城市搬迁型。</w:t>
      </w:r>
    </w:p>
    <w:p>
      <w:pPr>
        <w:pStyle w:val="4"/>
        <w:rPr>
          <w:color w:val="auto"/>
        </w:rPr>
      </w:pPr>
      <w:bookmarkStart w:id="66" w:name="_Toc192757678"/>
      <w:r>
        <w:rPr>
          <w:color w:val="auto"/>
        </w:rPr>
        <w:t>4.3.1 化工园区的发展现状</w:t>
      </w:r>
      <w:bookmarkEnd w:id="66"/>
    </w:p>
    <w:p>
      <w:pPr>
        <w:rPr>
          <w:color w:val="auto"/>
        </w:rPr>
      </w:pPr>
      <w:r>
        <w:rPr>
          <w:color w:val="auto"/>
        </w:rPr>
        <w:t>根据石化联合会园区委统计，截至2023年底，全国共有29个省（区、市）全部或阶段性完成了化工园区认定工作，通过认定的化工园区和化工集中区达到638家。</w:t>
      </w:r>
    </w:p>
    <w:p>
      <w:pPr>
        <w:rPr>
          <w:color w:val="auto"/>
        </w:rPr>
      </w:pPr>
      <w:r>
        <w:rPr>
          <w:color w:val="auto"/>
        </w:rPr>
        <w:t>从产值来看，全国已形成石油和化学工业产值超过千亿的超大型园区21家；产值在500亿-1000亿的大型园区43家，100亿-500亿的中型园区261家，产值小于100亿的小型园区313家。目前，化工园区产值占行业总产值比重已达到62%左右，随着化企入园、化工园区改扩区、企业园区化等进程加快，有望实现六部委提出的“2025年化工园区产值占行业总产值70%以上”的目标。</w:t>
      </w:r>
    </w:p>
    <w:p>
      <w:pPr>
        <w:pStyle w:val="4"/>
        <w:rPr>
          <w:color w:val="auto"/>
        </w:rPr>
      </w:pPr>
      <w:bookmarkStart w:id="67" w:name="_Toc192757679"/>
      <w:r>
        <w:rPr>
          <w:color w:val="auto"/>
        </w:rPr>
        <w:t>4.3.2 化工园区的发展趋势</w:t>
      </w:r>
      <w:bookmarkEnd w:id="67"/>
    </w:p>
    <w:p>
      <w:pPr>
        <w:rPr>
          <w:color w:val="auto"/>
        </w:rPr>
      </w:pPr>
      <w:r>
        <w:rPr>
          <w:color w:val="auto"/>
        </w:rPr>
        <w:t>（1）高质量发展</w:t>
      </w:r>
    </w:p>
    <w:p>
      <w:pPr>
        <w:rPr>
          <w:color w:val="auto"/>
        </w:rPr>
      </w:pPr>
      <w:r>
        <w:rPr>
          <w:color w:val="auto"/>
        </w:rPr>
        <w:t>产业结构优化升级，提高产品质量和附加值。化工园区要根据市场需求和国家战略，调整优化产业布局和产品结构，淘汰落后产能和低端产品，发展高端产品和新材料，提高产品质量和附加值。同时，要加强品牌建设和市场开拓，提升产品的市场竞争力和影响力。</w:t>
      </w:r>
    </w:p>
    <w:p>
      <w:pPr>
        <w:rPr>
          <w:color w:val="auto"/>
        </w:rPr>
      </w:pPr>
      <w:r>
        <w:rPr>
          <w:color w:val="auto"/>
        </w:rPr>
        <w:t>创新能力显著提升，形成核心技术和装备。化工园区要加大科技投入和人才培养，建立健全创新体系和机制，推动产学研用深度融合，加强基础研究和应用研究，突破一批关键技术和装备，形成自主知识产权和核心竞争力。</w:t>
      </w:r>
    </w:p>
    <w:p>
      <w:pPr>
        <w:rPr>
          <w:color w:val="auto"/>
        </w:rPr>
      </w:pPr>
      <w:r>
        <w:rPr>
          <w:color w:val="auto"/>
        </w:rPr>
        <w:t>节能减排水平显著提高，实现绿色发展。化工园区要坚持节约优先、保护优先、自然恢复为主的方针，实施清洁生产和循环经济，推广节能减排技术和装备，强化污染物排放控制和监测，提高资源利用效率和环境质量。</w:t>
      </w:r>
    </w:p>
    <w:p>
      <w:pPr>
        <w:rPr>
          <w:color w:val="auto"/>
        </w:rPr>
      </w:pPr>
      <w:r>
        <w:rPr>
          <w:color w:val="auto"/>
        </w:rPr>
        <w:t>协同发展水平显著提高，促进区域协调。化工园区要加强沟通协调和信息共享，建立公平竞争的市场环境，实现产业链、价值链、创新链的有效对接，形成优势互补和合作共赢的局面。同时，要积极参与“一带一路”建设和国际合作，拓展国内外市场空间。</w:t>
      </w:r>
    </w:p>
    <w:p>
      <w:pPr>
        <w:rPr>
          <w:color w:val="auto"/>
        </w:rPr>
      </w:pPr>
      <w:r>
        <w:rPr>
          <w:color w:val="auto"/>
        </w:rPr>
        <w:t>（2）智能化发展</w:t>
      </w:r>
    </w:p>
    <w:p>
      <w:pPr>
        <w:rPr>
          <w:color w:val="auto"/>
        </w:rPr>
      </w:pPr>
      <w:r>
        <w:rPr>
          <w:color w:val="auto"/>
        </w:rPr>
        <w:t>建设智慧园区，提高园区管理水平。化工园区要利用物联网、云计算、大数据、人工智能等新一代信息技术，构建智慧园区平台，实现园区内外的信息互联互通，实时监测园区的生产运行、安全风险、环境状况等各项指标，提供智能化的决策支持和服务保障。</w:t>
      </w:r>
    </w:p>
    <w:p>
      <w:pPr>
        <w:rPr>
          <w:color w:val="auto"/>
        </w:rPr>
      </w:pPr>
      <w:r>
        <w:rPr>
          <w:color w:val="auto"/>
        </w:rPr>
        <w:t>推进智能制造，提高生产效率。化工园区要推进工业互联网的建设和应用，实现生产过程的数字化、网络化、智能化。通过采集并分析生产数据，优化生产参数，提高生产质量；通过远程控制和自动调节，提高生产灵活性；通过预测维护和故障诊断，提高生产可靠性。</w:t>
      </w:r>
    </w:p>
    <w:p>
      <w:pPr>
        <w:rPr>
          <w:color w:val="auto"/>
        </w:rPr>
      </w:pPr>
      <w:r>
        <w:rPr>
          <w:color w:val="auto"/>
        </w:rPr>
        <w:t>发展智能产品，提高产品附加值。化工园区要加强对客户需求的感知和响应，开发具有智能化功能的化工产品，如可变色、可变形、自修复、自适应等，满足客户的个性化、定制化需求，提高产品的市场竞争力和利润率。</w:t>
      </w:r>
    </w:p>
    <w:p>
      <w:pPr>
        <w:rPr>
          <w:color w:val="auto"/>
        </w:rPr>
      </w:pPr>
      <w:r>
        <w:rPr>
          <w:color w:val="auto"/>
        </w:rPr>
        <w:t>（3）集约化发展</w:t>
      </w:r>
    </w:p>
    <w:p>
      <w:pPr>
        <w:rPr>
          <w:color w:val="auto"/>
        </w:rPr>
      </w:pPr>
      <w:r>
        <w:rPr>
          <w:color w:val="auto"/>
        </w:rPr>
        <w:t>实施集约用地，提高土地利用效率。化工园区要合理规划和利用土地资源，优化园区布局和空间结构，控制园区规模和密度，提高土地综合开发利用水平。同时，要加强土地管理和保护，防止土地荒漠化、盐碱化、污染等问题，保障土地资源的可持续利用。</w:t>
      </w:r>
    </w:p>
    <w:p>
      <w:pPr>
        <w:rPr>
          <w:color w:val="auto"/>
        </w:rPr>
      </w:pPr>
      <w:r>
        <w:rPr>
          <w:color w:val="auto"/>
        </w:rPr>
        <w:t>实现集约生产，提高能源利用效率。化工园区要推进能源结构调整和优化，发展清洁能源和可再生能源，降低对传统能源的依赖；推进能源系统集成和优化，实现能源的多元互补和协同利用；推进能源消费节约和降耗，实现能源的高效利用和低碳排放。</w:t>
      </w:r>
    </w:p>
    <w:p>
      <w:pPr>
        <w:rPr>
          <w:color w:val="auto"/>
        </w:rPr>
      </w:pPr>
      <w:r>
        <w:rPr>
          <w:color w:val="auto"/>
        </w:rPr>
        <w:t>发展集约流通，提高物流效率。化工园区要建设智能物流系统，实现物流信息、物流资金、物流实物的高度融合；建设绿色物流网络，实现物流运输、仓储、配送等环节的低碳化、环保化；建设共享物流平台，实现物流资源的优化配置和协同利用。</w:t>
      </w:r>
    </w:p>
    <w:p>
      <w:pPr>
        <w:pStyle w:val="3"/>
        <w:rPr>
          <w:color w:val="auto"/>
        </w:rPr>
      </w:pPr>
      <w:bookmarkStart w:id="68" w:name="_Toc17921"/>
      <w:bookmarkEnd w:id="68"/>
      <w:bookmarkStart w:id="69" w:name="_Toc192757680"/>
      <w:r>
        <w:rPr>
          <w:color w:val="auto"/>
        </w:rPr>
        <w:t>4.4 安徽化工发展态势分析</w:t>
      </w:r>
      <w:bookmarkEnd w:id="69"/>
    </w:p>
    <w:p>
      <w:pPr>
        <w:pStyle w:val="4"/>
        <w:rPr>
          <w:color w:val="auto"/>
        </w:rPr>
      </w:pPr>
      <w:bookmarkStart w:id="70" w:name="_Toc192757681"/>
      <w:r>
        <w:rPr>
          <w:color w:val="auto"/>
        </w:rPr>
        <w:t>4.4.1 安徽化工园区状况</w:t>
      </w:r>
      <w:bookmarkEnd w:id="70"/>
    </w:p>
    <w:p>
      <w:pPr>
        <w:rPr>
          <w:color w:val="auto"/>
        </w:rPr>
      </w:pPr>
      <w:r>
        <w:rPr>
          <w:color w:val="auto"/>
        </w:rPr>
        <w:t>目前，安徽省共认定化工园区38个，安徽省化工园区名录汇总如下：</w:t>
      </w:r>
    </w:p>
    <w:p>
      <w:pPr>
        <w:ind w:firstLine="0" w:firstLineChars="0"/>
        <w:jc w:val="center"/>
        <w:rPr>
          <w:b/>
          <w:bCs/>
          <w:color w:val="auto"/>
        </w:rPr>
      </w:pPr>
      <w:r>
        <w:rPr>
          <w:b/>
          <w:bCs/>
          <w:color w:val="auto"/>
        </w:rPr>
        <w:t>表4-1 安徽化工园区名单</w:t>
      </w:r>
    </w:p>
    <w:p>
      <w:pPr>
        <w:ind w:firstLine="482"/>
        <w:jc w:val="right"/>
        <w:rPr>
          <w:b/>
          <w:bCs/>
          <w:color w:val="auto"/>
        </w:rPr>
      </w:pPr>
      <w:r>
        <w:rPr>
          <w:b/>
          <w:bCs/>
          <w:color w:val="auto"/>
          <w:sz w:val="24"/>
          <w:szCs w:val="24"/>
        </w:rPr>
        <w:t>单位：平方公里</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1"/>
        <w:gridCol w:w="1572"/>
        <w:gridCol w:w="3952"/>
        <w:gridCol w:w="2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b/>
                <w:bCs/>
                <w:color w:val="auto"/>
                <w:sz w:val="24"/>
                <w:szCs w:val="24"/>
              </w:rPr>
            </w:pPr>
            <w:r>
              <w:rPr>
                <w:b/>
                <w:bCs/>
                <w:color w:val="auto"/>
                <w:sz w:val="24"/>
                <w:szCs w:val="24"/>
              </w:rPr>
              <w:t>序号</w:t>
            </w:r>
          </w:p>
        </w:tc>
        <w:tc>
          <w:tcPr>
            <w:tcW w:w="92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b/>
                <w:bCs/>
                <w:color w:val="auto"/>
                <w:sz w:val="24"/>
                <w:szCs w:val="24"/>
              </w:rPr>
            </w:pPr>
            <w:r>
              <w:rPr>
                <w:b/>
                <w:bCs/>
                <w:color w:val="auto"/>
                <w:sz w:val="24"/>
                <w:szCs w:val="24"/>
              </w:rPr>
              <w:t>所在市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b/>
                <w:bCs/>
                <w:color w:val="auto"/>
                <w:sz w:val="24"/>
                <w:szCs w:val="24"/>
              </w:rPr>
            </w:pPr>
            <w:r>
              <w:rPr>
                <w:b/>
                <w:bCs/>
                <w:color w:val="auto"/>
                <w:sz w:val="24"/>
                <w:szCs w:val="24"/>
              </w:rPr>
              <w:t>认定园区名称</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b/>
                <w:bCs/>
                <w:color w:val="auto"/>
                <w:sz w:val="24"/>
                <w:szCs w:val="24"/>
              </w:rPr>
            </w:pPr>
            <w:r>
              <w:rPr>
                <w:b/>
                <w:bCs/>
                <w:color w:val="auto"/>
                <w:sz w:val="24"/>
                <w:szCs w:val="24"/>
              </w:rPr>
              <w:t>规划面积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w:t>
            </w:r>
          </w:p>
        </w:tc>
        <w:tc>
          <w:tcPr>
            <w:tcW w:w="922" w:type="pct"/>
            <w:vMerge w:val="restart"/>
            <w:tcBorders>
              <w:top w:val="nil"/>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合肥市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合肥新站化工园区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5.59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合肥经开化工园区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合肥巢湖化工园区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0.69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4</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合肥肥东化工园区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6.94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5</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合肥庐江化工园区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6</w:t>
            </w:r>
          </w:p>
        </w:tc>
        <w:tc>
          <w:tcPr>
            <w:tcW w:w="922" w:type="pct"/>
            <w:vMerge w:val="restart"/>
            <w:tcBorders>
              <w:top w:val="nil"/>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淮北市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淮北临涣化工园区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8.48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7</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淮北濉溪化工园区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8</w:t>
            </w:r>
          </w:p>
        </w:tc>
        <w:tc>
          <w:tcPr>
            <w:tcW w:w="92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亳州市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亳州涡阳化工园区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9</w:t>
            </w:r>
          </w:p>
        </w:tc>
        <w:tc>
          <w:tcPr>
            <w:tcW w:w="922" w:type="pct"/>
            <w:vMerge w:val="restart"/>
            <w:tcBorders>
              <w:top w:val="nil"/>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宿州市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宿州经开化工园区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6.99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10</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宿州萧县化工园区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11</w:t>
            </w:r>
          </w:p>
        </w:tc>
        <w:tc>
          <w:tcPr>
            <w:tcW w:w="922" w:type="pct"/>
            <w:vMerge w:val="restart"/>
            <w:tcBorders>
              <w:top w:val="nil"/>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蚌埠市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蚌埠淮上化工园区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12</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蚌埠固镇化工园区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13</w:t>
            </w:r>
          </w:p>
        </w:tc>
        <w:tc>
          <w:tcPr>
            <w:tcW w:w="922" w:type="pct"/>
            <w:vMerge w:val="restart"/>
            <w:tcBorders>
              <w:top w:val="nil"/>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阜阳市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阜阳太和化工园区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14</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阜阳颍东化工园区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7.74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15</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阜阳颍上化工园区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16</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阜阳临泉化工园区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17</w:t>
            </w:r>
          </w:p>
        </w:tc>
        <w:tc>
          <w:tcPr>
            <w:tcW w:w="922" w:type="pct"/>
            <w:vMerge w:val="restart"/>
            <w:tcBorders>
              <w:top w:val="nil"/>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淮南市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淮南经开化工园区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18</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淮南潘集化工园区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7.24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19</w:t>
            </w:r>
          </w:p>
        </w:tc>
        <w:tc>
          <w:tcPr>
            <w:tcW w:w="922" w:type="pct"/>
            <w:vMerge w:val="restart"/>
            <w:tcBorders>
              <w:top w:val="nil"/>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滁州市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滁州定远化工园区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17.53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20</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滁州来安化工园区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21</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滁州全椒化工园区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22</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滁州天长化工园区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23</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滁州明光化工园区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24</w:t>
            </w:r>
          </w:p>
        </w:tc>
        <w:tc>
          <w:tcPr>
            <w:tcW w:w="92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六安市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六安叶集化工园区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25</w:t>
            </w:r>
          </w:p>
        </w:tc>
        <w:tc>
          <w:tcPr>
            <w:tcW w:w="922" w:type="pct"/>
            <w:vMerge w:val="restart"/>
            <w:tcBorders>
              <w:top w:val="nil"/>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马鞍山市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马鞍山慈湖化工园区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4.46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26</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马鞍山当涂化工园区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27</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马鞍山和县化工园区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4.19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28</w:t>
            </w:r>
          </w:p>
        </w:tc>
        <w:tc>
          <w:tcPr>
            <w:tcW w:w="92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芜湖市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芜湖经开化工园区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4.59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29</w:t>
            </w:r>
          </w:p>
        </w:tc>
        <w:tc>
          <w:tcPr>
            <w:tcW w:w="922" w:type="pct"/>
            <w:vMerge w:val="restart"/>
            <w:tcBorders>
              <w:top w:val="nil"/>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宣城市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宣城高新化工园区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30</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宣城宁国化工园区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31</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宣城广德化工园区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32</w:t>
            </w:r>
          </w:p>
        </w:tc>
        <w:tc>
          <w:tcPr>
            <w:tcW w:w="922" w:type="pct"/>
            <w:vMerge w:val="restart"/>
            <w:tcBorders>
              <w:top w:val="nil"/>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铜陵市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铜陵经开化工园区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2"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33</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铜陵横港化工园区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4.47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2"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34</w:t>
            </w:r>
          </w:p>
        </w:tc>
        <w:tc>
          <w:tcPr>
            <w:tcW w:w="92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池州市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池州东至化工园区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13.62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2"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35</w:t>
            </w:r>
          </w:p>
        </w:tc>
        <w:tc>
          <w:tcPr>
            <w:tcW w:w="922" w:type="pct"/>
            <w:vMerge w:val="restart"/>
            <w:tcBorders>
              <w:top w:val="nil"/>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安庆市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安庆高新化工园区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2"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36</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安庆石化化工园区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2"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37</w:t>
            </w:r>
          </w:p>
        </w:tc>
        <w:tc>
          <w:tcPr>
            <w:tcW w:w="922" w:type="pct"/>
            <w:vMerge w:val="restart"/>
            <w:tcBorders>
              <w:top w:val="nil"/>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黄山市</w:t>
            </w: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黄山歙县化工园区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2"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38</w:t>
            </w:r>
          </w:p>
        </w:tc>
        <w:tc>
          <w:tcPr>
            <w:tcW w:w="922" w:type="pct"/>
            <w:vMerge w:val="continue"/>
            <w:tcBorders>
              <w:top w:val="nil"/>
              <w:left w:val="single" w:color="auto" w:sz="4" w:space="0"/>
              <w:bottom w:val="single" w:color="auto" w:sz="4" w:space="0"/>
              <w:right w:val="single" w:color="auto" w:sz="4" w:space="0"/>
            </w:tcBorders>
            <w:vAlign w:val="center"/>
          </w:tcPr>
          <w:p>
            <w:pPr>
              <w:widowControl/>
              <w:autoSpaceDE/>
              <w:autoSpaceDN/>
              <w:adjustRightInd/>
              <w:snapToGrid/>
              <w:spacing w:line="240" w:lineRule="auto"/>
              <w:ind w:firstLine="0" w:firstLineChars="0"/>
              <w:jc w:val="left"/>
              <w:rPr>
                <w:color w:val="auto"/>
                <w:sz w:val="24"/>
                <w:szCs w:val="24"/>
              </w:rPr>
            </w:pPr>
          </w:p>
        </w:tc>
        <w:tc>
          <w:tcPr>
            <w:tcW w:w="231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黄山徽州化工园区</w:t>
            </w:r>
          </w:p>
        </w:tc>
        <w:tc>
          <w:tcPr>
            <w:tcW w:w="121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auto"/>
                <w:sz w:val="24"/>
                <w:szCs w:val="24"/>
              </w:rPr>
            </w:pPr>
            <w:r>
              <w:rPr>
                <w:color w:val="auto"/>
                <w:sz w:val="24"/>
                <w:szCs w:val="24"/>
              </w:rPr>
              <w:t>2.03</w:t>
            </w:r>
          </w:p>
        </w:tc>
      </w:tr>
    </w:tbl>
    <w:p>
      <w:pPr>
        <w:pStyle w:val="4"/>
        <w:rPr>
          <w:color w:val="auto"/>
        </w:rPr>
      </w:pPr>
      <w:bookmarkStart w:id="71" w:name="_Toc192757682"/>
      <w:r>
        <w:rPr>
          <w:color w:val="auto"/>
        </w:rPr>
        <w:t>4.4.2 重点化工园区</w:t>
      </w:r>
      <w:bookmarkEnd w:id="71"/>
    </w:p>
    <w:p>
      <w:pPr>
        <w:rPr>
          <w:color w:val="auto"/>
        </w:rPr>
      </w:pPr>
      <w:r>
        <w:rPr>
          <w:color w:val="auto"/>
        </w:rPr>
        <w:t>安徽省目前已经形成石油化工、化学矿山、农用化工、有机无机原料、合成材料、精细化工、生物化工等十几个行业比较完整的化工产业体系，可以生产3500多种石油和化工产品，已成为安徽省的支柱产业。</w:t>
      </w:r>
    </w:p>
    <w:p>
      <w:pPr>
        <w:rPr>
          <w:color w:val="auto"/>
        </w:rPr>
      </w:pPr>
      <w:r>
        <w:rPr>
          <w:color w:val="auto"/>
        </w:rPr>
        <w:t>安徽化工产业涌现了一批优势企业和优势产品，安庆曙光的氰化钠、安庆石化的丙烯腈、皖维集团的PVA、中鼎集团公司的橡胶密封件等产品的产量国内领先。子午线轮胎、农药、磷肥、氮肥、硫酸、粉末涂料等产品在全国占有较大比重。</w:t>
      </w:r>
    </w:p>
    <w:p>
      <w:pPr>
        <w:overflowPunct w:val="0"/>
        <w:ind w:firstLine="0" w:firstLineChars="0"/>
        <w:jc w:val="center"/>
        <w:rPr>
          <w:b/>
          <w:bCs/>
          <w:color w:val="auto"/>
        </w:rPr>
      </w:pPr>
      <w:r>
        <w:rPr>
          <w:b/>
          <w:bCs/>
          <w:color w:val="auto"/>
        </w:rPr>
        <w:t>表4-2 安徽省重点化工园区列表</w:t>
      </w:r>
    </w:p>
    <w:p>
      <w:pPr>
        <w:overflowPunct w:val="0"/>
        <w:ind w:firstLine="482"/>
        <w:jc w:val="right"/>
        <w:rPr>
          <w:b/>
          <w:bCs/>
          <w:color w:val="auto"/>
          <w:sz w:val="24"/>
          <w:szCs w:val="24"/>
        </w:rPr>
      </w:pPr>
      <w:r>
        <w:rPr>
          <w:b/>
          <w:bCs/>
          <w:color w:val="auto"/>
          <w:sz w:val="24"/>
          <w:szCs w:val="24"/>
        </w:rPr>
        <w:t>单位：平方公里</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0"/>
        <w:gridCol w:w="1270"/>
        <w:gridCol w:w="1144"/>
        <w:gridCol w:w="1171"/>
        <w:gridCol w:w="43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35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color w:val="auto"/>
                <w:sz w:val="24"/>
                <w:szCs w:val="24"/>
              </w:rPr>
            </w:pPr>
            <w:r>
              <w:rPr>
                <w:b/>
                <w:bCs/>
                <w:color w:val="auto"/>
                <w:sz w:val="24"/>
                <w:szCs w:val="24"/>
              </w:rPr>
              <w:t>序号</w:t>
            </w:r>
          </w:p>
        </w:tc>
        <w:tc>
          <w:tcPr>
            <w:tcW w:w="74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color w:val="auto"/>
                <w:sz w:val="24"/>
                <w:szCs w:val="24"/>
              </w:rPr>
            </w:pPr>
            <w:r>
              <w:rPr>
                <w:b/>
                <w:bCs/>
                <w:color w:val="auto"/>
                <w:sz w:val="24"/>
                <w:szCs w:val="24"/>
              </w:rPr>
              <w:t>名称</w:t>
            </w:r>
          </w:p>
        </w:tc>
        <w:tc>
          <w:tcPr>
            <w:tcW w:w="6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color w:val="auto"/>
                <w:sz w:val="24"/>
                <w:szCs w:val="24"/>
              </w:rPr>
            </w:pPr>
            <w:r>
              <w:rPr>
                <w:b/>
                <w:bCs/>
                <w:color w:val="auto"/>
                <w:sz w:val="24"/>
                <w:szCs w:val="24"/>
              </w:rPr>
              <w:t>所在市</w:t>
            </w:r>
          </w:p>
        </w:tc>
        <w:tc>
          <w:tcPr>
            <w:tcW w:w="68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color w:val="auto"/>
                <w:sz w:val="24"/>
                <w:szCs w:val="24"/>
              </w:rPr>
            </w:pPr>
            <w:r>
              <w:rPr>
                <w:b/>
                <w:bCs/>
                <w:color w:val="auto"/>
                <w:sz w:val="24"/>
                <w:szCs w:val="24"/>
              </w:rPr>
              <w:t>规划</w:t>
            </w:r>
          </w:p>
          <w:p>
            <w:pPr>
              <w:spacing w:line="240" w:lineRule="auto"/>
              <w:ind w:firstLine="0" w:firstLineChars="0"/>
              <w:jc w:val="center"/>
              <w:rPr>
                <w:b/>
                <w:bCs/>
                <w:color w:val="auto"/>
                <w:sz w:val="24"/>
                <w:szCs w:val="24"/>
              </w:rPr>
            </w:pPr>
            <w:r>
              <w:rPr>
                <w:b/>
                <w:bCs/>
                <w:color w:val="auto"/>
                <w:sz w:val="24"/>
                <w:szCs w:val="24"/>
              </w:rPr>
              <w:t>面积</w:t>
            </w:r>
          </w:p>
        </w:tc>
        <w:tc>
          <w:tcPr>
            <w:tcW w:w="253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b/>
                <w:bCs/>
                <w:color w:val="auto"/>
                <w:sz w:val="24"/>
                <w:szCs w:val="24"/>
              </w:rPr>
            </w:pPr>
            <w:r>
              <w:rPr>
                <w:b/>
                <w:bCs/>
                <w:color w:val="auto"/>
                <w:sz w:val="24"/>
                <w:szCs w:val="24"/>
              </w:rPr>
              <w:t>主导产业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35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1</w:t>
            </w:r>
          </w:p>
        </w:tc>
        <w:tc>
          <w:tcPr>
            <w:tcW w:w="74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安庆高新化工园区</w:t>
            </w:r>
          </w:p>
        </w:tc>
        <w:tc>
          <w:tcPr>
            <w:tcW w:w="6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安庆市</w:t>
            </w:r>
          </w:p>
        </w:tc>
        <w:tc>
          <w:tcPr>
            <w:tcW w:w="68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24.46</w:t>
            </w:r>
          </w:p>
        </w:tc>
        <w:tc>
          <w:tcPr>
            <w:tcW w:w="253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以化工新材料和医工医药为主导产业，发展炼化和石油产品深加工，煤化工、精细专用化学品、化工新材料及合成材料加工等。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5" w:hRule="atLeast"/>
        </w:trPr>
        <w:tc>
          <w:tcPr>
            <w:tcW w:w="35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2</w:t>
            </w:r>
          </w:p>
        </w:tc>
        <w:tc>
          <w:tcPr>
            <w:tcW w:w="74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滁州定远化工园区</w:t>
            </w:r>
          </w:p>
        </w:tc>
        <w:tc>
          <w:tcPr>
            <w:tcW w:w="6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滁州市</w:t>
            </w:r>
          </w:p>
        </w:tc>
        <w:tc>
          <w:tcPr>
            <w:tcW w:w="68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17.53</w:t>
            </w:r>
          </w:p>
        </w:tc>
        <w:tc>
          <w:tcPr>
            <w:tcW w:w="253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重点发展盐化工及相关制造业、氯碱下游、煤化工、乙炔化工、氟硅化工、重油裂解等产业。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8" w:hRule="atLeast"/>
        </w:trPr>
        <w:tc>
          <w:tcPr>
            <w:tcW w:w="35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3</w:t>
            </w:r>
          </w:p>
        </w:tc>
        <w:tc>
          <w:tcPr>
            <w:tcW w:w="74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池州东至化工园区</w:t>
            </w:r>
          </w:p>
        </w:tc>
        <w:tc>
          <w:tcPr>
            <w:tcW w:w="6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池州市</w:t>
            </w:r>
          </w:p>
        </w:tc>
        <w:tc>
          <w:tcPr>
            <w:tcW w:w="68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13.62</w:t>
            </w:r>
          </w:p>
        </w:tc>
        <w:tc>
          <w:tcPr>
            <w:tcW w:w="253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重点发展三条产业链，即煤化工产业链、石油化工产业链、精细化工产业链，未来重点发展医药化工。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35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4</w:t>
            </w:r>
          </w:p>
        </w:tc>
        <w:tc>
          <w:tcPr>
            <w:tcW w:w="74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铜陵经开化工园区</w:t>
            </w:r>
          </w:p>
        </w:tc>
        <w:tc>
          <w:tcPr>
            <w:tcW w:w="6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铜陵市</w:t>
            </w:r>
          </w:p>
        </w:tc>
        <w:tc>
          <w:tcPr>
            <w:tcW w:w="68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12.92</w:t>
            </w:r>
          </w:p>
        </w:tc>
        <w:tc>
          <w:tcPr>
            <w:tcW w:w="253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铜陵经开区东部园区：重点发展铜基新材料、高端装备制造。以发展新材料、智能制造、集成电路与微电子三大产业为核心，配套发展生产性服务业。铜陵市循环园绿色化工集中区：重点以碳酸二甲酯为基础，发展环氧乙烷、聚碳酸酯、聚氨酯等工程塑料产业链，同时发展高档油漆涂料产业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1" w:hRule="atLeast"/>
        </w:trPr>
        <w:tc>
          <w:tcPr>
            <w:tcW w:w="35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5</w:t>
            </w:r>
          </w:p>
        </w:tc>
        <w:tc>
          <w:tcPr>
            <w:tcW w:w="74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淮北临涣化工园区</w:t>
            </w:r>
          </w:p>
        </w:tc>
        <w:tc>
          <w:tcPr>
            <w:tcW w:w="6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淮北市</w:t>
            </w:r>
          </w:p>
        </w:tc>
        <w:tc>
          <w:tcPr>
            <w:tcW w:w="68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8.48</w:t>
            </w:r>
          </w:p>
        </w:tc>
        <w:tc>
          <w:tcPr>
            <w:tcW w:w="253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以煤化工、新材料为主导产业。已经形成“煤、焦、化、电、建”循环经济，不断拓展下游精细化工产业链的发展格局。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trPr>
        <w:tc>
          <w:tcPr>
            <w:tcW w:w="35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6</w:t>
            </w:r>
          </w:p>
        </w:tc>
        <w:tc>
          <w:tcPr>
            <w:tcW w:w="74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阜阳颍东化工园区</w:t>
            </w:r>
          </w:p>
        </w:tc>
        <w:tc>
          <w:tcPr>
            <w:tcW w:w="6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阜阳市</w:t>
            </w:r>
          </w:p>
        </w:tc>
        <w:tc>
          <w:tcPr>
            <w:tcW w:w="68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7.74</w:t>
            </w:r>
          </w:p>
        </w:tc>
        <w:tc>
          <w:tcPr>
            <w:tcW w:w="253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以煤基化工新材料、化学专用品、煤炭及副产品循环经济为主导产业。重点发展煤基化工新材料产业，配套发展化学专用品、煤炭及副产品循环经济产业。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trPr>
        <w:tc>
          <w:tcPr>
            <w:tcW w:w="35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7</w:t>
            </w:r>
          </w:p>
        </w:tc>
        <w:tc>
          <w:tcPr>
            <w:tcW w:w="74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蚌埠淮上化工园区</w:t>
            </w:r>
          </w:p>
        </w:tc>
        <w:tc>
          <w:tcPr>
            <w:tcW w:w="6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蚌埠市</w:t>
            </w:r>
          </w:p>
        </w:tc>
        <w:tc>
          <w:tcPr>
            <w:tcW w:w="68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7.7</w:t>
            </w:r>
          </w:p>
        </w:tc>
        <w:tc>
          <w:tcPr>
            <w:tcW w:w="253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以精细化工（医药化工）、化工新材料为主导产业。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35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8</w:t>
            </w:r>
          </w:p>
        </w:tc>
        <w:tc>
          <w:tcPr>
            <w:tcW w:w="74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淮南潘集化工园区</w:t>
            </w:r>
          </w:p>
        </w:tc>
        <w:tc>
          <w:tcPr>
            <w:tcW w:w="67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淮南市</w:t>
            </w:r>
          </w:p>
        </w:tc>
        <w:tc>
          <w:tcPr>
            <w:tcW w:w="68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7.24</w:t>
            </w:r>
          </w:p>
        </w:tc>
        <w:tc>
          <w:tcPr>
            <w:tcW w:w="253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auto"/>
                <w:sz w:val="24"/>
                <w:szCs w:val="24"/>
              </w:rPr>
            </w:pPr>
            <w:r>
              <w:rPr>
                <w:color w:val="auto"/>
                <w:sz w:val="24"/>
                <w:szCs w:val="24"/>
              </w:rPr>
              <w:t>以煤气化工、煤制天然气和精细化工为主导产业，具体分为煤基石化板块、替代燃料板块和精细化工、新材料板块。</w:t>
            </w:r>
          </w:p>
        </w:tc>
      </w:tr>
    </w:tbl>
    <w:p>
      <w:pPr>
        <w:pStyle w:val="4"/>
        <w:rPr>
          <w:color w:val="auto"/>
          <w:szCs w:val="28"/>
        </w:rPr>
      </w:pPr>
      <w:bookmarkStart w:id="72" w:name="_Toc192757683"/>
      <w:r>
        <w:rPr>
          <w:color w:val="auto"/>
        </w:rPr>
        <w:t>4.4.3 安徽化工园区发展竞争力分析</w:t>
      </w:r>
      <w:bookmarkEnd w:id="72"/>
    </w:p>
    <w:p>
      <w:pPr>
        <w:rPr>
          <w:color w:val="auto"/>
        </w:rPr>
      </w:pPr>
      <w:r>
        <w:rPr>
          <w:color w:val="auto"/>
        </w:rPr>
        <w:t>（1）要素资源丰富</w:t>
      </w:r>
    </w:p>
    <w:p>
      <w:pPr>
        <w:rPr>
          <w:color w:val="auto"/>
        </w:rPr>
      </w:pPr>
      <w:r>
        <w:rPr>
          <w:color w:val="auto"/>
        </w:rPr>
        <w:t>当前，安徽省化工产业对要素资源依赖度较高，尤其是煤化工、盐化工、石油化工对原料资源（煤炭、原盐、原油等）、水资源保障程度要求较高。安徽拥有长江、淮河、巢湖等大江大湖，省内化工园区基本沿长江和淮河流域分布，毗邻原料资源产地，各种要素资源丰富，这是安徽省化工园区发展壮大的基础。</w:t>
      </w:r>
    </w:p>
    <w:p>
      <w:pPr>
        <w:rPr>
          <w:color w:val="auto"/>
        </w:rPr>
      </w:pPr>
      <w:r>
        <w:rPr>
          <w:color w:val="auto"/>
        </w:rPr>
        <w:t>（2）区位交通优势</w:t>
      </w:r>
    </w:p>
    <w:p>
      <w:pPr>
        <w:rPr>
          <w:color w:val="auto"/>
        </w:rPr>
      </w:pPr>
      <w:r>
        <w:rPr>
          <w:color w:val="auto"/>
        </w:rPr>
        <w:t>一是优越的地理区位。毗邻江浙沪，是长三角地区产业向中西部转移和辐射最先到达的区域，具备与长三角地区进行产业梯度分工和转移，实现优势互补，共同发展的良好条件。</w:t>
      </w:r>
    </w:p>
    <w:p>
      <w:pPr>
        <w:rPr>
          <w:color w:val="auto"/>
        </w:rPr>
      </w:pPr>
      <w:r>
        <w:rPr>
          <w:color w:val="auto"/>
        </w:rPr>
        <w:t>二是完善的综合交通体系。安徽省在国家交通运输网络中，具有承东接西、连南接北、居中靠东、临江近海及处于长三角腹地等区位特征，凸显其重要地位和作用。近年来，安徽省全力推进基础设施建设，着力构筑综合交通运输体系，为安徽省化工园区发展提供了物流交通支撑和保障。</w:t>
      </w:r>
    </w:p>
    <w:p>
      <w:pPr>
        <w:rPr>
          <w:color w:val="auto"/>
        </w:rPr>
      </w:pPr>
      <w:r>
        <w:rPr>
          <w:color w:val="auto"/>
        </w:rPr>
        <w:t>（3）化工园区整体规模及水平相对落后</w:t>
      </w:r>
    </w:p>
    <w:p>
      <w:pPr>
        <w:rPr>
          <w:color w:val="auto"/>
        </w:rPr>
      </w:pPr>
      <w:r>
        <w:rPr>
          <w:color w:val="auto"/>
        </w:rPr>
        <w:t>目前，安徽省化工园区整体规模和水平仍落后于国内先进地区。化工园区整体规模较小，产品档次低，产业链未成为链式发展。全省虽具有明显资源优势的盐化工和煤化工产业但仍处于资源开采和初级利用阶段，尚未形成规模化、系列化、高端化的产业链结构，产品档次不高。</w:t>
      </w:r>
    </w:p>
    <w:p>
      <w:pPr>
        <w:widowControl/>
        <w:autoSpaceDE/>
        <w:autoSpaceDN/>
        <w:adjustRightInd/>
        <w:snapToGrid/>
        <w:spacing w:line="240" w:lineRule="auto"/>
        <w:ind w:firstLine="0" w:firstLineChars="0"/>
        <w:jc w:val="left"/>
        <w:rPr>
          <w:color w:val="auto"/>
        </w:rPr>
        <w:sectPr>
          <w:footerReference r:id="rId9" w:type="default"/>
          <w:pgSz w:w="11900" w:h="16840"/>
          <w:pgMar w:top="1440" w:right="1797" w:bottom="1440" w:left="1797" w:header="964" w:footer="680" w:gutter="0"/>
          <w:pgNumType w:start="1"/>
          <w:cols w:space="720" w:num="1"/>
          <w:docGrid w:type="lines" w:linePitch="381" w:charSpace="0"/>
        </w:sectPr>
      </w:pPr>
    </w:p>
    <w:p>
      <w:pPr>
        <w:pStyle w:val="2"/>
        <w:rPr>
          <w:rFonts w:ascii="Times New Roman" w:hAnsi="Times New Roman" w:eastAsia="仿宋_GB2312" w:cs="Times New Roman"/>
          <w:b/>
          <w:bCs/>
          <w:color w:val="auto"/>
          <w:kern w:val="36"/>
        </w:rPr>
      </w:pPr>
      <w:bookmarkStart w:id="73" w:name="第四章园区发展优劣势分析"/>
      <w:bookmarkEnd w:id="73"/>
      <w:bookmarkStart w:id="74" w:name="_Toc16404"/>
      <w:bookmarkEnd w:id="74"/>
      <w:bookmarkStart w:id="75" w:name="_Toc16542"/>
      <w:bookmarkStart w:id="76" w:name="_Toc192757684"/>
      <w:r>
        <w:rPr>
          <w:rFonts w:ascii="Times New Roman" w:hAnsi="Times New Roman" w:eastAsia="仿宋_GB2312" w:cs="Times New Roman"/>
          <w:b/>
          <w:bCs/>
          <w:color w:val="auto"/>
          <w:kern w:val="36"/>
        </w:rPr>
        <w:t>第五章 园区发展优劣势分析</w:t>
      </w:r>
      <w:bookmarkEnd w:id="75"/>
      <w:bookmarkEnd w:id="76"/>
    </w:p>
    <w:p>
      <w:pPr>
        <w:pStyle w:val="3"/>
        <w:rPr>
          <w:color w:val="auto"/>
        </w:rPr>
      </w:pPr>
      <w:bookmarkStart w:id="77" w:name="_Toc302400825"/>
      <w:bookmarkEnd w:id="77"/>
      <w:bookmarkStart w:id="78" w:name="_Toc3465"/>
      <w:bookmarkEnd w:id="78"/>
      <w:bookmarkStart w:id="79" w:name="_Toc303699723"/>
      <w:bookmarkEnd w:id="79"/>
      <w:bookmarkStart w:id="80" w:name="_Toc24994"/>
      <w:bookmarkStart w:id="81" w:name="_Toc192757685"/>
      <w:r>
        <w:rPr>
          <w:color w:val="auto"/>
        </w:rPr>
        <w:t xml:space="preserve">5.1 </w:t>
      </w:r>
      <w:bookmarkEnd w:id="80"/>
      <w:r>
        <w:rPr>
          <w:color w:val="auto"/>
        </w:rPr>
        <w:t>淮南市化工产业发展现状及发展意义</w:t>
      </w:r>
      <w:bookmarkEnd w:id="81"/>
    </w:p>
    <w:p>
      <w:pPr>
        <w:pStyle w:val="4"/>
        <w:rPr>
          <w:color w:val="auto"/>
        </w:rPr>
      </w:pPr>
      <w:bookmarkStart w:id="82" w:name="_Toc303699724"/>
      <w:bookmarkEnd w:id="82"/>
      <w:bookmarkStart w:id="83" w:name="_Toc6454"/>
      <w:bookmarkStart w:id="84" w:name="_Toc192757686"/>
      <w:r>
        <w:rPr>
          <w:color w:val="auto"/>
        </w:rPr>
        <w:t xml:space="preserve">5.1.1 </w:t>
      </w:r>
      <w:bookmarkEnd w:id="83"/>
      <w:r>
        <w:rPr>
          <w:color w:val="auto"/>
        </w:rPr>
        <w:t>淮南市化工产业发展现状</w:t>
      </w:r>
      <w:bookmarkEnd w:id="84"/>
    </w:p>
    <w:p>
      <w:pPr>
        <w:rPr>
          <w:color w:val="auto"/>
        </w:rPr>
      </w:pPr>
      <w:bookmarkStart w:id="85" w:name="_Toc13613"/>
      <w:bookmarkEnd w:id="85"/>
      <w:r>
        <w:rPr>
          <w:color w:val="auto"/>
        </w:rPr>
        <w:t>淮南化工产业有一定基础，为淮南市的经济发展做出了贡献，但也存在一些不容忽视的问题。主要包括：</w:t>
      </w:r>
    </w:p>
    <w:p>
      <w:pPr>
        <w:rPr>
          <w:color w:val="auto"/>
        </w:rPr>
      </w:pPr>
      <w:r>
        <w:rPr>
          <w:color w:val="auto"/>
        </w:rPr>
        <w:t>产业升级压力较大。产业集群化发展和辐射带动能力有待增强；战略性新兴产业培育和发展任重道远；高层次人才短缺的制约因素依然突出，园区尚未与周边大学、科研机构建立长效的产学研机制。</w:t>
      </w:r>
    </w:p>
    <w:p>
      <w:pPr>
        <w:rPr>
          <w:color w:val="auto"/>
        </w:rPr>
      </w:pPr>
      <w:r>
        <w:rPr>
          <w:color w:val="auto"/>
        </w:rPr>
        <w:t>化工产业规模亟待壮大。与南方发达省份和我省发达工业发达地区相比，产业规模方面差距仍然较大，缺少具有品牌优势的“航母级”企业聚集，辐射能力不够壮大，招商引资、壮大产业规模的任务仍然较重。</w:t>
      </w:r>
    </w:p>
    <w:p>
      <w:pPr>
        <w:rPr>
          <w:color w:val="auto"/>
        </w:rPr>
      </w:pPr>
      <w:r>
        <w:rPr>
          <w:color w:val="auto"/>
        </w:rPr>
        <w:t>园区基础配套相对薄弱。目前淮南经济技术开发区、安徽淮南潘集经济开发区的化工企业集聚性不强，向园区内没有延伸，园区内道路等配套设施也未完善，大多数用地基本上处于待开发状态，将其开发成为能够吸引投资者前来投资建厂的“熟地”，需要大量资金投入。</w:t>
      </w:r>
    </w:p>
    <w:p>
      <w:pPr>
        <w:pStyle w:val="4"/>
        <w:rPr>
          <w:color w:val="auto"/>
        </w:rPr>
      </w:pPr>
      <w:bookmarkStart w:id="86" w:name="_Toc192757687"/>
      <w:r>
        <w:rPr>
          <w:color w:val="auto"/>
        </w:rPr>
        <w:t>5.1.2 淮南市发展化工产业的意义</w:t>
      </w:r>
      <w:bookmarkEnd w:id="86"/>
    </w:p>
    <w:p>
      <w:pPr>
        <w:pStyle w:val="8"/>
        <w:rPr>
          <w:color w:val="auto"/>
        </w:rPr>
      </w:pPr>
      <w:r>
        <w:rPr>
          <w:color w:val="auto"/>
        </w:rPr>
        <w:t>淮南市发展化工产业符合国家、安徽省产业政策和战略</w:t>
      </w:r>
      <w:r>
        <w:rPr>
          <w:rFonts w:hint="eastAsia"/>
          <w:color w:val="auto"/>
          <w:lang w:eastAsia="zh-CN"/>
        </w:rPr>
        <w:t>部署</w:t>
      </w:r>
      <w:r>
        <w:rPr>
          <w:color w:val="auto"/>
        </w:rPr>
        <w:t>，未来化工产业将成为淮南市的工业经济支柱产业之一。</w:t>
      </w:r>
    </w:p>
    <w:p>
      <w:pPr>
        <w:rPr>
          <w:color w:val="auto"/>
        </w:rPr>
      </w:pPr>
      <w:r>
        <w:rPr>
          <w:color w:val="auto"/>
        </w:rPr>
        <w:t>（1）符合安徽省实施长江三角洲区域一体化发展战略要求</w:t>
      </w:r>
    </w:p>
    <w:p>
      <w:pPr>
        <w:pStyle w:val="8"/>
        <w:rPr>
          <w:color w:val="auto"/>
        </w:rPr>
      </w:pPr>
      <w:r>
        <w:rPr>
          <w:color w:val="auto"/>
        </w:rPr>
        <w:t>党中央、国务院将长三角一体化发展上升为国家战略，出台《长江三角洲区域一体化发展规划纲要》，擘画了新时代长三角一体化发展宏伟蓝图，进一步完善了中国改革开放空间格局，对增强长三角地区创新能力和全球竞争力、建设现代化经济体系、更好引领长江经济带发展和更好服务全国发展大局意义重大。</w:t>
      </w:r>
    </w:p>
    <w:p>
      <w:pPr>
        <w:pStyle w:val="8"/>
        <w:rPr>
          <w:color w:val="auto"/>
        </w:rPr>
      </w:pPr>
      <w:r>
        <w:rPr>
          <w:color w:val="auto"/>
        </w:rPr>
        <w:t>安徽国土面积、常住人口分别占长三角的39.1%、28.1%，创新活跃强劲，制造特色鲜明，生态资源良好，内陆腹地广阔。全域纳入长三角一体化发展国家战略，提升了安徽在全国发展格局中的地位，为更好发挥比较优势、增添发展动能、实现整体跃升带来了历史性机遇。这些国家及省级发展战略实施都给淮南市经济发展带来了正能量，有利于淮南市化工产业的健康发展。</w:t>
      </w:r>
    </w:p>
    <w:p>
      <w:pPr>
        <w:pStyle w:val="8"/>
        <w:rPr>
          <w:color w:val="auto"/>
        </w:rPr>
      </w:pPr>
      <w:r>
        <w:rPr>
          <w:color w:val="auto"/>
        </w:rPr>
        <w:t>（2）符合淮南市经济发展的要求</w:t>
      </w:r>
    </w:p>
    <w:p>
      <w:pPr>
        <w:pStyle w:val="8"/>
        <w:rPr>
          <w:color w:val="auto"/>
        </w:rPr>
      </w:pPr>
      <w:r>
        <w:rPr>
          <w:color w:val="auto"/>
        </w:rPr>
        <w:t>淮南市积极打造高端化工产业集群，实现化工产业固链、强链、补链、延链，推动与国内外知名企业合作，共建化工产业联盟，实现企业上下游联动、相互配套、优势互补，打造原材料供应齐备、产品开发技术能力强、应用领域宽的产业集群，提高化工行业整体发展水平和竞争力。加快行业内企业兼并重组步伐，引导和鼓励企业通过挂大靠强、招大引强实现转型升级，打造若干领军型企业。支持中小企业向“专精特新”方向升级，瞄准细分市场走高端化、差异化发展之路。</w:t>
      </w:r>
    </w:p>
    <w:p>
      <w:pPr>
        <w:pStyle w:val="8"/>
        <w:rPr>
          <w:color w:val="auto"/>
        </w:rPr>
      </w:pPr>
      <w:r>
        <w:rPr>
          <w:color w:val="auto"/>
        </w:rPr>
        <w:t>化工产业是淮南市重点培育的高新技术产业之一，加快化工产业发展对于发挥淮南市调整产业结构、培育新的经济增长点，具有重要意义。</w:t>
      </w:r>
    </w:p>
    <w:p>
      <w:pPr>
        <w:pStyle w:val="3"/>
        <w:rPr>
          <w:color w:val="auto"/>
        </w:rPr>
      </w:pPr>
      <w:bookmarkStart w:id="87" w:name="_Toc4832"/>
      <w:bookmarkEnd w:id="87"/>
      <w:bookmarkStart w:id="88" w:name="_Toc14772"/>
      <w:bookmarkStart w:id="89" w:name="_Toc192757688"/>
      <w:r>
        <w:rPr>
          <w:color w:val="auto"/>
        </w:rPr>
        <w:t>5.2</w:t>
      </w:r>
      <w:bookmarkEnd w:id="88"/>
      <w:r>
        <w:rPr>
          <w:color w:val="auto"/>
        </w:rPr>
        <w:t>淮南市化工产业发展潜力分析</w:t>
      </w:r>
      <w:bookmarkEnd w:id="89"/>
    </w:p>
    <w:p>
      <w:pPr>
        <w:pStyle w:val="4"/>
        <w:rPr>
          <w:color w:val="auto"/>
        </w:rPr>
      </w:pPr>
      <w:bookmarkStart w:id="90" w:name="_Toc14320"/>
      <w:bookmarkEnd w:id="90"/>
      <w:bookmarkStart w:id="91" w:name="_Toc192757689"/>
      <w:r>
        <w:rPr>
          <w:color w:val="auto"/>
        </w:rPr>
        <w:t>5.2.1 优势分析</w:t>
      </w:r>
      <w:bookmarkEnd w:id="91"/>
    </w:p>
    <w:p>
      <w:pPr>
        <w:pStyle w:val="8"/>
        <w:rPr>
          <w:color w:val="auto"/>
        </w:rPr>
      </w:pPr>
      <w:r>
        <w:rPr>
          <w:color w:val="auto"/>
        </w:rPr>
        <w:t>（1）区位优势明显</w:t>
      </w:r>
    </w:p>
    <w:p>
      <w:pPr>
        <w:pStyle w:val="8"/>
        <w:rPr>
          <w:color w:val="auto"/>
        </w:rPr>
      </w:pPr>
      <w:r>
        <w:rPr>
          <w:color w:val="auto"/>
        </w:rPr>
        <w:t>淮南位于长江三角洲腹地，安徽省中北部，地处淮河中游，是国家新型能源基地、华东工业粮仓、安徽省重要工业城市，素有“楚风汉韵、能源之都”之称。下辖二县五区和一个国家级综合实验区，拥有“2+4”园区平台，即1个国家级开发区、1个国家级高新区、4个省级开发区，基础设施“八通一平”，标准化厂房一应俱全。全市面积5532平方公里，户籍总人口389.6万人，城镇化率63.5%。</w:t>
      </w:r>
    </w:p>
    <w:p>
      <w:pPr>
        <w:pStyle w:val="8"/>
        <w:rPr>
          <w:color w:val="auto"/>
        </w:rPr>
      </w:pPr>
      <w:r>
        <w:rPr>
          <w:color w:val="auto"/>
        </w:rPr>
        <w:t>化工园区的区位优势主要表现在其优越的地理位置和便捷的交通条件。化工园区交通便捷，区位优越，206国道穿境而过，把东西城区连为一体;合徐高速、合淮阜高速、合蚌高速盘汇于此，把淮南与国内各大城市紧密相连；京福高铁淮南东站坐落在经开区，淮南、淮阜铁路横贯全市，与京沪、京广、陇海、京九四大动脉接轨；淮河水道四季通航，通江达海；距合肥新桥机场50分钟车程，距南京机场2.5小时车程，可直飞国内外各大城市。</w:t>
      </w:r>
    </w:p>
    <w:p>
      <w:pPr>
        <w:pStyle w:val="8"/>
        <w:rPr>
          <w:color w:val="auto"/>
        </w:rPr>
      </w:pPr>
      <w:r>
        <w:rPr>
          <w:color w:val="auto"/>
        </w:rPr>
        <w:t>淮南市的地理位置使其成为东部沿海地区与内陆中部地区的跳板，便于企业利用东西部地区的资源和市场。同时，交通的便捷性也为企业物流运输提供了便利条件，降低了企业的运营成本。总体来说，园区的区位优势主要体现在其地理位置和交通条件的优越性上，为其经济发展提供了有力的支撑和保障。</w:t>
      </w:r>
    </w:p>
    <w:p>
      <w:pPr>
        <w:pStyle w:val="8"/>
        <w:rPr>
          <w:color w:val="auto"/>
        </w:rPr>
      </w:pPr>
      <w:r>
        <w:rPr>
          <w:color w:val="auto"/>
        </w:rPr>
        <w:t>（2）人才优势</w:t>
      </w:r>
    </w:p>
    <w:p>
      <w:pPr>
        <w:pStyle w:val="8"/>
        <w:rPr>
          <w:color w:val="auto"/>
        </w:rPr>
      </w:pPr>
      <w:r>
        <w:rPr>
          <w:color w:val="auto"/>
        </w:rPr>
        <w:t>淮南市化工产业基础较好，当地一批企业在同行业中有较高的影响力和知名度。化学工业多年来的发展过程中，培养和积累了大批的工业生产、经营和管理等方面的化工专业人才，为淮南市化工产业的跨跃式发展提供了高素质的人才库；同时，淮南市可以从周边地区合肥、南京等科教城市招聘一大批优秀的企业发展所需人才；此外，淮南市相对长三角地区劳动力成本较低。</w:t>
      </w:r>
    </w:p>
    <w:p>
      <w:pPr>
        <w:pStyle w:val="8"/>
        <w:rPr>
          <w:color w:val="auto"/>
        </w:rPr>
      </w:pPr>
      <w:r>
        <w:rPr>
          <w:color w:val="auto"/>
        </w:rPr>
        <w:t>（3）产业基础优势</w:t>
      </w:r>
    </w:p>
    <w:p>
      <w:pPr>
        <w:pStyle w:val="8"/>
        <w:rPr>
          <w:color w:val="auto"/>
        </w:rPr>
      </w:pPr>
      <w:r>
        <w:rPr>
          <w:color w:val="auto"/>
        </w:rPr>
        <w:t>目前化工园区建成区内水、路、气、电等基础设施功能完备，化工园区内道路网络骨架已基本形成，对外交通运输条件十分便利；雨水管、污水管、弱电管线全覆盖。</w:t>
      </w:r>
    </w:p>
    <w:p>
      <w:pPr>
        <w:rPr>
          <w:color w:val="auto"/>
        </w:rPr>
      </w:pPr>
      <w:r>
        <w:rPr>
          <w:color w:val="auto"/>
        </w:rPr>
        <w:t>淮南经济技术开发区供水主要由首创公司第一水厂和第三水厂环网提供，实际供水能力为90000m</w:t>
      </w:r>
      <w:r>
        <w:rPr>
          <w:color w:val="auto"/>
          <w:vertAlign w:val="superscript"/>
        </w:rPr>
        <w:t>3</w:t>
      </w:r>
      <w:r>
        <w:rPr>
          <w:color w:val="auto"/>
        </w:rPr>
        <w:t>/d，化工园区北侧为淮河天然水源，化工园区（区块一）已在德邦化工蓄水池（淮河取水点）设置了消防车道和取水码头，取水码头设置4台消防水泵（3用1备）和3组消防水鹤。</w:t>
      </w:r>
    </w:p>
    <w:p>
      <w:pPr>
        <w:rPr>
          <w:color w:val="auto"/>
        </w:rPr>
      </w:pPr>
      <w:r>
        <w:rPr>
          <w:color w:val="auto"/>
        </w:rPr>
        <w:t>淮南经济技术开发区目前主要依托淮南第一污水处理厂，设计处理能力200000m</w:t>
      </w:r>
      <w:r>
        <w:rPr>
          <w:color w:val="auto"/>
          <w:vertAlign w:val="superscript"/>
        </w:rPr>
        <w:t>3</w:t>
      </w:r>
      <w:r>
        <w:rPr>
          <w:color w:val="auto"/>
        </w:rPr>
        <w:t>/d，实际处理能力100000m</w:t>
      </w:r>
      <w:r>
        <w:rPr>
          <w:color w:val="auto"/>
          <w:vertAlign w:val="superscript"/>
        </w:rPr>
        <w:t>3</w:t>
      </w:r>
      <w:r>
        <w:rPr>
          <w:color w:val="auto"/>
        </w:rPr>
        <w:t>/d。化工园区生活污水经厂内生活污水处理设施处理达到《污水综合排放标准》（GB8978-1996）三级标准后，排入污水排水管道，通过管道输送到淮南第一污水处理厂或淮南首创经开区工业污水处理厂</w:t>
      </w:r>
      <w:r>
        <w:rPr>
          <w:color w:val="auto"/>
          <w:spacing w:val="-4"/>
        </w:rPr>
        <w:t>处理达标后排放</w:t>
      </w:r>
      <w:r>
        <w:rPr>
          <w:color w:val="auto"/>
        </w:rPr>
        <w:t>。</w:t>
      </w:r>
    </w:p>
    <w:p>
      <w:pPr>
        <w:rPr>
          <w:color w:val="auto"/>
        </w:rPr>
      </w:pPr>
      <w:r>
        <w:rPr>
          <w:color w:val="auto"/>
        </w:rPr>
        <w:t>淮南经济技术开发区目前拥有三座变电站，分别是220KV洛河变电站、110KV洛开变电站及110KV田东变电站，双电源及双回路供电可满足化工园区各企业一级负荷及二级负荷用电需求。</w:t>
      </w:r>
    </w:p>
    <w:p>
      <w:pPr>
        <w:rPr>
          <w:color w:val="auto"/>
        </w:rPr>
      </w:pPr>
      <w:r>
        <w:rPr>
          <w:color w:val="auto"/>
        </w:rPr>
        <w:t>目前淮南经济技术开发区内的蒸汽来自淮南田家庵发电厂#5、#6 热电联产机组（2×320MW）提供热源，供热能力为 320t/h，压力 1.0MPa(G)，温度 250℃。</w:t>
      </w:r>
    </w:p>
    <w:p>
      <w:pPr>
        <w:pStyle w:val="8"/>
        <w:rPr>
          <w:color w:val="auto"/>
        </w:rPr>
      </w:pPr>
      <w:r>
        <w:rPr>
          <w:color w:val="auto"/>
        </w:rPr>
        <w:t>（4）政策优势</w:t>
      </w:r>
    </w:p>
    <w:p>
      <w:pPr>
        <w:pStyle w:val="8"/>
        <w:rPr>
          <w:color w:val="auto"/>
        </w:rPr>
      </w:pPr>
      <w:r>
        <w:rPr>
          <w:color w:val="auto"/>
        </w:rPr>
        <w:t>安徽省实施长江三角洲区域一体化等发展战略，都使得淮南市的经济发展迈上了新的平台，也优化了淮南市开发的投资环境，呈现出良好的发展势头，主导产业增势强劲，新的增长点不断涌现，发展后劲进一步增强，区位优势明显提升，未来淮南经开化工园区发展可以争取到安徽省以及淮南市政府更多的扶持政策，给化工产业带来了新的发展机遇。同时，淮南市以江浙沿海地带产业承接转移的为发展契机，正积极从产业、市场、基础设施、思想观念、体制机制、政策措施和人员交流等方面全方位提升自身水平。淮南市政府正积极抢抓机遇，优化经济发展环境，切实建设服务型政府，营造高效透明的政务环境，市场意识进一步加强，自上而下已形成加快发展的良好工作环境和氛围，使得淮南市自身的投资环境也越发具有吸引力。</w:t>
      </w:r>
    </w:p>
    <w:p>
      <w:pPr>
        <w:pStyle w:val="8"/>
        <w:rPr>
          <w:color w:val="auto"/>
        </w:rPr>
      </w:pPr>
      <w:r>
        <w:rPr>
          <w:color w:val="auto"/>
        </w:rPr>
        <w:t>（5）</w:t>
      </w:r>
      <w:bookmarkStart w:id="92" w:name="_Toc21878"/>
      <w:r>
        <w:rPr>
          <w:color w:val="auto"/>
        </w:rPr>
        <w:t>市场和营销优势</w:t>
      </w:r>
      <w:bookmarkEnd w:id="92"/>
    </w:p>
    <w:p>
      <w:pPr>
        <w:pStyle w:val="8"/>
        <w:rPr>
          <w:color w:val="auto"/>
        </w:rPr>
      </w:pPr>
      <w:r>
        <w:rPr>
          <w:color w:val="auto"/>
        </w:rPr>
        <w:t>淮南经开区将招商引资作为重中之重，加大招商引资力度，落实招商引资政策，积极推进产业链招商、精准招商、以商引商、驻点招商，与上海莘庄工业区、杭州萧山经开区实行战略合作。</w:t>
      </w:r>
    </w:p>
    <w:p>
      <w:pPr>
        <w:pStyle w:val="8"/>
        <w:rPr>
          <w:color w:val="auto"/>
        </w:rPr>
      </w:pPr>
      <w:r>
        <w:rPr>
          <w:color w:val="auto"/>
        </w:rPr>
        <w:t>同时，全力创建一流营商环境，落实国家减税降费政策，常态化开展“四送一服”工程，开展贴身贴心的“包保”服务，抓好重大签约项目的跟踪推进，提高合同履约率、资金到位率、项目开工率和产业集聚度。</w:t>
      </w:r>
    </w:p>
    <w:p>
      <w:pPr>
        <w:pStyle w:val="4"/>
        <w:rPr>
          <w:color w:val="auto"/>
        </w:rPr>
      </w:pPr>
      <w:bookmarkStart w:id="93" w:name="_Toc192757690"/>
      <w:r>
        <w:rPr>
          <w:color w:val="auto"/>
        </w:rPr>
        <w:t>5.2.2 劣势分析</w:t>
      </w:r>
      <w:bookmarkEnd w:id="93"/>
    </w:p>
    <w:p>
      <w:pPr>
        <w:pStyle w:val="8"/>
        <w:rPr>
          <w:color w:val="auto"/>
        </w:rPr>
      </w:pPr>
      <w:r>
        <w:rPr>
          <w:color w:val="auto"/>
        </w:rPr>
        <w:t>淮南市虽然具有发展化工产业较好的基础和条件，但也存在一些不容忽视的制约因素。</w:t>
      </w:r>
    </w:p>
    <w:p>
      <w:pPr>
        <w:pStyle w:val="8"/>
        <w:rPr>
          <w:color w:val="auto"/>
        </w:rPr>
      </w:pPr>
      <w:r>
        <w:rPr>
          <w:color w:val="auto"/>
        </w:rPr>
        <w:t>（1）园区面积较小</w:t>
      </w:r>
    </w:p>
    <w:p>
      <w:pPr>
        <w:pStyle w:val="8"/>
        <w:rPr>
          <w:color w:val="auto"/>
        </w:rPr>
      </w:pPr>
      <w:r>
        <w:rPr>
          <w:color w:val="auto"/>
        </w:rPr>
        <w:t>淮南经开化工园区最突出的劣势是占地面积较小，目前在安徽省内属于占地面积靠后的化工园区。产业发展所需的未建设用地面积较小，不足以支撑大规模的产业发展。</w:t>
      </w:r>
    </w:p>
    <w:p>
      <w:pPr>
        <w:pStyle w:val="8"/>
        <w:rPr>
          <w:color w:val="auto"/>
        </w:rPr>
      </w:pPr>
      <w:r>
        <w:rPr>
          <w:color w:val="auto"/>
        </w:rPr>
        <w:t>（2）创新创优能力有待提高</w:t>
      </w:r>
    </w:p>
    <w:p>
      <w:pPr>
        <w:pStyle w:val="8"/>
        <w:rPr>
          <w:color w:val="auto"/>
        </w:rPr>
      </w:pPr>
      <w:r>
        <w:rPr>
          <w:color w:val="auto"/>
        </w:rPr>
        <w:t>由于在区域内没有形成上下游良好创新互动和促进，化工园区内企业的高新技术产品数量比例不高，缺乏代表发展方向的企业和产品引领，园区内企业创新创优创效能力不足，不利于整体竞争力和水平提升。</w:t>
      </w:r>
    </w:p>
    <w:p>
      <w:pPr>
        <w:pStyle w:val="8"/>
        <w:rPr>
          <w:color w:val="auto"/>
        </w:rPr>
      </w:pPr>
      <w:r>
        <w:rPr>
          <w:color w:val="auto"/>
        </w:rPr>
        <w:t>（3）产业链条有待延伸</w:t>
      </w:r>
    </w:p>
    <w:p>
      <w:pPr>
        <w:pStyle w:val="8"/>
        <w:rPr>
          <w:color w:val="auto"/>
        </w:rPr>
      </w:pPr>
      <w:r>
        <w:rPr>
          <w:color w:val="auto"/>
        </w:rPr>
        <w:t>园区企业规模相对较小，产业链完整性有待持续提升，存在产业链条不优、不长的问题，园区需要不断在固链、补链、强链、延链上下功夫，补齐短板，强化关键环节、关键领域、关键产品保障能力。</w:t>
      </w:r>
    </w:p>
    <w:p>
      <w:pPr>
        <w:pStyle w:val="4"/>
        <w:rPr>
          <w:color w:val="auto"/>
        </w:rPr>
      </w:pPr>
      <w:bookmarkStart w:id="94" w:name="_Toc192757691"/>
      <w:r>
        <w:rPr>
          <w:color w:val="auto"/>
        </w:rPr>
        <w:t>5.2.3 机遇分析</w:t>
      </w:r>
      <w:bookmarkEnd w:id="94"/>
    </w:p>
    <w:p>
      <w:pPr>
        <w:pStyle w:val="8"/>
        <w:rPr>
          <w:color w:val="auto"/>
        </w:rPr>
      </w:pPr>
      <w:r>
        <w:rPr>
          <w:color w:val="auto"/>
        </w:rPr>
        <w:t>（1）国家战略机遇叠加，借势登高优势明显</w:t>
      </w:r>
    </w:p>
    <w:p>
      <w:pPr>
        <w:pStyle w:val="8"/>
        <w:rPr>
          <w:color w:val="auto"/>
        </w:rPr>
      </w:pPr>
      <w:r>
        <w:rPr>
          <w:color w:val="auto"/>
        </w:rPr>
        <w:t>随着长三角一体化、淮河生态经济带、合肥都市圈、皖北承接产业转移集聚区等国家与区域性战略深入实施，区域内产业、生态、公共服务等领域的合作将向纵深推进，有利于淮南市加快实现区域基础设施互联互通，打造共建合作园区新平台，拓展发展新空间。特别是习近平总书记考察安徽重要讲话指示精神，为淮南市高质量发展树立了新航标、指明了新方向。</w:t>
      </w:r>
    </w:p>
    <w:p>
      <w:pPr>
        <w:pStyle w:val="8"/>
        <w:rPr>
          <w:color w:val="auto"/>
        </w:rPr>
      </w:pPr>
      <w:r>
        <w:rPr>
          <w:color w:val="auto"/>
        </w:rPr>
        <w:t>（2）我国经济长期向好，内需空间潜力巨大</w:t>
      </w:r>
    </w:p>
    <w:p>
      <w:pPr>
        <w:pStyle w:val="8"/>
        <w:rPr>
          <w:color w:val="auto"/>
        </w:rPr>
      </w:pPr>
      <w:r>
        <w:rPr>
          <w:color w:val="auto"/>
        </w:rPr>
        <w:t>我国已进入高质量发展新阶段，国内市场主导国民经济循环的特征更加明显，正在加快构建以国内大循环为主体、国内国际双循环相互促进的新发展格局，经济长期向好、稳中向好的发展趋势没有改变，相应的化工市场同样拥有巨大的发展潜力。这些都为淮南市更好地融入国内大循环，深入挖掘内需潜力，充分利用强大国内市场，发展化工产业提供了有力支撑。</w:t>
      </w:r>
    </w:p>
    <w:p>
      <w:pPr>
        <w:pStyle w:val="8"/>
        <w:rPr>
          <w:color w:val="auto"/>
        </w:rPr>
      </w:pPr>
      <w:r>
        <w:rPr>
          <w:color w:val="auto"/>
        </w:rPr>
        <w:t>（3）发展后劲不断积蓄，跨越发展势能增强</w:t>
      </w:r>
    </w:p>
    <w:p>
      <w:pPr>
        <w:pStyle w:val="8"/>
        <w:rPr>
          <w:color w:val="auto"/>
        </w:rPr>
      </w:pPr>
      <w:r>
        <w:rPr>
          <w:color w:val="auto"/>
        </w:rPr>
        <w:t>经过多年发展积淀，淮南市拥有了较为坚实的工业基础、相对完善的营商环境和敢为人先的首创精神，发展优势更加明显，发展的韧性、空间和动力进一步提升。特别是近年来全市招大引强成果丰硕，重大项目集群集聚，不仅支撑了经济总量规模的扩大、发展水平的提升和发展方式的转变，也为今后发展积蓄了强大后劲，奠定了良好基础。</w:t>
      </w:r>
    </w:p>
    <w:p>
      <w:pPr>
        <w:pStyle w:val="4"/>
        <w:rPr>
          <w:color w:val="auto"/>
        </w:rPr>
      </w:pPr>
      <w:bookmarkStart w:id="95" w:name="_Toc192757692"/>
      <w:r>
        <w:rPr>
          <w:color w:val="auto"/>
        </w:rPr>
        <w:t>5.2.4 面临的挑战</w:t>
      </w:r>
      <w:bookmarkEnd w:id="95"/>
    </w:p>
    <w:p>
      <w:pPr>
        <w:pStyle w:val="8"/>
        <w:rPr>
          <w:color w:val="auto"/>
        </w:rPr>
      </w:pPr>
      <w:r>
        <w:rPr>
          <w:color w:val="auto"/>
        </w:rPr>
        <w:t>（1）招商引资挑战</w:t>
      </w:r>
    </w:p>
    <w:p>
      <w:pPr>
        <w:pStyle w:val="8"/>
        <w:rPr>
          <w:color w:val="auto"/>
        </w:rPr>
      </w:pPr>
      <w:r>
        <w:rPr>
          <w:color w:val="auto"/>
        </w:rPr>
        <w:t>江苏的南京、镇江、南通、泰兴、常州、张家港，山东的青岛，天津的滨海新区等化工园区先后兴建，既有国家级园区，也有省级或地级园区。这些园区的基础条件较好，在不同领域、不同产品上都存在不同程度的竞争。随着我国市场经济体制的不断完善，局部地区减税让利等政策性措施将逐渐弱化，招商引资难度加大，国内园区间的竞争加剧。如何合理配置资源，与周边化工园区形成优势互补关系，在合作和良性竞争中共同发展壮大，是淮南经开化工园区今后发展过程中面临的重要挑战。</w:t>
      </w:r>
    </w:p>
    <w:p>
      <w:pPr>
        <w:pStyle w:val="8"/>
        <w:rPr>
          <w:color w:val="auto"/>
        </w:rPr>
      </w:pPr>
      <w:r>
        <w:rPr>
          <w:color w:val="auto"/>
        </w:rPr>
        <w:t>（2）区域竞争日趋激烈</w:t>
      </w:r>
    </w:p>
    <w:p>
      <w:pPr>
        <w:rPr>
          <w:color w:val="auto"/>
        </w:rPr>
      </w:pPr>
      <w:r>
        <w:rPr>
          <w:color w:val="auto"/>
        </w:rPr>
        <w:t>淮南市经济总量还不够大，与合肥、芜湖等省内较为发达的城市无论是经济总量还是人均水平还有一定差距；且淮南市产业结构与周边（市、区）县相似度较高，产业梯度特征还不明显，区域间行政壁垒尚未打破，未来在产业转移承接、科技人才引进、高端资源引入、产业配套协作等方面面临的同质化竞争将会更加激烈，不进则退特征更加明显。必须充分发挥区位优势和腹地优势，加快改革创新开放，在资源配置、科技赋能、基建升级等方面全面发力，才能在新一轮区域竞争中赢得主动、争得先机。</w:t>
      </w:r>
    </w:p>
    <w:p>
      <w:pPr>
        <w:pStyle w:val="8"/>
        <w:rPr>
          <w:color w:val="auto"/>
        </w:rPr>
      </w:pPr>
      <w:r>
        <w:rPr>
          <w:color w:val="auto"/>
        </w:rPr>
        <w:t>虽然，淮南市发展化工产业存在一些制约因素，但无论从纵向和横向上分析都有很大的发展潜力，具体比较分析如下：</w:t>
      </w:r>
    </w:p>
    <w:p>
      <w:pPr>
        <w:pStyle w:val="8"/>
        <w:rPr>
          <w:color w:val="auto"/>
        </w:rPr>
      </w:pPr>
    </w:p>
    <w:p>
      <w:pPr>
        <w:pStyle w:val="8"/>
        <w:rPr>
          <w:color w:val="auto"/>
        </w:rPr>
      </w:pPr>
    </w:p>
    <w:p>
      <w:pPr>
        <w:pStyle w:val="8"/>
        <w:rPr>
          <w:color w:val="auto"/>
        </w:rPr>
      </w:pPr>
    </w:p>
    <w:p>
      <w:pPr>
        <w:pStyle w:val="8"/>
        <w:rPr>
          <w:color w:val="auto"/>
        </w:rPr>
      </w:pPr>
    </w:p>
    <w:p>
      <w:pPr>
        <w:pStyle w:val="8"/>
        <w:rPr>
          <w:color w:val="auto"/>
        </w:rPr>
      </w:pPr>
    </w:p>
    <w:p>
      <w:pPr>
        <w:pStyle w:val="8"/>
        <w:rPr>
          <w:color w:val="auto"/>
        </w:rPr>
      </w:pPr>
    </w:p>
    <w:p>
      <w:pPr>
        <w:pStyle w:val="8"/>
        <w:rPr>
          <w:color w:val="auto"/>
        </w:rPr>
      </w:pPr>
    </w:p>
    <w:p>
      <w:pPr>
        <w:pStyle w:val="44"/>
        <w:adjustRightInd w:val="0"/>
        <w:snapToGrid w:val="0"/>
        <w:spacing w:before="0" w:after="0" w:line="360" w:lineRule="auto"/>
        <w:ind w:firstLine="562"/>
        <w:rPr>
          <w:rFonts w:ascii="Times New Roman" w:hAnsi="Times New Roman" w:eastAsia="仿宋_GB2312"/>
          <w:b/>
          <w:bCs/>
          <w:kern w:val="0"/>
          <w:sz w:val="28"/>
          <w:szCs w:val="28"/>
        </w:rPr>
      </w:pPr>
      <w:r>
        <w:rPr>
          <w:rFonts w:ascii="Times New Roman" w:hAnsi="Times New Roman" w:eastAsia="仿宋_GB2312"/>
          <w:b/>
          <w:bCs/>
          <w:kern w:val="0"/>
          <w:sz w:val="28"/>
          <w:szCs w:val="28"/>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352425</wp:posOffset>
                </wp:positionV>
                <wp:extent cx="1285875" cy="1200150"/>
                <wp:effectExtent l="0" t="0" r="28575" b="19050"/>
                <wp:wrapNone/>
                <wp:docPr id="1275440682" name="直接连接符 6"/>
                <wp:cNvGraphicFramePr/>
                <a:graphic xmlns:a="http://schemas.openxmlformats.org/drawingml/2006/main">
                  <a:graphicData uri="http://schemas.microsoft.com/office/word/2010/wordprocessingShape">
                    <wps:wsp>
                      <wps:cNvCnPr/>
                      <wps:spPr>
                        <a:xfrm>
                          <a:off x="0" y="0"/>
                          <a:ext cx="1285875" cy="1200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接连接符 6" o:spid="_x0000_s1026" o:spt="20" style="position:absolute;left:0pt;margin-left:0pt;margin-top:27.75pt;height:94.5pt;width:101.25pt;z-index:251659264;mso-width-relative:page;mso-height-relative:page;" filled="f" stroked="t" coordsize="21600,21600" o:gfxdata="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9Mkoz1QAAAAcBAAAPAAAAAAAAAAEAIAAAACIAAABkcnMvZG93bnJldi54bWxQSwECFAAUAAAA&#10;CACHTuJApt9Q4/EBAADAAwAADgAAAAAAAAABACAAAAAkAQAAZHJzL2Uyb0RvYy54bWxQSwUGAAAA&#10;AAYABgBZAQAAhwUAAAAA&#10;">
                <v:fill on="f" focussize="0,0"/>
                <v:stroke weight="0.5pt" color="#000000 [3200]" miterlimit="8" joinstyle="miter"/>
                <v:imagedata o:title=""/>
                <o:lock v:ext="edit" aspectratio="f"/>
              </v:line>
            </w:pict>
          </mc:Fallback>
        </mc:AlternateContent>
      </w:r>
      <w:r>
        <w:rPr>
          <w:rFonts w:ascii="Times New Roman" w:hAnsi="Times New Roman" w:eastAsia="仿宋_GB2312"/>
          <w:b/>
          <w:bCs/>
          <w:kern w:val="0"/>
          <w:sz w:val="28"/>
          <w:szCs w:val="28"/>
        </w:rPr>
        <w:t>表5-1 淮南经开化工园区化工产业发展战略选择</w:t>
      </w:r>
    </w:p>
    <w:tbl>
      <w:tblPr>
        <w:tblStyle w:val="25"/>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093"/>
        <w:gridCol w:w="3402"/>
        <w:gridCol w:w="3027"/>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1908" w:hRule="atLeast"/>
        </w:trPr>
        <w:tc>
          <w:tcPr>
            <w:tcW w:w="1228" w:type="pct"/>
            <w:tcBorders>
              <w:top w:val="single" w:color="000000" w:sz="6" w:space="0"/>
              <w:left w:val="single" w:color="000000" w:sz="6" w:space="0"/>
              <w:bottom w:val="single" w:color="000000" w:sz="6" w:space="0"/>
              <w:right w:val="nil"/>
            </w:tcBorders>
          </w:tcPr>
          <w:p>
            <w:pPr>
              <w:pStyle w:val="65"/>
              <w:adjustRightInd w:val="0"/>
              <w:snapToGrid w:val="0"/>
              <w:spacing w:line="240" w:lineRule="auto"/>
              <w:ind w:left="851"/>
              <w:jc w:val="left"/>
              <w:rPr>
                <w:rFonts w:eastAsia="仿宋_GB2312"/>
                <w:b/>
                <w:bCs/>
              </w:rPr>
            </w:pPr>
            <w:r>
              <w:rPr>
                <w:rFonts w:eastAsia="仿宋_GB2312"/>
                <w:b/>
                <w:bCs/>
              </w:rPr>
              <w:t>优势劣势</w:t>
            </w:r>
          </w:p>
          <w:p>
            <w:pPr>
              <w:pStyle w:val="65"/>
              <w:adjustRightInd w:val="0"/>
              <w:snapToGrid w:val="0"/>
              <w:spacing w:line="240" w:lineRule="auto"/>
              <w:ind w:firstLine="361"/>
              <w:jc w:val="left"/>
              <w:rPr>
                <w:rFonts w:eastAsia="仿宋_GB2312"/>
                <w:b/>
                <w:bCs/>
              </w:rPr>
            </w:pPr>
          </w:p>
          <w:p>
            <w:pPr>
              <w:pStyle w:val="65"/>
              <w:adjustRightInd w:val="0"/>
              <w:snapToGrid w:val="0"/>
              <w:spacing w:line="240" w:lineRule="auto"/>
              <w:ind w:firstLine="361"/>
              <w:jc w:val="left"/>
              <w:rPr>
                <w:rFonts w:eastAsia="仿宋_GB2312"/>
                <w:b/>
                <w:bCs/>
              </w:rPr>
            </w:pPr>
          </w:p>
          <w:p>
            <w:pPr>
              <w:pStyle w:val="65"/>
              <w:adjustRightInd w:val="0"/>
              <w:snapToGrid w:val="0"/>
              <w:spacing w:line="240" w:lineRule="auto"/>
              <w:ind w:firstLine="361"/>
              <w:jc w:val="left"/>
              <w:rPr>
                <w:rFonts w:eastAsia="仿宋_GB2312"/>
                <w:b/>
                <w:bCs/>
              </w:rPr>
            </w:pPr>
          </w:p>
          <w:p>
            <w:pPr>
              <w:pStyle w:val="65"/>
              <w:adjustRightInd w:val="0"/>
              <w:snapToGrid w:val="0"/>
              <w:spacing w:line="240" w:lineRule="auto"/>
              <w:ind w:firstLine="361"/>
              <w:jc w:val="left"/>
              <w:rPr>
                <w:rFonts w:eastAsia="仿宋_GB2312"/>
                <w:b/>
                <w:bCs/>
              </w:rPr>
            </w:pPr>
          </w:p>
          <w:p>
            <w:pPr>
              <w:pStyle w:val="65"/>
              <w:adjustRightInd w:val="0"/>
              <w:snapToGrid w:val="0"/>
              <w:spacing w:line="240" w:lineRule="auto"/>
              <w:jc w:val="left"/>
              <w:rPr>
                <w:rFonts w:eastAsia="仿宋_GB2312"/>
              </w:rPr>
            </w:pPr>
            <w:r>
              <w:rPr>
                <w:rFonts w:eastAsia="仿宋_GB2312"/>
                <w:b/>
                <w:bCs/>
              </w:rPr>
              <w:t>机会与威胁</w:t>
            </w:r>
          </w:p>
        </w:tc>
        <w:tc>
          <w:tcPr>
            <w:tcW w:w="1996" w:type="pct"/>
            <w:tcBorders>
              <w:top w:val="single" w:color="000000" w:sz="6" w:space="0"/>
              <w:left w:val="single" w:color="000000" w:sz="6" w:space="0"/>
              <w:bottom w:val="single" w:color="000000" w:sz="6" w:space="0"/>
              <w:right w:val="single" w:color="000000" w:sz="6" w:space="0"/>
            </w:tcBorders>
            <w:vAlign w:val="center"/>
          </w:tcPr>
          <w:p>
            <w:pPr>
              <w:pStyle w:val="65"/>
              <w:adjustRightInd w:val="0"/>
              <w:snapToGrid w:val="0"/>
              <w:spacing w:line="240" w:lineRule="auto"/>
              <w:ind w:firstLine="361"/>
              <w:jc w:val="both"/>
              <w:rPr>
                <w:rFonts w:eastAsia="仿宋_GB2312"/>
                <w:b/>
              </w:rPr>
            </w:pPr>
            <w:r>
              <w:rPr>
                <w:rFonts w:eastAsia="仿宋_GB2312"/>
                <w:b/>
              </w:rPr>
              <w:t>优势S</w:t>
            </w:r>
          </w:p>
          <w:p>
            <w:pPr>
              <w:pStyle w:val="65"/>
              <w:adjustRightInd w:val="0"/>
              <w:snapToGrid w:val="0"/>
              <w:spacing w:line="240" w:lineRule="auto"/>
              <w:ind w:firstLine="360"/>
              <w:jc w:val="both"/>
              <w:rPr>
                <w:rFonts w:eastAsia="仿宋_GB2312"/>
              </w:rPr>
            </w:pPr>
            <w:r>
              <w:rPr>
                <w:rFonts w:eastAsia="仿宋_GB2312"/>
              </w:rPr>
              <w:t>1、产业基础较好；</w:t>
            </w:r>
          </w:p>
          <w:p>
            <w:pPr>
              <w:pStyle w:val="65"/>
              <w:adjustRightInd w:val="0"/>
              <w:snapToGrid w:val="0"/>
              <w:spacing w:line="240" w:lineRule="auto"/>
              <w:ind w:firstLine="360"/>
              <w:jc w:val="both"/>
              <w:rPr>
                <w:rFonts w:eastAsia="仿宋_GB2312"/>
              </w:rPr>
            </w:pPr>
            <w:r>
              <w:rPr>
                <w:rFonts w:eastAsia="仿宋_GB2312"/>
              </w:rPr>
              <w:t>2、市场和营销优势；</w:t>
            </w:r>
          </w:p>
          <w:p>
            <w:pPr>
              <w:pStyle w:val="65"/>
              <w:adjustRightInd w:val="0"/>
              <w:snapToGrid w:val="0"/>
              <w:spacing w:line="240" w:lineRule="auto"/>
              <w:ind w:firstLine="360"/>
              <w:jc w:val="both"/>
              <w:rPr>
                <w:rFonts w:eastAsia="仿宋_GB2312"/>
              </w:rPr>
            </w:pPr>
            <w:r>
              <w:rPr>
                <w:rFonts w:eastAsia="仿宋_GB2312"/>
              </w:rPr>
              <w:t>3、人才优势；</w:t>
            </w:r>
          </w:p>
          <w:p>
            <w:pPr>
              <w:pStyle w:val="65"/>
              <w:adjustRightInd w:val="0"/>
              <w:snapToGrid w:val="0"/>
              <w:spacing w:line="240" w:lineRule="auto"/>
              <w:ind w:firstLine="360"/>
              <w:jc w:val="both"/>
              <w:rPr>
                <w:rFonts w:eastAsia="仿宋_GB2312"/>
              </w:rPr>
            </w:pPr>
            <w:r>
              <w:rPr>
                <w:rFonts w:eastAsia="仿宋_GB2312"/>
              </w:rPr>
              <w:t>4、经济区位优势；</w:t>
            </w:r>
          </w:p>
          <w:p>
            <w:pPr>
              <w:pStyle w:val="65"/>
              <w:adjustRightInd w:val="0"/>
              <w:snapToGrid w:val="0"/>
              <w:spacing w:line="240" w:lineRule="auto"/>
              <w:ind w:firstLine="360"/>
              <w:jc w:val="both"/>
              <w:rPr>
                <w:rFonts w:eastAsia="仿宋_GB2312"/>
              </w:rPr>
            </w:pPr>
            <w:r>
              <w:rPr>
                <w:rFonts w:eastAsia="仿宋_GB2312"/>
              </w:rPr>
              <w:t>5、政策优势突出。</w:t>
            </w:r>
          </w:p>
        </w:tc>
        <w:tc>
          <w:tcPr>
            <w:tcW w:w="1776" w:type="pct"/>
            <w:tcBorders>
              <w:top w:val="single" w:color="000000" w:sz="6" w:space="0"/>
              <w:left w:val="single" w:color="000000" w:sz="6" w:space="0"/>
              <w:bottom w:val="single" w:color="000000" w:sz="6" w:space="0"/>
              <w:right w:val="single" w:color="000000" w:sz="6" w:space="0"/>
            </w:tcBorders>
            <w:vAlign w:val="center"/>
          </w:tcPr>
          <w:p>
            <w:pPr>
              <w:pStyle w:val="65"/>
              <w:adjustRightInd w:val="0"/>
              <w:snapToGrid w:val="0"/>
              <w:spacing w:line="240" w:lineRule="auto"/>
              <w:ind w:firstLine="361"/>
              <w:jc w:val="left"/>
              <w:rPr>
                <w:rFonts w:eastAsia="仿宋_GB2312"/>
                <w:b/>
              </w:rPr>
            </w:pPr>
            <w:r>
              <w:rPr>
                <w:rFonts w:eastAsia="仿宋_GB2312"/>
                <w:b/>
              </w:rPr>
              <w:t>劣势W</w:t>
            </w:r>
          </w:p>
          <w:p>
            <w:pPr>
              <w:pStyle w:val="65"/>
              <w:adjustRightInd w:val="0"/>
              <w:snapToGrid w:val="0"/>
              <w:spacing w:line="240" w:lineRule="auto"/>
              <w:ind w:firstLine="360"/>
              <w:jc w:val="both"/>
              <w:rPr>
                <w:rFonts w:eastAsia="仿宋_GB2312"/>
              </w:rPr>
            </w:pPr>
            <w:r>
              <w:rPr>
                <w:rFonts w:eastAsia="仿宋_GB2312"/>
              </w:rPr>
              <w:t>1、园区面积较小</w:t>
            </w:r>
          </w:p>
          <w:p>
            <w:pPr>
              <w:pStyle w:val="65"/>
              <w:adjustRightInd w:val="0"/>
              <w:snapToGrid w:val="0"/>
              <w:spacing w:line="240" w:lineRule="auto"/>
              <w:ind w:firstLine="360"/>
              <w:jc w:val="both"/>
              <w:rPr>
                <w:rFonts w:eastAsia="仿宋_GB2312"/>
              </w:rPr>
            </w:pPr>
            <w:r>
              <w:rPr>
                <w:rFonts w:eastAsia="仿宋_GB2312"/>
              </w:rPr>
              <w:t>2、创新创优能力不足；</w:t>
            </w:r>
          </w:p>
          <w:p>
            <w:pPr>
              <w:pStyle w:val="65"/>
              <w:adjustRightInd w:val="0"/>
              <w:snapToGrid w:val="0"/>
              <w:spacing w:line="240" w:lineRule="auto"/>
              <w:ind w:firstLine="360"/>
              <w:jc w:val="both"/>
              <w:rPr>
                <w:rFonts w:eastAsia="仿宋_GB2312"/>
              </w:rPr>
            </w:pPr>
            <w:r>
              <w:rPr>
                <w:rFonts w:eastAsia="仿宋_GB2312"/>
              </w:rPr>
              <w:t>3、产业链延伸度低。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376" w:hRule="atLeast"/>
        </w:trPr>
        <w:tc>
          <w:tcPr>
            <w:tcW w:w="1228" w:type="pct"/>
            <w:tcBorders>
              <w:top w:val="single" w:color="000000" w:sz="6" w:space="0"/>
              <w:left w:val="single" w:color="000000" w:sz="6" w:space="0"/>
              <w:bottom w:val="single" w:color="000000" w:sz="6" w:space="0"/>
              <w:right w:val="single" w:color="000000" w:sz="6" w:space="0"/>
            </w:tcBorders>
          </w:tcPr>
          <w:p>
            <w:pPr>
              <w:pStyle w:val="65"/>
              <w:adjustRightInd w:val="0"/>
              <w:snapToGrid w:val="0"/>
              <w:spacing w:line="240" w:lineRule="auto"/>
              <w:ind w:firstLine="361"/>
              <w:jc w:val="left"/>
              <w:rPr>
                <w:rFonts w:eastAsia="仿宋_GB2312"/>
                <w:b/>
              </w:rPr>
            </w:pPr>
            <w:r>
              <w:rPr>
                <w:rFonts w:eastAsia="仿宋_GB2312"/>
                <w:b/>
              </w:rPr>
              <w:t>机会O</w:t>
            </w:r>
          </w:p>
          <w:p>
            <w:pPr>
              <w:pStyle w:val="65"/>
              <w:adjustRightInd w:val="0"/>
              <w:snapToGrid w:val="0"/>
              <w:spacing w:line="240" w:lineRule="auto"/>
              <w:ind w:firstLine="360"/>
              <w:jc w:val="both"/>
              <w:rPr>
                <w:rFonts w:eastAsia="仿宋_GB2312"/>
              </w:rPr>
            </w:pPr>
            <w:bookmarkStart w:id="96" w:name="_Hlk153872889"/>
            <w:r>
              <w:rPr>
                <w:rFonts w:eastAsia="仿宋_GB2312"/>
              </w:rPr>
              <w:t>1、国家战略机遇叠加，借势登高优势明显；</w:t>
            </w:r>
            <w:bookmarkEnd w:id="96"/>
          </w:p>
          <w:p>
            <w:pPr>
              <w:pStyle w:val="65"/>
              <w:adjustRightInd w:val="0"/>
              <w:snapToGrid w:val="0"/>
              <w:spacing w:line="240" w:lineRule="auto"/>
              <w:ind w:firstLine="360"/>
              <w:jc w:val="left"/>
              <w:rPr>
                <w:rFonts w:eastAsia="仿宋_GB2312"/>
              </w:rPr>
            </w:pPr>
            <w:r>
              <w:rPr>
                <w:rFonts w:eastAsia="仿宋_GB2312"/>
              </w:rPr>
              <w:t>2、我国经济长期向好，内需空间潜力巨大；</w:t>
            </w:r>
          </w:p>
          <w:p>
            <w:pPr>
              <w:pStyle w:val="65"/>
              <w:adjustRightInd w:val="0"/>
              <w:snapToGrid w:val="0"/>
              <w:spacing w:line="240" w:lineRule="auto"/>
              <w:ind w:firstLine="360"/>
              <w:jc w:val="both"/>
              <w:rPr>
                <w:rFonts w:eastAsia="仿宋_GB2312"/>
              </w:rPr>
            </w:pPr>
            <w:r>
              <w:rPr>
                <w:rFonts w:eastAsia="仿宋_GB2312"/>
              </w:rPr>
              <w:t>3、发展后劲不断积蓄，跨越发展势能增强。</w:t>
            </w:r>
          </w:p>
        </w:tc>
        <w:tc>
          <w:tcPr>
            <w:tcW w:w="1996" w:type="pct"/>
            <w:tcBorders>
              <w:top w:val="single" w:color="000000" w:sz="6" w:space="0"/>
              <w:left w:val="single" w:color="000000" w:sz="6" w:space="0"/>
              <w:bottom w:val="single" w:color="000000" w:sz="6" w:space="0"/>
              <w:right w:val="single" w:color="000000" w:sz="6" w:space="0"/>
            </w:tcBorders>
          </w:tcPr>
          <w:p>
            <w:pPr>
              <w:pStyle w:val="65"/>
              <w:adjustRightInd w:val="0"/>
              <w:snapToGrid w:val="0"/>
              <w:spacing w:line="240" w:lineRule="auto"/>
              <w:ind w:firstLine="361"/>
              <w:jc w:val="left"/>
              <w:rPr>
                <w:rFonts w:eastAsia="仿宋_GB2312"/>
                <w:b/>
              </w:rPr>
            </w:pPr>
            <w:r>
              <w:rPr>
                <w:rFonts w:eastAsia="仿宋_GB2312"/>
                <w:b/>
              </w:rPr>
              <w:t>增长性（SO）战略</w:t>
            </w:r>
          </w:p>
          <w:p>
            <w:pPr>
              <w:pStyle w:val="65"/>
              <w:adjustRightInd w:val="0"/>
              <w:snapToGrid w:val="0"/>
              <w:spacing w:line="240" w:lineRule="auto"/>
              <w:ind w:firstLine="360"/>
              <w:jc w:val="both"/>
              <w:rPr>
                <w:rFonts w:eastAsia="仿宋_GB2312"/>
              </w:rPr>
            </w:pPr>
            <w:r>
              <w:rPr>
                <w:rFonts w:eastAsia="仿宋_GB2312"/>
              </w:rPr>
              <w:t>1、抓住供给侧结构性改革，利用好已有化工基础，做好科技创新，进一步扩大产业规模，提升产品档次；</w:t>
            </w:r>
          </w:p>
          <w:p>
            <w:pPr>
              <w:pStyle w:val="65"/>
              <w:adjustRightInd w:val="0"/>
              <w:snapToGrid w:val="0"/>
              <w:spacing w:line="240" w:lineRule="auto"/>
              <w:ind w:firstLine="360"/>
              <w:jc w:val="left"/>
              <w:rPr>
                <w:rFonts w:eastAsia="仿宋_GB2312"/>
              </w:rPr>
            </w:pPr>
            <w:r>
              <w:rPr>
                <w:rFonts w:eastAsia="仿宋_GB2312"/>
              </w:rPr>
              <w:t>2、利用产业转移，发挥已有产业基础，吸引外来投资；</w:t>
            </w:r>
          </w:p>
          <w:p>
            <w:pPr>
              <w:pStyle w:val="65"/>
              <w:adjustRightInd w:val="0"/>
              <w:snapToGrid w:val="0"/>
              <w:spacing w:line="240" w:lineRule="auto"/>
              <w:ind w:firstLine="360"/>
              <w:jc w:val="both"/>
              <w:rPr>
                <w:rFonts w:eastAsia="仿宋_GB2312"/>
              </w:rPr>
            </w:pPr>
            <w:r>
              <w:rPr>
                <w:rFonts w:eastAsia="仿宋_GB2312"/>
              </w:rPr>
              <w:t>3、跟紧国内经济较好的经济形势，利用当地环境优势，吸引高端人才，促进产业发展；</w:t>
            </w:r>
          </w:p>
          <w:p>
            <w:pPr>
              <w:pStyle w:val="65"/>
              <w:adjustRightInd w:val="0"/>
              <w:snapToGrid w:val="0"/>
              <w:spacing w:line="240" w:lineRule="auto"/>
              <w:ind w:firstLine="360"/>
              <w:jc w:val="left"/>
              <w:rPr>
                <w:rFonts w:eastAsia="仿宋_GB2312"/>
              </w:rPr>
            </w:pPr>
            <w:r>
              <w:rPr>
                <w:rFonts w:eastAsia="仿宋_GB2312"/>
              </w:rPr>
              <w:t>4、明确下游产品需求类型，明确长三角市场需求，发展配套产品；</w:t>
            </w:r>
          </w:p>
          <w:p>
            <w:pPr>
              <w:pStyle w:val="65"/>
              <w:adjustRightInd w:val="0"/>
              <w:snapToGrid w:val="0"/>
              <w:spacing w:line="240" w:lineRule="auto"/>
              <w:ind w:firstLine="360"/>
              <w:jc w:val="both"/>
              <w:rPr>
                <w:rFonts w:eastAsia="仿宋_GB2312"/>
              </w:rPr>
            </w:pPr>
            <w:r>
              <w:rPr>
                <w:rFonts w:eastAsia="仿宋_GB2312"/>
              </w:rPr>
              <w:t>5、依托现有基础，发展低碳、环保经济所需的相关高新技术产业。</w:t>
            </w:r>
          </w:p>
        </w:tc>
        <w:tc>
          <w:tcPr>
            <w:tcW w:w="1776" w:type="pct"/>
            <w:tcBorders>
              <w:top w:val="single" w:color="000000" w:sz="6" w:space="0"/>
              <w:left w:val="single" w:color="000000" w:sz="6" w:space="0"/>
              <w:bottom w:val="single" w:color="000000" w:sz="6" w:space="0"/>
              <w:right w:val="single" w:color="000000" w:sz="6" w:space="0"/>
            </w:tcBorders>
          </w:tcPr>
          <w:p>
            <w:pPr>
              <w:pStyle w:val="65"/>
              <w:adjustRightInd w:val="0"/>
              <w:snapToGrid w:val="0"/>
              <w:spacing w:line="240" w:lineRule="auto"/>
              <w:ind w:firstLine="361"/>
              <w:jc w:val="left"/>
              <w:rPr>
                <w:rFonts w:eastAsia="仿宋_GB2312"/>
                <w:b/>
              </w:rPr>
            </w:pPr>
            <w:r>
              <w:rPr>
                <w:rFonts w:eastAsia="仿宋_GB2312"/>
                <w:b/>
              </w:rPr>
              <w:t>扭转性（WO）战略</w:t>
            </w:r>
          </w:p>
          <w:p>
            <w:pPr>
              <w:pStyle w:val="65"/>
              <w:adjustRightInd w:val="0"/>
              <w:snapToGrid w:val="0"/>
              <w:spacing w:line="240" w:lineRule="auto"/>
              <w:ind w:firstLine="360"/>
              <w:jc w:val="both"/>
              <w:rPr>
                <w:rFonts w:eastAsia="仿宋_GB2312"/>
              </w:rPr>
            </w:pPr>
            <w:r>
              <w:rPr>
                <w:rFonts w:eastAsia="仿宋_GB2312"/>
              </w:rPr>
              <w:t>1、做好化工园区基础设施开发工作，创造良好的投资环境，促进企业集中聚集；</w:t>
            </w:r>
          </w:p>
          <w:p>
            <w:pPr>
              <w:pStyle w:val="65"/>
              <w:adjustRightInd w:val="0"/>
              <w:snapToGrid w:val="0"/>
              <w:spacing w:line="240" w:lineRule="auto"/>
              <w:ind w:firstLine="360"/>
              <w:jc w:val="both"/>
              <w:rPr>
                <w:rFonts w:eastAsia="仿宋_GB2312"/>
              </w:rPr>
            </w:pPr>
            <w:r>
              <w:rPr>
                <w:rFonts w:eastAsia="仿宋_GB2312"/>
              </w:rPr>
              <w:t>2、重点扶持具有发展潜力的企业，培育一批大型、规模化的企业；</w:t>
            </w:r>
          </w:p>
          <w:p>
            <w:pPr>
              <w:pStyle w:val="65"/>
              <w:adjustRightInd w:val="0"/>
              <w:snapToGrid w:val="0"/>
              <w:spacing w:line="240" w:lineRule="auto"/>
              <w:ind w:firstLine="360"/>
              <w:jc w:val="both"/>
              <w:rPr>
                <w:rFonts w:eastAsia="仿宋_GB2312"/>
              </w:rPr>
            </w:pPr>
            <w:r>
              <w:rPr>
                <w:rFonts w:eastAsia="仿宋_GB2312"/>
              </w:rPr>
              <w:t>3、重点发展现有产品的延深加工，延伸产业链度；</w:t>
            </w:r>
          </w:p>
          <w:p>
            <w:pPr>
              <w:pStyle w:val="65"/>
              <w:adjustRightInd w:val="0"/>
              <w:snapToGrid w:val="0"/>
              <w:spacing w:line="240" w:lineRule="auto"/>
              <w:ind w:firstLine="360"/>
              <w:jc w:val="both"/>
              <w:rPr>
                <w:rFonts w:eastAsia="仿宋_GB2312"/>
              </w:rPr>
            </w:pPr>
            <w:r>
              <w:rPr>
                <w:rFonts w:eastAsia="仿宋_GB2312"/>
              </w:rPr>
              <w:t>4、加强水资源管理和“三废”治理，采用绿色工艺；</w:t>
            </w:r>
          </w:p>
          <w:p>
            <w:pPr>
              <w:pStyle w:val="65"/>
              <w:adjustRightInd w:val="0"/>
              <w:snapToGrid w:val="0"/>
              <w:spacing w:line="240" w:lineRule="auto"/>
              <w:ind w:firstLine="360"/>
              <w:jc w:val="both"/>
              <w:rPr>
                <w:rFonts w:eastAsia="仿宋_GB2312"/>
              </w:rPr>
            </w:pPr>
            <w:r>
              <w:rPr>
                <w:rFonts w:eastAsia="仿宋_GB2312"/>
              </w:rPr>
              <w:t>5、跟紧国家相关战略，结合化工园区实际需要扩区申请土地。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228" w:type="pct"/>
            <w:tcBorders>
              <w:top w:val="single" w:color="000000" w:sz="6" w:space="0"/>
              <w:left w:val="single" w:color="000000" w:sz="6" w:space="0"/>
              <w:bottom w:val="single" w:color="000000" w:sz="6" w:space="0"/>
              <w:right w:val="single" w:color="000000" w:sz="6" w:space="0"/>
            </w:tcBorders>
          </w:tcPr>
          <w:p>
            <w:pPr>
              <w:pStyle w:val="65"/>
              <w:adjustRightInd w:val="0"/>
              <w:snapToGrid w:val="0"/>
              <w:spacing w:line="240" w:lineRule="auto"/>
              <w:ind w:firstLine="361"/>
              <w:jc w:val="left"/>
              <w:rPr>
                <w:rFonts w:eastAsia="仿宋_GB2312"/>
                <w:b/>
              </w:rPr>
            </w:pPr>
            <w:r>
              <w:rPr>
                <w:rFonts w:eastAsia="仿宋_GB2312"/>
                <w:b/>
              </w:rPr>
              <w:t>威胁T</w:t>
            </w:r>
          </w:p>
          <w:p>
            <w:pPr>
              <w:pStyle w:val="65"/>
              <w:adjustRightInd w:val="0"/>
              <w:snapToGrid w:val="0"/>
              <w:spacing w:line="240" w:lineRule="auto"/>
              <w:ind w:firstLine="360"/>
              <w:jc w:val="left"/>
              <w:rPr>
                <w:rFonts w:eastAsia="仿宋_GB2312"/>
              </w:rPr>
            </w:pPr>
            <w:r>
              <w:rPr>
                <w:rFonts w:eastAsia="仿宋_GB2312"/>
              </w:rPr>
              <w:t>1、招商引资挑战；</w:t>
            </w:r>
          </w:p>
          <w:p>
            <w:pPr>
              <w:pStyle w:val="65"/>
              <w:adjustRightInd w:val="0"/>
              <w:snapToGrid w:val="0"/>
              <w:spacing w:line="240" w:lineRule="auto"/>
              <w:ind w:firstLine="360"/>
              <w:jc w:val="left"/>
              <w:rPr>
                <w:rFonts w:eastAsia="仿宋_GB2312"/>
              </w:rPr>
            </w:pPr>
            <w:r>
              <w:rPr>
                <w:rFonts w:eastAsia="仿宋_GB2312"/>
              </w:rPr>
              <w:t>2、区域竞争日趋激烈。</w:t>
            </w:r>
          </w:p>
        </w:tc>
        <w:tc>
          <w:tcPr>
            <w:tcW w:w="1996" w:type="pct"/>
            <w:tcBorders>
              <w:top w:val="single" w:color="000000" w:sz="6" w:space="0"/>
              <w:left w:val="single" w:color="000000" w:sz="6" w:space="0"/>
              <w:bottom w:val="single" w:color="000000" w:sz="6" w:space="0"/>
              <w:right w:val="single" w:color="000000" w:sz="6" w:space="0"/>
            </w:tcBorders>
          </w:tcPr>
          <w:p>
            <w:pPr>
              <w:pStyle w:val="65"/>
              <w:adjustRightInd w:val="0"/>
              <w:snapToGrid w:val="0"/>
              <w:spacing w:line="240" w:lineRule="auto"/>
              <w:ind w:firstLine="361"/>
              <w:jc w:val="left"/>
              <w:rPr>
                <w:rFonts w:eastAsia="仿宋_GB2312"/>
                <w:b/>
              </w:rPr>
            </w:pPr>
            <w:r>
              <w:rPr>
                <w:rFonts w:eastAsia="仿宋_GB2312"/>
                <w:b/>
              </w:rPr>
              <w:t>多元化（ST）战略</w:t>
            </w:r>
          </w:p>
          <w:p>
            <w:pPr>
              <w:pStyle w:val="65"/>
              <w:adjustRightInd w:val="0"/>
              <w:snapToGrid w:val="0"/>
              <w:spacing w:line="240" w:lineRule="auto"/>
              <w:ind w:firstLine="360"/>
              <w:jc w:val="left"/>
              <w:rPr>
                <w:rFonts w:eastAsia="仿宋_GB2312"/>
              </w:rPr>
            </w:pPr>
            <w:r>
              <w:rPr>
                <w:rFonts w:eastAsia="仿宋_GB2312"/>
              </w:rPr>
              <w:t>1、加强企业与科研院所的结合，促进新技术的开发；</w:t>
            </w:r>
          </w:p>
          <w:p>
            <w:pPr>
              <w:pStyle w:val="65"/>
              <w:adjustRightInd w:val="0"/>
              <w:snapToGrid w:val="0"/>
              <w:spacing w:line="240" w:lineRule="auto"/>
              <w:ind w:firstLine="360"/>
              <w:jc w:val="left"/>
              <w:rPr>
                <w:rFonts w:eastAsia="仿宋_GB2312"/>
              </w:rPr>
            </w:pPr>
            <w:r>
              <w:rPr>
                <w:rFonts w:eastAsia="仿宋_GB2312"/>
              </w:rPr>
              <w:t>2、发展高端和绿色产品，加强自身产品竞争力。</w:t>
            </w:r>
          </w:p>
        </w:tc>
        <w:tc>
          <w:tcPr>
            <w:tcW w:w="1776" w:type="pct"/>
            <w:tcBorders>
              <w:top w:val="single" w:color="000000" w:sz="6" w:space="0"/>
              <w:left w:val="single" w:color="000000" w:sz="6" w:space="0"/>
              <w:bottom w:val="single" w:color="000000" w:sz="6" w:space="0"/>
              <w:right w:val="single" w:color="000000" w:sz="6" w:space="0"/>
            </w:tcBorders>
          </w:tcPr>
          <w:p>
            <w:pPr>
              <w:pStyle w:val="65"/>
              <w:adjustRightInd w:val="0"/>
              <w:snapToGrid w:val="0"/>
              <w:spacing w:line="240" w:lineRule="auto"/>
              <w:ind w:firstLine="361"/>
              <w:jc w:val="left"/>
              <w:rPr>
                <w:rFonts w:eastAsia="仿宋_GB2312"/>
                <w:b/>
              </w:rPr>
            </w:pPr>
            <w:r>
              <w:rPr>
                <w:rFonts w:eastAsia="仿宋_GB2312"/>
                <w:b/>
              </w:rPr>
              <w:t>防御性（WT）战略</w:t>
            </w:r>
          </w:p>
          <w:p>
            <w:pPr>
              <w:pStyle w:val="65"/>
              <w:adjustRightInd w:val="0"/>
              <w:snapToGrid w:val="0"/>
              <w:spacing w:line="240" w:lineRule="auto"/>
              <w:ind w:firstLine="360"/>
              <w:jc w:val="left"/>
              <w:rPr>
                <w:rFonts w:eastAsia="仿宋_GB2312"/>
              </w:rPr>
            </w:pPr>
            <w:r>
              <w:rPr>
                <w:rFonts w:eastAsia="仿宋_GB2312"/>
              </w:rPr>
              <w:t>1、进一步扶持大型、规模以上企业，实现现有产业的升级；</w:t>
            </w:r>
          </w:p>
          <w:p>
            <w:pPr>
              <w:pStyle w:val="65"/>
              <w:adjustRightInd w:val="0"/>
              <w:snapToGrid w:val="0"/>
              <w:spacing w:line="240" w:lineRule="auto"/>
              <w:ind w:firstLine="360"/>
              <w:jc w:val="left"/>
              <w:rPr>
                <w:rFonts w:eastAsia="仿宋_GB2312"/>
              </w:rPr>
            </w:pPr>
            <w:r>
              <w:rPr>
                <w:rFonts w:eastAsia="仿宋_GB2312"/>
              </w:rPr>
              <w:t>2、进一步延伸产业链，实现资源效益的最大化；</w:t>
            </w:r>
          </w:p>
          <w:p>
            <w:pPr>
              <w:pStyle w:val="65"/>
              <w:adjustRightInd w:val="0"/>
              <w:snapToGrid w:val="0"/>
              <w:spacing w:line="240" w:lineRule="auto"/>
              <w:ind w:firstLine="360"/>
              <w:jc w:val="left"/>
              <w:rPr>
                <w:rFonts w:eastAsia="仿宋_GB2312"/>
              </w:rPr>
            </w:pPr>
            <w:r>
              <w:rPr>
                <w:rFonts w:eastAsia="仿宋_GB2312"/>
              </w:rPr>
              <w:t>3、进一步落实安全生产责任制，强化安全生产管理；</w:t>
            </w:r>
          </w:p>
          <w:p>
            <w:pPr>
              <w:pStyle w:val="65"/>
              <w:adjustRightInd w:val="0"/>
              <w:snapToGrid w:val="0"/>
              <w:spacing w:line="240" w:lineRule="auto"/>
              <w:ind w:firstLine="360"/>
              <w:jc w:val="left"/>
              <w:rPr>
                <w:rFonts w:eastAsia="仿宋_GB2312"/>
              </w:rPr>
            </w:pPr>
            <w:r>
              <w:rPr>
                <w:rFonts w:eastAsia="仿宋_GB2312"/>
              </w:rPr>
              <w:t>4、采用低污染、低消耗的生产技术，生产适销对路的产品。</w:t>
            </w:r>
          </w:p>
        </w:tc>
      </w:tr>
    </w:tbl>
    <w:p>
      <w:pPr>
        <w:pStyle w:val="8"/>
        <w:rPr>
          <w:color w:val="auto"/>
        </w:rPr>
      </w:pPr>
      <w:r>
        <w:rPr>
          <w:color w:val="auto"/>
        </w:rPr>
        <w:t xml:space="preserve"> </w:t>
      </w:r>
    </w:p>
    <w:p>
      <w:pPr>
        <w:pStyle w:val="8"/>
        <w:ind w:firstLine="0" w:firstLineChars="0"/>
        <w:rPr>
          <w:color w:val="auto"/>
        </w:rPr>
        <w:sectPr>
          <w:headerReference r:id="rId12" w:type="first"/>
          <w:footerReference r:id="rId15" w:type="first"/>
          <w:headerReference r:id="rId10" w:type="default"/>
          <w:footerReference r:id="rId13" w:type="default"/>
          <w:headerReference r:id="rId11" w:type="even"/>
          <w:footerReference r:id="rId14" w:type="even"/>
          <w:pgSz w:w="11906" w:h="16838"/>
          <w:pgMar w:top="1440" w:right="1800" w:bottom="1440" w:left="1800" w:header="851" w:footer="992" w:gutter="0"/>
          <w:cols w:space="425" w:num="1"/>
          <w:docGrid w:type="lines" w:linePitch="312" w:charSpace="0"/>
        </w:sectPr>
      </w:pPr>
      <w:r>
        <w:rPr>
          <w:color w:val="auto"/>
        </w:rPr>
        <w:t xml:space="preserve"> </w:t>
      </w:r>
    </w:p>
    <w:p>
      <w:pPr>
        <w:pStyle w:val="2"/>
        <w:rPr>
          <w:rFonts w:ascii="Times New Roman" w:hAnsi="Times New Roman" w:eastAsia="仿宋_GB2312" w:cs="Times New Roman"/>
          <w:b/>
          <w:bCs/>
          <w:color w:val="auto"/>
        </w:rPr>
      </w:pPr>
      <w:bookmarkStart w:id="97" w:name="_Toc192757693"/>
      <w:r>
        <w:rPr>
          <w:rFonts w:ascii="Times New Roman" w:hAnsi="Times New Roman" w:eastAsia="仿宋_GB2312" w:cs="Times New Roman"/>
          <w:b/>
          <w:bCs/>
          <w:color w:val="auto"/>
        </w:rPr>
        <w:t>第六章 产业定位及产品链构成</w:t>
      </w:r>
      <w:bookmarkEnd w:id="0"/>
      <w:bookmarkEnd w:id="1"/>
      <w:bookmarkEnd w:id="97"/>
    </w:p>
    <w:p>
      <w:pPr>
        <w:pStyle w:val="3"/>
        <w:rPr>
          <w:color w:val="auto"/>
        </w:rPr>
      </w:pPr>
      <w:bookmarkStart w:id="98" w:name="5.1现有产业及在建项目情况"/>
      <w:bookmarkEnd w:id="98"/>
      <w:bookmarkStart w:id="99" w:name="_bookmark38"/>
      <w:bookmarkEnd w:id="99"/>
      <w:bookmarkStart w:id="100" w:name="_Toc192757694"/>
      <w:bookmarkStart w:id="101" w:name="_Toc31533"/>
      <w:bookmarkStart w:id="102" w:name="_Toc12767"/>
      <w:r>
        <w:rPr>
          <w:color w:val="auto"/>
        </w:rPr>
        <w:t>6.1 现有项目情况</w:t>
      </w:r>
      <w:bookmarkEnd w:id="100"/>
      <w:bookmarkEnd w:id="101"/>
      <w:bookmarkEnd w:id="102"/>
    </w:p>
    <w:p>
      <w:pPr>
        <w:rPr>
          <w:color w:val="auto"/>
        </w:rPr>
      </w:pPr>
      <w:r>
        <w:rPr>
          <w:color w:val="auto"/>
        </w:rPr>
        <w:t>基于淮南市产业发展方向，淮南经开化工园区着力提升改造传统化工产业，加快培育生物医药、化工新材料等高端精细化学品产业，并形成功能布局合理、主导产业明晰、资源利用高效、基础设施完善，具有核心竞争力的现代化化工产业园区。</w:t>
      </w:r>
    </w:p>
    <w:p>
      <w:pPr>
        <w:ind w:firstLine="0" w:firstLineChars="0"/>
        <w:jc w:val="center"/>
        <w:rPr>
          <w:b/>
          <w:bCs/>
          <w:color w:val="auto"/>
        </w:rPr>
      </w:pPr>
      <w:bookmarkStart w:id="103" w:name="_Hlk152837734"/>
      <w:r>
        <w:rPr>
          <w:b/>
          <w:bCs/>
          <w:color w:val="auto"/>
        </w:rPr>
        <w:t>表6-1 园区企业产品现状一览表</w:t>
      </w:r>
    </w:p>
    <w:tbl>
      <w:tblPr>
        <w:tblStyle w:val="25"/>
        <w:tblW w:w="51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8"/>
        <w:gridCol w:w="2182"/>
        <w:gridCol w:w="4078"/>
        <w:gridCol w:w="862"/>
        <w:gridCol w:w="10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329"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序号</w:t>
            </w:r>
          </w:p>
        </w:tc>
        <w:tc>
          <w:tcPr>
            <w:tcW w:w="1243"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企业名称</w:t>
            </w:r>
          </w:p>
        </w:tc>
        <w:tc>
          <w:tcPr>
            <w:tcW w:w="2323"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主导产品</w:t>
            </w:r>
          </w:p>
        </w:tc>
        <w:tc>
          <w:tcPr>
            <w:tcW w:w="491"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所属</w:t>
            </w:r>
          </w:p>
          <w:p>
            <w:pPr>
              <w:spacing w:line="240" w:lineRule="auto"/>
              <w:ind w:firstLine="0" w:firstLineChars="0"/>
              <w:jc w:val="center"/>
              <w:rPr>
                <w:b/>
                <w:bCs/>
                <w:color w:val="auto"/>
                <w:sz w:val="24"/>
                <w:szCs w:val="24"/>
              </w:rPr>
            </w:pPr>
            <w:r>
              <w:rPr>
                <w:b/>
                <w:bCs/>
                <w:color w:val="auto"/>
                <w:sz w:val="24"/>
                <w:szCs w:val="24"/>
              </w:rPr>
              <w:t>产业</w:t>
            </w:r>
          </w:p>
        </w:tc>
        <w:tc>
          <w:tcPr>
            <w:tcW w:w="614"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年产值</w:t>
            </w:r>
          </w:p>
          <w:p>
            <w:pPr>
              <w:spacing w:line="240" w:lineRule="auto"/>
              <w:ind w:firstLine="0" w:firstLineChars="0"/>
              <w:jc w:val="center"/>
              <w:rPr>
                <w:b/>
                <w:bCs/>
                <w:color w:val="auto"/>
                <w:sz w:val="24"/>
                <w:szCs w:val="24"/>
              </w:rPr>
            </w:pPr>
            <w:r>
              <w:rPr>
                <w:b/>
                <w:bCs/>
                <w:color w:val="auto"/>
                <w:sz w:val="24"/>
                <w:szCs w:val="24"/>
              </w:rPr>
              <w:t>（亿元）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329"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1</w:t>
            </w:r>
          </w:p>
        </w:tc>
        <w:tc>
          <w:tcPr>
            <w:tcW w:w="1243" w:type="pct"/>
            <w:shd w:val="clear" w:color="auto" w:fill="auto"/>
            <w:vAlign w:val="center"/>
          </w:tcPr>
          <w:p>
            <w:pPr>
              <w:spacing w:line="240" w:lineRule="auto"/>
              <w:ind w:firstLine="0" w:firstLineChars="0"/>
              <w:jc w:val="center"/>
              <w:rPr>
                <w:color w:val="auto"/>
                <w:sz w:val="24"/>
                <w:szCs w:val="24"/>
              </w:rPr>
            </w:pPr>
            <w:r>
              <w:rPr>
                <w:color w:val="auto"/>
                <w:sz w:val="24"/>
                <w:szCs w:val="24"/>
              </w:rPr>
              <w:t>安徽德邦化工有限公司</w:t>
            </w:r>
          </w:p>
        </w:tc>
        <w:tc>
          <w:tcPr>
            <w:tcW w:w="2323" w:type="pct"/>
            <w:shd w:val="clear" w:color="auto" w:fill="auto"/>
            <w:vAlign w:val="center"/>
          </w:tcPr>
          <w:p>
            <w:pPr>
              <w:widowControl/>
              <w:spacing w:line="240" w:lineRule="auto"/>
              <w:ind w:firstLine="0" w:firstLineChars="0"/>
              <w:rPr>
                <w:color w:val="auto"/>
                <w:sz w:val="24"/>
                <w:szCs w:val="24"/>
              </w:rPr>
            </w:pPr>
            <w:r>
              <w:rPr>
                <w:color w:val="auto"/>
                <w:sz w:val="24"/>
                <w:szCs w:val="24"/>
              </w:rPr>
              <w:t>年产60万吨纯碱；</w:t>
            </w:r>
          </w:p>
          <w:p>
            <w:pPr>
              <w:widowControl/>
              <w:spacing w:line="240" w:lineRule="auto"/>
              <w:ind w:firstLine="0" w:firstLineChars="0"/>
              <w:rPr>
                <w:color w:val="auto"/>
                <w:sz w:val="24"/>
                <w:szCs w:val="24"/>
              </w:rPr>
            </w:pPr>
            <w:r>
              <w:rPr>
                <w:color w:val="auto"/>
                <w:sz w:val="24"/>
                <w:szCs w:val="24"/>
              </w:rPr>
              <w:t>年产66万吨氯化铵；</w:t>
            </w:r>
          </w:p>
        </w:tc>
        <w:tc>
          <w:tcPr>
            <w:tcW w:w="491" w:type="pct"/>
            <w:shd w:val="clear" w:color="auto" w:fill="auto"/>
            <w:vAlign w:val="center"/>
          </w:tcPr>
          <w:p>
            <w:pPr>
              <w:spacing w:line="240" w:lineRule="auto"/>
              <w:ind w:firstLine="0" w:firstLineChars="0"/>
              <w:jc w:val="center"/>
              <w:rPr>
                <w:color w:val="auto"/>
                <w:sz w:val="24"/>
                <w:szCs w:val="24"/>
              </w:rPr>
            </w:pPr>
            <w:r>
              <w:rPr>
                <w:color w:val="auto"/>
                <w:sz w:val="24"/>
                <w:szCs w:val="24"/>
              </w:rPr>
              <w:t>基础化工</w:t>
            </w:r>
          </w:p>
        </w:tc>
        <w:tc>
          <w:tcPr>
            <w:tcW w:w="614" w:type="pct"/>
            <w:shd w:val="clear" w:color="auto" w:fill="auto"/>
            <w:vAlign w:val="center"/>
          </w:tcPr>
          <w:p>
            <w:pPr>
              <w:spacing w:line="240" w:lineRule="auto"/>
              <w:ind w:firstLine="0" w:firstLineChars="0"/>
              <w:jc w:val="center"/>
              <w:rPr>
                <w:color w:val="auto"/>
                <w:sz w:val="24"/>
                <w:szCs w:val="24"/>
              </w:rPr>
            </w:pPr>
            <w:r>
              <w:rPr>
                <w:color w:val="auto"/>
                <w:sz w:val="24"/>
                <w:szCs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29"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2</w:t>
            </w:r>
          </w:p>
        </w:tc>
        <w:tc>
          <w:tcPr>
            <w:tcW w:w="1243" w:type="pct"/>
            <w:shd w:val="clear" w:color="auto" w:fill="auto"/>
            <w:vAlign w:val="center"/>
          </w:tcPr>
          <w:p>
            <w:pPr>
              <w:spacing w:line="240" w:lineRule="auto"/>
              <w:ind w:firstLine="0" w:firstLineChars="0"/>
              <w:jc w:val="center"/>
              <w:rPr>
                <w:color w:val="auto"/>
                <w:sz w:val="24"/>
                <w:szCs w:val="24"/>
              </w:rPr>
            </w:pPr>
            <w:r>
              <w:rPr>
                <w:color w:val="auto"/>
                <w:sz w:val="24"/>
                <w:szCs w:val="24"/>
              </w:rPr>
              <w:t>国药集团国瑞药业有限公司</w:t>
            </w:r>
          </w:p>
        </w:tc>
        <w:tc>
          <w:tcPr>
            <w:tcW w:w="2323" w:type="pct"/>
            <w:shd w:val="clear" w:color="auto" w:fill="auto"/>
            <w:vAlign w:val="center"/>
          </w:tcPr>
          <w:p>
            <w:pPr>
              <w:widowControl/>
              <w:spacing w:line="240" w:lineRule="auto"/>
              <w:ind w:firstLine="0" w:firstLineChars="0"/>
              <w:rPr>
                <w:color w:val="auto"/>
                <w:sz w:val="24"/>
                <w:szCs w:val="24"/>
              </w:rPr>
            </w:pPr>
            <w:r>
              <w:rPr>
                <w:color w:val="auto"/>
                <w:sz w:val="24"/>
                <w:szCs w:val="24"/>
              </w:rPr>
              <w:t>年产冻干粉针制剂14336.5万支；</w:t>
            </w:r>
          </w:p>
          <w:p>
            <w:pPr>
              <w:widowControl/>
              <w:spacing w:line="240" w:lineRule="auto"/>
              <w:ind w:firstLine="0" w:firstLineChars="0"/>
              <w:rPr>
                <w:color w:val="auto"/>
                <w:sz w:val="24"/>
                <w:szCs w:val="24"/>
              </w:rPr>
            </w:pPr>
            <w:r>
              <w:rPr>
                <w:color w:val="auto"/>
                <w:sz w:val="24"/>
                <w:szCs w:val="24"/>
              </w:rPr>
              <w:t>年产粉针制剂9565.54万支；</w:t>
            </w:r>
          </w:p>
          <w:p>
            <w:pPr>
              <w:widowControl/>
              <w:spacing w:line="240" w:lineRule="auto"/>
              <w:ind w:firstLine="0" w:firstLineChars="0"/>
              <w:rPr>
                <w:color w:val="auto"/>
                <w:sz w:val="24"/>
                <w:szCs w:val="24"/>
              </w:rPr>
            </w:pPr>
            <w:r>
              <w:rPr>
                <w:color w:val="auto"/>
                <w:sz w:val="24"/>
                <w:szCs w:val="24"/>
              </w:rPr>
              <w:t>年产口服固体制剂16485.94万粒；</w:t>
            </w:r>
          </w:p>
          <w:p>
            <w:pPr>
              <w:widowControl/>
              <w:spacing w:line="240" w:lineRule="auto"/>
              <w:ind w:firstLine="0" w:firstLineChars="0"/>
              <w:rPr>
                <w:color w:val="auto"/>
                <w:sz w:val="24"/>
                <w:szCs w:val="24"/>
              </w:rPr>
            </w:pPr>
            <w:r>
              <w:rPr>
                <w:color w:val="auto"/>
                <w:sz w:val="24"/>
                <w:szCs w:val="24"/>
              </w:rPr>
              <w:t>年产小容量注射剂8872.23万支；</w:t>
            </w:r>
          </w:p>
          <w:p>
            <w:pPr>
              <w:widowControl/>
              <w:spacing w:line="240" w:lineRule="auto"/>
              <w:ind w:firstLine="0" w:firstLineChars="0"/>
              <w:rPr>
                <w:color w:val="auto"/>
                <w:sz w:val="24"/>
                <w:szCs w:val="24"/>
              </w:rPr>
            </w:pPr>
            <w:r>
              <w:rPr>
                <w:color w:val="auto"/>
                <w:sz w:val="24"/>
                <w:szCs w:val="24"/>
              </w:rPr>
              <w:t>年产原料药547.14kg；</w:t>
            </w:r>
          </w:p>
        </w:tc>
        <w:tc>
          <w:tcPr>
            <w:tcW w:w="491" w:type="pct"/>
            <w:vMerge w:val="restart"/>
            <w:shd w:val="clear" w:color="auto" w:fill="auto"/>
            <w:vAlign w:val="center"/>
          </w:tcPr>
          <w:p>
            <w:pPr>
              <w:spacing w:line="240" w:lineRule="auto"/>
              <w:ind w:firstLine="0" w:firstLineChars="0"/>
              <w:jc w:val="center"/>
              <w:rPr>
                <w:color w:val="auto"/>
                <w:sz w:val="24"/>
                <w:szCs w:val="24"/>
              </w:rPr>
            </w:pPr>
            <w:r>
              <w:rPr>
                <w:color w:val="auto"/>
                <w:sz w:val="24"/>
                <w:szCs w:val="24"/>
              </w:rPr>
              <w:t>医药化工</w:t>
            </w:r>
          </w:p>
        </w:tc>
        <w:tc>
          <w:tcPr>
            <w:tcW w:w="614" w:type="pct"/>
            <w:shd w:val="clear" w:color="auto" w:fill="auto"/>
            <w:vAlign w:val="center"/>
          </w:tcPr>
          <w:p>
            <w:pPr>
              <w:spacing w:line="240" w:lineRule="auto"/>
              <w:ind w:firstLine="0" w:firstLineChars="0"/>
              <w:jc w:val="center"/>
              <w:rPr>
                <w:color w:val="auto"/>
                <w:sz w:val="24"/>
                <w:szCs w:val="24"/>
              </w:rPr>
            </w:pPr>
            <w:r>
              <w:rPr>
                <w:color w:val="auto"/>
                <w:sz w:val="24"/>
                <w:szCs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29"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3</w:t>
            </w:r>
          </w:p>
        </w:tc>
        <w:tc>
          <w:tcPr>
            <w:tcW w:w="1243" w:type="pct"/>
            <w:shd w:val="clear" w:color="auto" w:fill="auto"/>
            <w:vAlign w:val="center"/>
          </w:tcPr>
          <w:p>
            <w:pPr>
              <w:spacing w:line="240" w:lineRule="auto"/>
              <w:ind w:firstLine="0" w:firstLineChars="0"/>
              <w:jc w:val="center"/>
              <w:rPr>
                <w:color w:val="auto"/>
                <w:sz w:val="24"/>
                <w:szCs w:val="24"/>
              </w:rPr>
            </w:pPr>
            <w:r>
              <w:rPr>
                <w:color w:val="auto"/>
                <w:sz w:val="24"/>
                <w:szCs w:val="24"/>
              </w:rPr>
              <w:t>恒诚制药集团淮南有限公司</w:t>
            </w:r>
          </w:p>
        </w:tc>
        <w:tc>
          <w:tcPr>
            <w:tcW w:w="2323" w:type="pct"/>
            <w:shd w:val="clear" w:color="auto" w:fill="auto"/>
            <w:vAlign w:val="center"/>
          </w:tcPr>
          <w:p>
            <w:pPr>
              <w:widowControl/>
              <w:spacing w:line="240" w:lineRule="auto"/>
              <w:ind w:firstLine="0" w:firstLineChars="0"/>
              <w:rPr>
                <w:color w:val="auto"/>
                <w:sz w:val="24"/>
                <w:szCs w:val="24"/>
              </w:rPr>
            </w:pPr>
            <w:r>
              <w:rPr>
                <w:color w:val="auto"/>
                <w:sz w:val="24"/>
                <w:szCs w:val="24"/>
              </w:rPr>
              <w:t>年产氯硝柳胺系列产品1000吨；</w:t>
            </w:r>
          </w:p>
          <w:p>
            <w:pPr>
              <w:widowControl/>
              <w:spacing w:line="240" w:lineRule="auto"/>
              <w:ind w:firstLine="0" w:firstLineChars="0"/>
              <w:rPr>
                <w:color w:val="auto"/>
                <w:sz w:val="24"/>
                <w:szCs w:val="24"/>
              </w:rPr>
            </w:pPr>
            <w:r>
              <w:rPr>
                <w:color w:val="auto"/>
                <w:sz w:val="24"/>
                <w:szCs w:val="24"/>
              </w:rPr>
              <w:t>年产口服固体制剂1.2亿片；</w:t>
            </w:r>
          </w:p>
        </w:tc>
        <w:tc>
          <w:tcPr>
            <w:tcW w:w="491" w:type="pct"/>
            <w:vMerge w:val="continue"/>
            <w:shd w:val="clear" w:color="auto" w:fill="auto"/>
            <w:vAlign w:val="center"/>
          </w:tcPr>
          <w:p>
            <w:pPr>
              <w:spacing w:line="240" w:lineRule="auto"/>
              <w:ind w:firstLine="0" w:firstLineChars="0"/>
              <w:jc w:val="center"/>
              <w:rPr>
                <w:color w:val="auto"/>
                <w:sz w:val="24"/>
                <w:szCs w:val="24"/>
              </w:rPr>
            </w:pPr>
          </w:p>
        </w:tc>
        <w:tc>
          <w:tcPr>
            <w:tcW w:w="614" w:type="pct"/>
            <w:shd w:val="clear" w:color="auto" w:fill="auto"/>
            <w:vAlign w:val="center"/>
          </w:tcPr>
          <w:p>
            <w:pPr>
              <w:spacing w:line="240" w:lineRule="auto"/>
              <w:ind w:firstLine="0" w:firstLineChars="0"/>
              <w:jc w:val="center"/>
              <w:rPr>
                <w:color w:val="auto"/>
                <w:sz w:val="24"/>
                <w:szCs w:val="24"/>
              </w:rPr>
            </w:pPr>
            <w:r>
              <w:rPr>
                <w:color w:val="auto"/>
                <w:sz w:val="24"/>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329"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4</w:t>
            </w:r>
          </w:p>
        </w:tc>
        <w:tc>
          <w:tcPr>
            <w:tcW w:w="1243" w:type="pct"/>
            <w:shd w:val="clear" w:color="auto" w:fill="auto"/>
            <w:vAlign w:val="center"/>
          </w:tcPr>
          <w:p>
            <w:pPr>
              <w:widowControl/>
              <w:spacing w:line="240" w:lineRule="auto"/>
              <w:ind w:firstLine="0" w:firstLineChars="0"/>
              <w:jc w:val="center"/>
              <w:rPr>
                <w:color w:val="auto"/>
                <w:sz w:val="24"/>
                <w:szCs w:val="24"/>
              </w:rPr>
            </w:pPr>
            <w:r>
              <w:rPr>
                <w:color w:val="auto"/>
                <w:sz w:val="24"/>
                <w:szCs w:val="24"/>
              </w:rPr>
              <w:t>安徽森吉制药有限公司</w:t>
            </w:r>
          </w:p>
        </w:tc>
        <w:tc>
          <w:tcPr>
            <w:tcW w:w="2323" w:type="pct"/>
            <w:shd w:val="clear" w:color="auto" w:fill="auto"/>
            <w:vAlign w:val="center"/>
          </w:tcPr>
          <w:p>
            <w:pPr>
              <w:widowControl/>
              <w:spacing w:line="240" w:lineRule="auto"/>
              <w:ind w:firstLine="0" w:firstLineChars="0"/>
              <w:rPr>
                <w:color w:val="auto"/>
                <w:sz w:val="24"/>
                <w:szCs w:val="24"/>
              </w:rPr>
            </w:pPr>
            <w:r>
              <w:rPr>
                <w:color w:val="auto"/>
                <w:sz w:val="24"/>
                <w:szCs w:val="24"/>
              </w:rPr>
              <w:t>年产75吨/年依帕列净；</w:t>
            </w:r>
          </w:p>
          <w:p>
            <w:pPr>
              <w:widowControl/>
              <w:spacing w:line="240" w:lineRule="auto"/>
              <w:ind w:firstLine="0" w:firstLineChars="0"/>
              <w:rPr>
                <w:color w:val="auto"/>
                <w:sz w:val="24"/>
                <w:szCs w:val="24"/>
              </w:rPr>
            </w:pPr>
            <w:r>
              <w:rPr>
                <w:color w:val="auto"/>
                <w:sz w:val="24"/>
                <w:szCs w:val="24"/>
              </w:rPr>
              <w:t>年产75吨/年达格列净；</w:t>
            </w:r>
          </w:p>
          <w:p>
            <w:pPr>
              <w:widowControl/>
              <w:spacing w:line="240" w:lineRule="auto"/>
              <w:ind w:firstLine="0" w:firstLineChars="0"/>
              <w:rPr>
                <w:color w:val="auto"/>
                <w:sz w:val="24"/>
                <w:szCs w:val="24"/>
              </w:rPr>
            </w:pPr>
            <w:r>
              <w:rPr>
                <w:color w:val="auto"/>
                <w:sz w:val="24"/>
                <w:szCs w:val="24"/>
              </w:rPr>
              <w:t>年产60吨/年卡格列净；</w:t>
            </w:r>
          </w:p>
          <w:p>
            <w:pPr>
              <w:widowControl/>
              <w:spacing w:line="240" w:lineRule="auto"/>
              <w:ind w:firstLine="0" w:firstLineChars="0"/>
              <w:rPr>
                <w:color w:val="auto"/>
                <w:sz w:val="24"/>
                <w:szCs w:val="24"/>
              </w:rPr>
            </w:pPr>
            <w:r>
              <w:rPr>
                <w:color w:val="auto"/>
                <w:sz w:val="24"/>
                <w:szCs w:val="24"/>
              </w:rPr>
              <w:t>年产20吨/年利伐沙班；</w:t>
            </w:r>
          </w:p>
          <w:p>
            <w:pPr>
              <w:widowControl/>
              <w:spacing w:line="240" w:lineRule="auto"/>
              <w:ind w:firstLine="0" w:firstLineChars="0"/>
              <w:rPr>
                <w:color w:val="auto"/>
                <w:sz w:val="24"/>
                <w:szCs w:val="24"/>
              </w:rPr>
            </w:pPr>
            <w:r>
              <w:rPr>
                <w:color w:val="auto"/>
                <w:sz w:val="24"/>
                <w:szCs w:val="24"/>
              </w:rPr>
              <w:t>年产4吨/年瑞格列奈；</w:t>
            </w:r>
          </w:p>
          <w:p>
            <w:pPr>
              <w:widowControl/>
              <w:spacing w:line="240" w:lineRule="auto"/>
              <w:ind w:firstLine="0" w:firstLineChars="0"/>
              <w:rPr>
                <w:color w:val="auto"/>
                <w:sz w:val="24"/>
                <w:szCs w:val="24"/>
              </w:rPr>
            </w:pPr>
            <w:r>
              <w:rPr>
                <w:color w:val="auto"/>
                <w:sz w:val="24"/>
                <w:szCs w:val="24"/>
              </w:rPr>
              <w:t>年产20吨/年巴瑞替尼；</w:t>
            </w:r>
          </w:p>
        </w:tc>
        <w:tc>
          <w:tcPr>
            <w:tcW w:w="491" w:type="pct"/>
            <w:vMerge w:val="continue"/>
            <w:shd w:val="clear" w:color="auto" w:fill="auto"/>
            <w:vAlign w:val="center"/>
          </w:tcPr>
          <w:p>
            <w:pPr>
              <w:widowControl/>
              <w:spacing w:line="240" w:lineRule="auto"/>
              <w:ind w:firstLine="0" w:firstLineChars="0"/>
              <w:jc w:val="center"/>
              <w:rPr>
                <w:color w:val="auto"/>
                <w:sz w:val="24"/>
                <w:szCs w:val="24"/>
              </w:rPr>
            </w:pPr>
          </w:p>
        </w:tc>
        <w:tc>
          <w:tcPr>
            <w:tcW w:w="614" w:type="pct"/>
            <w:shd w:val="clear" w:color="auto" w:fill="auto"/>
            <w:vAlign w:val="center"/>
          </w:tcPr>
          <w:p>
            <w:pPr>
              <w:widowControl/>
              <w:spacing w:line="240" w:lineRule="auto"/>
              <w:ind w:firstLine="0" w:firstLineChars="0"/>
              <w:jc w:val="center"/>
              <w:rPr>
                <w:color w:val="auto"/>
                <w:sz w:val="24"/>
                <w:szCs w:val="24"/>
              </w:rPr>
            </w:pPr>
            <w:r>
              <w:rPr>
                <w:color w:val="auto"/>
                <w:sz w:val="24"/>
                <w:szCs w:val="24"/>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329"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5</w:t>
            </w:r>
          </w:p>
        </w:tc>
        <w:tc>
          <w:tcPr>
            <w:tcW w:w="1243" w:type="pct"/>
            <w:shd w:val="clear" w:color="auto" w:fill="auto"/>
            <w:vAlign w:val="center"/>
          </w:tcPr>
          <w:p>
            <w:pPr>
              <w:widowControl/>
              <w:spacing w:line="240" w:lineRule="auto"/>
              <w:ind w:firstLine="0" w:firstLineChars="0"/>
              <w:jc w:val="center"/>
              <w:rPr>
                <w:color w:val="auto"/>
                <w:sz w:val="24"/>
                <w:szCs w:val="24"/>
              </w:rPr>
            </w:pPr>
            <w:r>
              <w:rPr>
                <w:color w:val="auto"/>
                <w:sz w:val="24"/>
                <w:szCs w:val="24"/>
              </w:rPr>
              <w:t>安徽山河药用辅料股份有限公司</w:t>
            </w:r>
          </w:p>
        </w:tc>
        <w:tc>
          <w:tcPr>
            <w:tcW w:w="2323" w:type="pct"/>
            <w:shd w:val="clear" w:color="auto" w:fill="auto"/>
            <w:vAlign w:val="center"/>
          </w:tcPr>
          <w:p>
            <w:pPr>
              <w:widowControl/>
              <w:spacing w:line="240" w:lineRule="auto"/>
              <w:ind w:firstLine="0" w:firstLineChars="0"/>
              <w:rPr>
                <w:color w:val="auto"/>
                <w:sz w:val="24"/>
                <w:szCs w:val="24"/>
              </w:rPr>
            </w:pPr>
            <w:r>
              <w:rPr>
                <w:color w:val="auto"/>
                <w:sz w:val="24"/>
                <w:szCs w:val="24"/>
              </w:rPr>
              <w:t>年产5000吨/年微晶纤维素；</w:t>
            </w:r>
          </w:p>
          <w:p>
            <w:pPr>
              <w:widowControl/>
              <w:spacing w:line="240" w:lineRule="auto"/>
              <w:ind w:firstLine="0" w:firstLineChars="0"/>
              <w:rPr>
                <w:color w:val="auto"/>
                <w:sz w:val="24"/>
                <w:szCs w:val="24"/>
              </w:rPr>
            </w:pPr>
            <w:r>
              <w:rPr>
                <w:color w:val="auto"/>
                <w:sz w:val="24"/>
                <w:szCs w:val="24"/>
              </w:rPr>
              <w:t>年产200吨/年硬脂富马酸钠；</w:t>
            </w:r>
          </w:p>
          <w:p>
            <w:pPr>
              <w:widowControl/>
              <w:spacing w:line="240" w:lineRule="auto"/>
              <w:ind w:firstLine="0" w:firstLineChars="0"/>
              <w:rPr>
                <w:color w:val="auto"/>
                <w:sz w:val="24"/>
                <w:szCs w:val="24"/>
              </w:rPr>
            </w:pPr>
            <w:r>
              <w:rPr>
                <w:color w:val="auto"/>
                <w:sz w:val="24"/>
                <w:szCs w:val="24"/>
              </w:rPr>
              <w:t>年产500吨/年交联羧甲纤维素钠；</w:t>
            </w:r>
          </w:p>
          <w:p>
            <w:pPr>
              <w:widowControl/>
              <w:spacing w:line="240" w:lineRule="auto"/>
              <w:ind w:firstLine="0" w:firstLineChars="0"/>
              <w:rPr>
                <w:color w:val="auto"/>
                <w:sz w:val="24"/>
                <w:szCs w:val="24"/>
              </w:rPr>
            </w:pPr>
            <w:r>
              <w:rPr>
                <w:color w:val="auto"/>
                <w:sz w:val="24"/>
                <w:szCs w:val="24"/>
              </w:rPr>
              <w:t>年产2800吨/年羟丙甲纤维素；</w:t>
            </w:r>
          </w:p>
          <w:p>
            <w:pPr>
              <w:widowControl/>
              <w:spacing w:line="240" w:lineRule="auto"/>
              <w:ind w:firstLine="0" w:firstLineChars="0"/>
              <w:rPr>
                <w:color w:val="auto"/>
                <w:sz w:val="24"/>
                <w:szCs w:val="24"/>
              </w:rPr>
            </w:pPr>
            <w:r>
              <w:rPr>
                <w:color w:val="auto"/>
                <w:sz w:val="24"/>
                <w:szCs w:val="24"/>
              </w:rPr>
              <w:t>年产500吨/年交联聚维酮；</w:t>
            </w:r>
          </w:p>
        </w:tc>
        <w:tc>
          <w:tcPr>
            <w:tcW w:w="491" w:type="pct"/>
            <w:vMerge w:val="continue"/>
            <w:shd w:val="clear" w:color="auto" w:fill="auto"/>
            <w:vAlign w:val="center"/>
          </w:tcPr>
          <w:p>
            <w:pPr>
              <w:spacing w:line="240" w:lineRule="auto"/>
              <w:ind w:firstLine="0" w:firstLineChars="0"/>
              <w:jc w:val="center"/>
              <w:rPr>
                <w:color w:val="auto"/>
                <w:sz w:val="24"/>
                <w:szCs w:val="24"/>
              </w:rPr>
            </w:pPr>
          </w:p>
        </w:tc>
        <w:tc>
          <w:tcPr>
            <w:tcW w:w="614" w:type="pct"/>
            <w:shd w:val="clear" w:color="auto" w:fill="auto"/>
            <w:vAlign w:val="center"/>
          </w:tcPr>
          <w:p>
            <w:pPr>
              <w:spacing w:line="240" w:lineRule="auto"/>
              <w:ind w:firstLine="0" w:firstLineChars="0"/>
              <w:jc w:val="center"/>
              <w:rPr>
                <w:color w:val="auto"/>
                <w:sz w:val="24"/>
                <w:szCs w:val="24"/>
              </w:rPr>
            </w:pPr>
            <w:r>
              <w:rPr>
                <w:color w:val="auto"/>
                <w:sz w:val="24"/>
                <w:szCs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329"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6</w:t>
            </w:r>
          </w:p>
        </w:tc>
        <w:tc>
          <w:tcPr>
            <w:tcW w:w="1243" w:type="pct"/>
            <w:shd w:val="clear" w:color="auto" w:fill="auto"/>
            <w:vAlign w:val="center"/>
          </w:tcPr>
          <w:p>
            <w:pPr>
              <w:widowControl/>
              <w:spacing w:line="240" w:lineRule="auto"/>
              <w:ind w:firstLine="0" w:firstLineChars="0"/>
              <w:jc w:val="center"/>
              <w:rPr>
                <w:color w:val="auto"/>
                <w:sz w:val="24"/>
                <w:szCs w:val="24"/>
              </w:rPr>
            </w:pPr>
            <w:r>
              <w:rPr>
                <w:color w:val="auto"/>
                <w:sz w:val="24"/>
                <w:szCs w:val="24"/>
              </w:rPr>
              <w:t>安徽水卫士环保科技有限公司</w:t>
            </w:r>
          </w:p>
        </w:tc>
        <w:tc>
          <w:tcPr>
            <w:tcW w:w="2323" w:type="pct"/>
            <w:shd w:val="clear" w:color="auto" w:fill="auto"/>
            <w:vAlign w:val="center"/>
          </w:tcPr>
          <w:p>
            <w:pPr>
              <w:widowControl/>
              <w:spacing w:line="240" w:lineRule="auto"/>
              <w:ind w:firstLine="0" w:firstLineChars="0"/>
              <w:rPr>
                <w:color w:val="auto"/>
                <w:sz w:val="24"/>
                <w:szCs w:val="24"/>
              </w:rPr>
            </w:pPr>
            <w:r>
              <w:rPr>
                <w:color w:val="auto"/>
                <w:sz w:val="24"/>
                <w:szCs w:val="24"/>
              </w:rPr>
              <w:t>年产2360吨/年阻垢缓蚀剂；</w:t>
            </w:r>
          </w:p>
          <w:p>
            <w:pPr>
              <w:widowControl/>
              <w:spacing w:line="240" w:lineRule="auto"/>
              <w:ind w:firstLine="0" w:firstLineChars="0"/>
              <w:rPr>
                <w:color w:val="auto"/>
                <w:sz w:val="24"/>
                <w:szCs w:val="24"/>
              </w:rPr>
            </w:pPr>
            <w:r>
              <w:rPr>
                <w:color w:val="auto"/>
                <w:sz w:val="24"/>
                <w:szCs w:val="24"/>
              </w:rPr>
              <w:t>年产980吨/年阻垢分散剂；</w:t>
            </w:r>
          </w:p>
        </w:tc>
        <w:tc>
          <w:tcPr>
            <w:tcW w:w="491" w:type="pct"/>
            <w:shd w:val="clear" w:color="auto" w:fill="auto"/>
            <w:vAlign w:val="center"/>
          </w:tcPr>
          <w:p>
            <w:pPr>
              <w:spacing w:line="240" w:lineRule="auto"/>
              <w:ind w:firstLine="0" w:firstLineChars="0"/>
              <w:jc w:val="center"/>
              <w:rPr>
                <w:color w:val="auto"/>
                <w:sz w:val="24"/>
                <w:szCs w:val="24"/>
              </w:rPr>
            </w:pPr>
            <w:r>
              <w:rPr>
                <w:color w:val="auto"/>
                <w:sz w:val="24"/>
                <w:szCs w:val="24"/>
              </w:rPr>
              <w:t>精细化工</w:t>
            </w:r>
          </w:p>
        </w:tc>
        <w:tc>
          <w:tcPr>
            <w:tcW w:w="614" w:type="pct"/>
            <w:shd w:val="clear" w:color="auto" w:fill="auto"/>
            <w:vAlign w:val="center"/>
          </w:tcPr>
          <w:p>
            <w:pPr>
              <w:spacing w:line="240" w:lineRule="auto"/>
              <w:ind w:firstLine="0" w:firstLineChars="0"/>
              <w:jc w:val="center"/>
              <w:rPr>
                <w:color w:val="auto"/>
                <w:sz w:val="24"/>
                <w:szCs w:val="24"/>
              </w:rPr>
            </w:pPr>
            <w:r>
              <w:rPr>
                <w:color w:val="auto"/>
                <w:sz w:val="24"/>
                <w:szCs w:val="24"/>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 w:hRule="atLeast"/>
          <w:jc w:val="center"/>
        </w:trPr>
        <w:tc>
          <w:tcPr>
            <w:tcW w:w="329" w:type="pct"/>
            <w:shd w:val="clear" w:color="auto" w:fill="auto"/>
            <w:vAlign w:val="center"/>
          </w:tcPr>
          <w:p>
            <w:pPr>
              <w:spacing w:line="240" w:lineRule="auto"/>
              <w:ind w:firstLine="482"/>
              <w:jc w:val="center"/>
              <w:rPr>
                <w:b/>
                <w:bCs/>
                <w:color w:val="auto"/>
                <w:sz w:val="24"/>
                <w:szCs w:val="24"/>
                <w:lang w:bidi="ar-SA"/>
              </w:rPr>
            </w:pPr>
            <w:r>
              <w:rPr>
                <w:b/>
                <w:bCs/>
                <w:color w:val="auto"/>
                <w:sz w:val="24"/>
                <w:szCs w:val="24"/>
                <w:lang w:bidi="ar-SA"/>
              </w:rPr>
              <w:t>77</w:t>
            </w:r>
          </w:p>
        </w:tc>
        <w:tc>
          <w:tcPr>
            <w:tcW w:w="1243" w:type="pct"/>
            <w:shd w:val="clear" w:color="auto" w:fill="auto"/>
            <w:vAlign w:val="center"/>
          </w:tcPr>
          <w:p>
            <w:pPr>
              <w:widowControl/>
              <w:spacing w:line="240" w:lineRule="auto"/>
              <w:ind w:firstLine="0" w:firstLineChars="0"/>
              <w:jc w:val="center"/>
              <w:rPr>
                <w:color w:val="auto"/>
                <w:sz w:val="24"/>
                <w:szCs w:val="24"/>
              </w:rPr>
            </w:pPr>
            <w:r>
              <w:rPr>
                <w:color w:val="auto"/>
                <w:sz w:val="24"/>
                <w:szCs w:val="24"/>
              </w:rPr>
              <w:t>淮南市欧洁环保科技有限公司</w:t>
            </w:r>
          </w:p>
        </w:tc>
        <w:tc>
          <w:tcPr>
            <w:tcW w:w="2323" w:type="pct"/>
            <w:shd w:val="clear" w:color="auto" w:fill="auto"/>
            <w:vAlign w:val="center"/>
          </w:tcPr>
          <w:p>
            <w:pPr>
              <w:widowControl/>
              <w:spacing w:line="240" w:lineRule="auto"/>
              <w:ind w:firstLine="0" w:firstLineChars="0"/>
              <w:rPr>
                <w:color w:val="auto"/>
                <w:sz w:val="24"/>
                <w:szCs w:val="24"/>
              </w:rPr>
            </w:pPr>
            <w:r>
              <w:rPr>
                <w:color w:val="auto"/>
                <w:sz w:val="24"/>
                <w:szCs w:val="24"/>
              </w:rPr>
              <w:t>年产3 万吨/年车用尾气处理液</w:t>
            </w:r>
          </w:p>
        </w:tc>
        <w:tc>
          <w:tcPr>
            <w:tcW w:w="491" w:type="pct"/>
            <w:shd w:val="clear" w:color="auto" w:fill="auto"/>
            <w:vAlign w:val="center"/>
          </w:tcPr>
          <w:p>
            <w:pPr>
              <w:spacing w:line="240" w:lineRule="auto"/>
              <w:ind w:firstLine="0" w:firstLineChars="0"/>
              <w:jc w:val="center"/>
              <w:rPr>
                <w:color w:val="auto"/>
                <w:sz w:val="24"/>
                <w:szCs w:val="24"/>
              </w:rPr>
            </w:pPr>
            <w:r>
              <w:rPr>
                <w:color w:val="auto"/>
                <w:sz w:val="24"/>
                <w:szCs w:val="24"/>
              </w:rPr>
              <w:t>其他</w:t>
            </w:r>
          </w:p>
        </w:tc>
        <w:tc>
          <w:tcPr>
            <w:tcW w:w="614" w:type="pct"/>
            <w:shd w:val="clear" w:color="auto" w:fill="auto"/>
            <w:vAlign w:val="center"/>
          </w:tcPr>
          <w:p>
            <w:pPr>
              <w:spacing w:line="240" w:lineRule="auto"/>
              <w:ind w:firstLine="0" w:firstLineChars="0"/>
              <w:jc w:val="center"/>
              <w:rPr>
                <w:color w:val="auto"/>
                <w:sz w:val="24"/>
                <w:szCs w:val="24"/>
              </w:rPr>
            </w:pPr>
            <w:r>
              <w:rPr>
                <w:color w:val="auto"/>
                <w:sz w:val="24"/>
                <w:szCs w:val="24"/>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4386" w:type="pct"/>
            <w:gridSpan w:val="4"/>
            <w:shd w:val="clear" w:color="auto" w:fill="auto"/>
            <w:vAlign w:val="center"/>
          </w:tcPr>
          <w:p>
            <w:pPr>
              <w:spacing w:line="240" w:lineRule="auto"/>
              <w:ind w:firstLine="0" w:firstLineChars="0"/>
              <w:jc w:val="center"/>
              <w:rPr>
                <w:color w:val="auto"/>
                <w:sz w:val="24"/>
                <w:szCs w:val="24"/>
              </w:rPr>
            </w:pPr>
            <w:r>
              <w:rPr>
                <w:color w:val="auto"/>
                <w:sz w:val="24"/>
                <w:szCs w:val="24"/>
              </w:rPr>
              <w:t>合计</w:t>
            </w:r>
          </w:p>
        </w:tc>
        <w:tc>
          <w:tcPr>
            <w:tcW w:w="614" w:type="pct"/>
            <w:shd w:val="clear" w:color="auto" w:fill="auto"/>
            <w:vAlign w:val="center"/>
          </w:tcPr>
          <w:p>
            <w:pPr>
              <w:spacing w:line="240" w:lineRule="auto"/>
              <w:ind w:firstLine="0" w:firstLineChars="0"/>
              <w:jc w:val="center"/>
              <w:rPr>
                <w:color w:val="auto"/>
                <w:sz w:val="24"/>
                <w:szCs w:val="24"/>
              </w:rPr>
            </w:pPr>
            <w:r>
              <w:rPr>
                <w:color w:val="auto"/>
                <w:sz w:val="24"/>
                <w:szCs w:val="24"/>
              </w:rPr>
              <w:t>53</w:t>
            </w:r>
          </w:p>
        </w:tc>
      </w:tr>
      <w:bookmarkEnd w:id="103"/>
    </w:tbl>
    <w:p>
      <w:pPr>
        <w:ind w:firstLine="0" w:firstLineChars="0"/>
        <w:rPr>
          <w:b/>
          <w:bCs/>
          <w:color w:val="auto"/>
        </w:rPr>
      </w:pPr>
      <w:bookmarkStart w:id="104" w:name="_bookmark39"/>
      <w:bookmarkEnd w:id="104"/>
      <w:bookmarkStart w:id="105" w:name="5.1.1园区产业现状"/>
      <w:bookmarkEnd w:id="105"/>
      <w:bookmarkStart w:id="106" w:name="_Toc567"/>
    </w:p>
    <w:p>
      <w:pPr>
        <w:rPr>
          <w:color w:val="auto"/>
        </w:rPr>
      </w:pPr>
    </w:p>
    <w:p>
      <w:pPr>
        <w:rPr>
          <w:color w:val="auto"/>
        </w:rPr>
      </w:pPr>
      <w:r>
        <w:rPr>
          <w:color w:val="auto"/>
        </w:rPr>
        <w:t>对照《产业结构调整目录》（2024年本），本规划对园区现有产业产品进行产业符合性分析，结果如下表所示。</w:t>
      </w:r>
    </w:p>
    <w:p>
      <w:pPr>
        <w:ind w:firstLine="0" w:firstLineChars="0"/>
        <w:jc w:val="center"/>
        <w:rPr>
          <w:b/>
          <w:bCs/>
          <w:color w:val="auto"/>
        </w:rPr>
      </w:pPr>
      <w:r>
        <w:rPr>
          <w:b/>
          <w:bCs/>
          <w:color w:val="auto"/>
        </w:rPr>
        <w:t>表6-2 园区企业产品产业政策符合性</w:t>
      </w:r>
    </w:p>
    <w:tbl>
      <w:tblPr>
        <w:tblStyle w:val="25"/>
        <w:tblW w:w="51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8"/>
        <w:gridCol w:w="2183"/>
        <w:gridCol w:w="3932"/>
        <w:gridCol w:w="20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329"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序号</w:t>
            </w:r>
          </w:p>
        </w:tc>
        <w:tc>
          <w:tcPr>
            <w:tcW w:w="1243"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企业名称</w:t>
            </w:r>
          </w:p>
        </w:tc>
        <w:tc>
          <w:tcPr>
            <w:tcW w:w="2240"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主导产品</w:t>
            </w:r>
          </w:p>
        </w:tc>
        <w:tc>
          <w:tcPr>
            <w:tcW w:w="1187"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产业政策符合性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329"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1</w:t>
            </w:r>
          </w:p>
        </w:tc>
        <w:tc>
          <w:tcPr>
            <w:tcW w:w="1243" w:type="pct"/>
            <w:shd w:val="clear" w:color="auto" w:fill="auto"/>
            <w:vAlign w:val="center"/>
          </w:tcPr>
          <w:p>
            <w:pPr>
              <w:spacing w:line="240" w:lineRule="auto"/>
              <w:ind w:firstLine="0" w:firstLineChars="0"/>
              <w:jc w:val="center"/>
              <w:rPr>
                <w:color w:val="auto"/>
                <w:sz w:val="24"/>
                <w:szCs w:val="24"/>
              </w:rPr>
            </w:pPr>
            <w:r>
              <w:rPr>
                <w:color w:val="auto"/>
                <w:sz w:val="24"/>
                <w:szCs w:val="24"/>
              </w:rPr>
              <w:t>安徽德邦化工有限公司</w:t>
            </w:r>
          </w:p>
        </w:tc>
        <w:tc>
          <w:tcPr>
            <w:tcW w:w="2240" w:type="pct"/>
            <w:shd w:val="clear" w:color="auto" w:fill="auto"/>
            <w:vAlign w:val="center"/>
          </w:tcPr>
          <w:p>
            <w:pPr>
              <w:widowControl/>
              <w:spacing w:line="240" w:lineRule="auto"/>
              <w:ind w:firstLine="0" w:firstLineChars="0"/>
              <w:rPr>
                <w:color w:val="auto"/>
                <w:sz w:val="24"/>
                <w:szCs w:val="24"/>
              </w:rPr>
            </w:pPr>
            <w:r>
              <w:rPr>
                <w:color w:val="auto"/>
                <w:sz w:val="24"/>
                <w:szCs w:val="24"/>
              </w:rPr>
              <w:t>年产60万吨纯碱；</w:t>
            </w:r>
          </w:p>
          <w:p>
            <w:pPr>
              <w:widowControl/>
              <w:spacing w:line="240" w:lineRule="auto"/>
              <w:ind w:firstLine="0" w:firstLineChars="0"/>
              <w:rPr>
                <w:color w:val="auto"/>
                <w:sz w:val="24"/>
                <w:szCs w:val="24"/>
              </w:rPr>
            </w:pPr>
            <w:r>
              <w:rPr>
                <w:color w:val="auto"/>
                <w:sz w:val="24"/>
                <w:szCs w:val="24"/>
              </w:rPr>
              <w:t>年产66万吨氯化铵；</w:t>
            </w:r>
          </w:p>
        </w:tc>
        <w:tc>
          <w:tcPr>
            <w:tcW w:w="1187" w:type="pct"/>
            <w:shd w:val="clear" w:color="auto" w:fill="auto"/>
            <w:vAlign w:val="center"/>
          </w:tcPr>
          <w:p>
            <w:pPr>
              <w:widowControl/>
              <w:spacing w:line="240" w:lineRule="auto"/>
              <w:ind w:firstLine="0" w:firstLineChars="0"/>
              <w:rPr>
                <w:color w:val="auto"/>
                <w:sz w:val="24"/>
                <w:szCs w:val="24"/>
              </w:rPr>
            </w:pPr>
            <w:r>
              <w:rPr>
                <w:color w:val="auto"/>
                <w:sz w:val="24"/>
                <w:szCs w:val="24"/>
              </w:rPr>
              <w:t>纯碱-限制类</w:t>
            </w:r>
          </w:p>
          <w:p>
            <w:pPr>
              <w:widowControl/>
              <w:spacing w:line="240" w:lineRule="auto"/>
              <w:ind w:firstLine="0" w:firstLineChars="0"/>
              <w:rPr>
                <w:color w:val="auto"/>
              </w:rPr>
            </w:pPr>
            <w:r>
              <w:rPr>
                <w:color w:val="auto"/>
                <w:sz w:val="24"/>
                <w:szCs w:val="24"/>
              </w:rPr>
              <w:t>氯化铵-“允许类”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29"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2</w:t>
            </w:r>
          </w:p>
        </w:tc>
        <w:tc>
          <w:tcPr>
            <w:tcW w:w="1243" w:type="pct"/>
            <w:shd w:val="clear" w:color="auto" w:fill="auto"/>
            <w:vAlign w:val="center"/>
          </w:tcPr>
          <w:p>
            <w:pPr>
              <w:spacing w:line="240" w:lineRule="auto"/>
              <w:ind w:firstLine="0" w:firstLineChars="0"/>
              <w:jc w:val="center"/>
              <w:rPr>
                <w:color w:val="auto"/>
                <w:sz w:val="24"/>
                <w:szCs w:val="24"/>
              </w:rPr>
            </w:pPr>
            <w:r>
              <w:rPr>
                <w:color w:val="auto"/>
                <w:sz w:val="24"/>
                <w:szCs w:val="24"/>
              </w:rPr>
              <w:t>国药集团国瑞药业有限公司</w:t>
            </w:r>
          </w:p>
        </w:tc>
        <w:tc>
          <w:tcPr>
            <w:tcW w:w="2240" w:type="pct"/>
            <w:shd w:val="clear" w:color="auto" w:fill="auto"/>
            <w:vAlign w:val="center"/>
          </w:tcPr>
          <w:p>
            <w:pPr>
              <w:widowControl/>
              <w:spacing w:line="240" w:lineRule="auto"/>
              <w:ind w:firstLine="0" w:firstLineChars="0"/>
              <w:rPr>
                <w:color w:val="auto"/>
                <w:sz w:val="24"/>
                <w:szCs w:val="24"/>
              </w:rPr>
            </w:pPr>
            <w:r>
              <w:rPr>
                <w:color w:val="auto"/>
                <w:sz w:val="24"/>
                <w:szCs w:val="24"/>
              </w:rPr>
              <w:t>年产冻干粉针制剂14336.5万支；</w:t>
            </w:r>
          </w:p>
          <w:p>
            <w:pPr>
              <w:widowControl/>
              <w:spacing w:line="240" w:lineRule="auto"/>
              <w:ind w:firstLine="0" w:firstLineChars="0"/>
              <w:rPr>
                <w:color w:val="auto"/>
                <w:sz w:val="24"/>
                <w:szCs w:val="24"/>
              </w:rPr>
            </w:pPr>
            <w:r>
              <w:rPr>
                <w:color w:val="auto"/>
                <w:sz w:val="24"/>
                <w:szCs w:val="24"/>
              </w:rPr>
              <w:t>年产粉针制剂9565.54万支；</w:t>
            </w:r>
          </w:p>
          <w:p>
            <w:pPr>
              <w:widowControl/>
              <w:spacing w:line="240" w:lineRule="auto"/>
              <w:ind w:firstLine="0" w:firstLineChars="0"/>
              <w:rPr>
                <w:color w:val="auto"/>
                <w:sz w:val="24"/>
                <w:szCs w:val="24"/>
              </w:rPr>
            </w:pPr>
            <w:r>
              <w:rPr>
                <w:color w:val="auto"/>
                <w:sz w:val="24"/>
                <w:szCs w:val="24"/>
              </w:rPr>
              <w:t>年产口服固体制剂16485.94万粒；</w:t>
            </w:r>
          </w:p>
          <w:p>
            <w:pPr>
              <w:widowControl/>
              <w:spacing w:line="240" w:lineRule="auto"/>
              <w:ind w:firstLine="0" w:firstLineChars="0"/>
              <w:rPr>
                <w:color w:val="auto"/>
                <w:sz w:val="24"/>
                <w:szCs w:val="24"/>
              </w:rPr>
            </w:pPr>
            <w:r>
              <w:rPr>
                <w:color w:val="auto"/>
                <w:sz w:val="24"/>
                <w:szCs w:val="24"/>
              </w:rPr>
              <w:t>年产小容量注射剂8872.23万支；</w:t>
            </w:r>
          </w:p>
          <w:p>
            <w:pPr>
              <w:widowControl/>
              <w:spacing w:line="240" w:lineRule="auto"/>
              <w:ind w:firstLine="0" w:firstLineChars="0"/>
              <w:rPr>
                <w:color w:val="auto"/>
                <w:sz w:val="24"/>
                <w:szCs w:val="24"/>
              </w:rPr>
            </w:pPr>
            <w:r>
              <w:rPr>
                <w:color w:val="auto"/>
                <w:sz w:val="24"/>
                <w:szCs w:val="24"/>
              </w:rPr>
              <w:t>年产原料药547.14kg；</w:t>
            </w:r>
          </w:p>
        </w:tc>
        <w:tc>
          <w:tcPr>
            <w:tcW w:w="1187" w:type="pct"/>
            <w:shd w:val="clear" w:color="auto" w:fill="auto"/>
            <w:vAlign w:val="center"/>
          </w:tcPr>
          <w:p>
            <w:pPr>
              <w:spacing w:line="240" w:lineRule="auto"/>
              <w:ind w:firstLine="0" w:firstLineChars="0"/>
              <w:jc w:val="center"/>
              <w:rPr>
                <w:color w:val="auto"/>
                <w:sz w:val="24"/>
                <w:szCs w:val="24"/>
              </w:rPr>
            </w:pPr>
            <w:r>
              <w:rPr>
                <w:color w:val="auto"/>
                <w:sz w:val="24"/>
                <w:szCs w:val="24"/>
              </w:rPr>
              <w:t>视为“允许类”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29"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3</w:t>
            </w:r>
          </w:p>
        </w:tc>
        <w:tc>
          <w:tcPr>
            <w:tcW w:w="1243" w:type="pct"/>
            <w:shd w:val="clear" w:color="auto" w:fill="auto"/>
            <w:vAlign w:val="center"/>
          </w:tcPr>
          <w:p>
            <w:pPr>
              <w:spacing w:line="240" w:lineRule="auto"/>
              <w:ind w:firstLine="0" w:firstLineChars="0"/>
              <w:jc w:val="center"/>
              <w:rPr>
                <w:color w:val="auto"/>
                <w:sz w:val="24"/>
                <w:szCs w:val="24"/>
              </w:rPr>
            </w:pPr>
            <w:r>
              <w:rPr>
                <w:color w:val="auto"/>
                <w:sz w:val="24"/>
                <w:szCs w:val="24"/>
              </w:rPr>
              <w:t>恒诚制药集团淮南有限公司</w:t>
            </w:r>
          </w:p>
        </w:tc>
        <w:tc>
          <w:tcPr>
            <w:tcW w:w="2240" w:type="pct"/>
            <w:shd w:val="clear" w:color="auto" w:fill="auto"/>
            <w:vAlign w:val="center"/>
          </w:tcPr>
          <w:p>
            <w:pPr>
              <w:widowControl/>
              <w:spacing w:line="240" w:lineRule="auto"/>
              <w:ind w:firstLine="0" w:firstLineChars="0"/>
              <w:rPr>
                <w:color w:val="auto"/>
                <w:sz w:val="24"/>
                <w:szCs w:val="24"/>
              </w:rPr>
            </w:pPr>
            <w:r>
              <w:rPr>
                <w:color w:val="auto"/>
                <w:sz w:val="24"/>
                <w:szCs w:val="24"/>
              </w:rPr>
              <w:t>年产氯硝柳胺系列产品1000吨；</w:t>
            </w:r>
          </w:p>
          <w:p>
            <w:pPr>
              <w:widowControl/>
              <w:spacing w:line="240" w:lineRule="auto"/>
              <w:ind w:firstLine="0" w:firstLineChars="0"/>
              <w:rPr>
                <w:color w:val="auto"/>
                <w:sz w:val="24"/>
                <w:szCs w:val="24"/>
              </w:rPr>
            </w:pPr>
            <w:r>
              <w:rPr>
                <w:color w:val="auto"/>
                <w:sz w:val="24"/>
                <w:szCs w:val="24"/>
              </w:rPr>
              <w:t>年产口服固体制剂1.2亿片；</w:t>
            </w:r>
          </w:p>
        </w:tc>
        <w:tc>
          <w:tcPr>
            <w:tcW w:w="1187" w:type="pct"/>
            <w:shd w:val="clear" w:color="auto" w:fill="auto"/>
            <w:vAlign w:val="center"/>
          </w:tcPr>
          <w:p>
            <w:pPr>
              <w:spacing w:line="240" w:lineRule="auto"/>
              <w:ind w:firstLine="0" w:firstLineChars="0"/>
              <w:jc w:val="center"/>
              <w:rPr>
                <w:color w:val="auto"/>
                <w:sz w:val="24"/>
                <w:szCs w:val="24"/>
              </w:rPr>
            </w:pPr>
            <w:r>
              <w:rPr>
                <w:color w:val="auto"/>
                <w:sz w:val="24"/>
                <w:szCs w:val="24"/>
              </w:rPr>
              <w:t>视为“允许类”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329"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4</w:t>
            </w:r>
          </w:p>
        </w:tc>
        <w:tc>
          <w:tcPr>
            <w:tcW w:w="1243" w:type="pct"/>
            <w:shd w:val="clear" w:color="auto" w:fill="auto"/>
            <w:vAlign w:val="center"/>
          </w:tcPr>
          <w:p>
            <w:pPr>
              <w:spacing w:line="240" w:lineRule="auto"/>
              <w:ind w:firstLine="0" w:firstLineChars="0"/>
              <w:jc w:val="center"/>
              <w:rPr>
                <w:color w:val="auto"/>
                <w:sz w:val="24"/>
                <w:szCs w:val="24"/>
              </w:rPr>
            </w:pPr>
            <w:r>
              <w:rPr>
                <w:color w:val="auto"/>
                <w:sz w:val="24"/>
                <w:szCs w:val="24"/>
              </w:rPr>
              <w:t>安徽森吉制药有限公司</w:t>
            </w:r>
          </w:p>
        </w:tc>
        <w:tc>
          <w:tcPr>
            <w:tcW w:w="2240" w:type="pct"/>
            <w:shd w:val="clear" w:color="auto" w:fill="auto"/>
            <w:vAlign w:val="center"/>
          </w:tcPr>
          <w:p>
            <w:pPr>
              <w:widowControl/>
              <w:spacing w:line="240" w:lineRule="auto"/>
              <w:ind w:firstLine="0" w:firstLineChars="0"/>
              <w:rPr>
                <w:color w:val="auto"/>
                <w:sz w:val="24"/>
                <w:szCs w:val="24"/>
              </w:rPr>
            </w:pPr>
            <w:r>
              <w:rPr>
                <w:color w:val="auto"/>
                <w:sz w:val="24"/>
                <w:szCs w:val="24"/>
              </w:rPr>
              <w:t>年产75吨/年依帕列净；</w:t>
            </w:r>
          </w:p>
          <w:p>
            <w:pPr>
              <w:widowControl/>
              <w:spacing w:line="240" w:lineRule="auto"/>
              <w:ind w:firstLine="0" w:firstLineChars="0"/>
              <w:rPr>
                <w:color w:val="auto"/>
                <w:sz w:val="24"/>
                <w:szCs w:val="24"/>
              </w:rPr>
            </w:pPr>
            <w:r>
              <w:rPr>
                <w:color w:val="auto"/>
                <w:sz w:val="24"/>
                <w:szCs w:val="24"/>
              </w:rPr>
              <w:t>年产75吨/年达格列净；</w:t>
            </w:r>
          </w:p>
          <w:p>
            <w:pPr>
              <w:widowControl/>
              <w:spacing w:line="240" w:lineRule="auto"/>
              <w:ind w:firstLine="0" w:firstLineChars="0"/>
              <w:rPr>
                <w:color w:val="auto"/>
                <w:sz w:val="24"/>
                <w:szCs w:val="24"/>
              </w:rPr>
            </w:pPr>
            <w:r>
              <w:rPr>
                <w:color w:val="auto"/>
                <w:sz w:val="24"/>
                <w:szCs w:val="24"/>
              </w:rPr>
              <w:t>年产60吨/年卡格列净；</w:t>
            </w:r>
          </w:p>
          <w:p>
            <w:pPr>
              <w:widowControl/>
              <w:spacing w:line="240" w:lineRule="auto"/>
              <w:ind w:firstLine="0" w:firstLineChars="0"/>
              <w:rPr>
                <w:color w:val="auto"/>
                <w:sz w:val="24"/>
                <w:szCs w:val="24"/>
              </w:rPr>
            </w:pPr>
            <w:r>
              <w:rPr>
                <w:color w:val="auto"/>
                <w:sz w:val="24"/>
                <w:szCs w:val="24"/>
              </w:rPr>
              <w:t>年产20吨/年利伐沙班；</w:t>
            </w:r>
          </w:p>
          <w:p>
            <w:pPr>
              <w:widowControl/>
              <w:spacing w:line="240" w:lineRule="auto"/>
              <w:ind w:firstLine="0" w:firstLineChars="0"/>
              <w:rPr>
                <w:color w:val="auto"/>
                <w:sz w:val="24"/>
                <w:szCs w:val="24"/>
              </w:rPr>
            </w:pPr>
            <w:r>
              <w:rPr>
                <w:color w:val="auto"/>
                <w:sz w:val="24"/>
                <w:szCs w:val="24"/>
              </w:rPr>
              <w:t>年产4吨/年瑞格列奈；</w:t>
            </w:r>
          </w:p>
          <w:p>
            <w:pPr>
              <w:widowControl/>
              <w:spacing w:line="240" w:lineRule="auto"/>
              <w:ind w:firstLine="0" w:firstLineChars="0"/>
              <w:rPr>
                <w:color w:val="auto"/>
                <w:sz w:val="24"/>
                <w:szCs w:val="24"/>
              </w:rPr>
            </w:pPr>
            <w:r>
              <w:rPr>
                <w:color w:val="auto"/>
                <w:sz w:val="24"/>
                <w:szCs w:val="24"/>
              </w:rPr>
              <w:t>年产20吨/年巴瑞替尼；</w:t>
            </w:r>
          </w:p>
        </w:tc>
        <w:tc>
          <w:tcPr>
            <w:tcW w:w="1187" w:type="pct"/>
            <w:shd w:val="clear" w:color="auto" w:fill="auto"/>
            <w:vAlign w:val="center"/>
          </w:tcPr>
          <w:p>
            <w:pPr>
              <w:widowControl/>
              <w:spacing w:line="240" w:lineRule="auto"/>
              <w:ind w:firstLine="0" w:firstLineChars="0"/>
              <w:jc w:val="center"/>
              <w:rPr>
                <w:color w:val="auto"/>
                <w:sz w:val="24"/>
                <w:szCs w:val="24"/>
              </w:rPr>
            </w:pPr>
            <w:r>
              <w:rPr>
                <w:color w:val="auto"/>
                <w:sz w:val="24"/>
                <w:szCs w:val="24"/>
              </w:rPr>
              <w:t>视为“允许类”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329"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5</w:t>
            </w:r>
          </w:p>
        </w:tc>
        <w:tc>
          <w:tcPr>
            <w:tcW w:w="1243" w:type="pct"/>
            <w:shd w:val="clear" w:color="auto" w:fill="auto"/>
            <w:vAlign w:val="center"/>
          </w:tcPr>
          <w:p>
            <w:pPr>
              <w:spacing w:line="240" w:lineRule="auto"/>
              <w:ind w:firstLine="0" w:firstLineChars="0"/>
              <w:jc w:val="center"/>
              <w:rPr>
                <w:color w:val="auto"/>
                <w:sz w:val="24"/>
                <w:szCs w:val="24"/>
              </w:rPr>
            </w:pPr>
            <w:r>
              <w:rPr>
                <w:color w:val="auto"/>
                <w:sz w:val="24"/>
                <w:szCs w:val="24"/>
              </w:rPr>
              <w:t>安徽山河药用辅料股份有限公司</w:t>
            </w:r>
          </w:p>
        </w:tc>
        <w:tc>
          <w:tcPr>
            <w:tcW w:w="2240" w:type="pct"/>
            <w:shd w:val="clear" w:color="auto" w:fill="auto"/>
            <w:vAlign w:val="center"/>
          </w:tcPr>
          <w:p>
            <w:pPr>
              <w:widowControl/>
              <w:spacing w:line="240" w:lineRule="auto"/>
              <w:ind w:firstLine="0" w:firstLineChars="0"/>
              <w:rPr>
                <w:color w:val="auto"/>
                <w:sz w:val="24"/>
                <w:szCs w:val="24"/>
              </w:rPr>
            </w:pPr>
            <w:r>
              <w:rPr>
                <w:color w:val="auto"/>
                <w:sz w:val="24"/>
                <w:szCs w:val="24"/>
              </w:rPr>
              <w:t>年产5000吨/年微晶纤维素；</w:t>
            </w:r>
          </w:p>
          <w:p>
            <w:pPr>
              <w:widowControl/>
              <w:spacing w:line="240" w:lineRule="auto"/>
              <w:ind w:firstLine="0" w:firstLineChars="0"/>
              <w:rPr>
                <w:color w:val="auto"/>
                <w:sz w:val="24"/>
                <w:szCs w:val="24"/>
              </w:rPr>
            </w:pPr>
            <w:r>
              <w:rPr>
                <w:color w:val="auto"/>
                <w:sz w:val="24"/>
                <w:szCs w:val="24"/>
              </w:rPr>
              <w:t>年产200吨/年硬脂富马酸钠；</w:t>
            </w:r>
          </w:p>
          <w:p>
            <w:pPr>
              <w:widowControl/>
              <w:spacing w:line="240" w:lineRule="auto"/>
              <w:ind w:firstLine="0" w:firstLineChars="0"/>
              <w:rPr>
                <w:color w:val="auto"/>
                <w:sz w:val="24"/>
                <w:szCs w:val="24"/>
              </w:rPr>
            </w:pPr>
            <w:r>
              <w:rPr>
                <w:color w:val="auto"/>
                <w:sz w:val="24"/>
                <w:szCs w:val="24"/>
              </w:rPr>
              <w:t>年产500吨/年交联羧甲纤维素钠；</w:t>
            </w:r>
          </w:p>
          <w:p>
            <w:pPr>
              <w:widowControl/>
              <w:spacing w:line="240" w:lineRule="auto"/>
              <w:ind w:firstLine="0" w:firstLineChars="0"/>
              <w:rPr>
                <w:color w:val="auto"/>
                <w:sz w:val="24"/>
                <w:szCs w:val="24"/>
              </w:rPr>
            </w:pPr>
            <w:r>
              <w:rPr>
                <w:color w:val="auto"/>
                <w:sz w:val="24"/>
                <w:szCs w:val="24"/>
              </w:rPr>
              <w:t>年产2800吨/年羟丙甲纤维素；</w:t>
            </w:r>
          </w:p>
          <w:p>
            <w:pPr>
              <w:widowControl/>
              <w:spacing w:line="240" w:lineRule="auto"/>
              <w:ind w:firstLine="0" w:firstLineChars="0"/>
              <w:rPr>
                <w:color w:val="auto"/>
                <w:sz w:val="24"/>
                <w:szCs w:val="24"/>
              </w:rPr>
            </w:pPr>
            <w:r>
              <w:rPr>
                <w:color w:val="auto"/>
                <w:sz w:val="24"/>
                <w:szCs w:val="24"/>
              </w:rPr>
              <w:t>年产500吨/年交联聚维酮；</w:t>
            </w:r>
          </w:p>
        </w:tc>
        <w:tc>
          <w:tcPr>
            <w:tcW w:w="1187" w:type="pct"/>
            <w:shd w:val="clear" w:color="auto" w:fill="auto"/>
            <w:vAlign w:val="center"/>
          </w:tcPr>
          <w:p>
            <w:pPr>
              <w:spacing w:line="240" w:lineRule="auto"/>
              <w:ind w:firstLine="0" w:firstLineChars="0"/>
              <w:jc w:val="center"/>
              <w:rPr>
                <w:color w:val="auto"/>
                <w:sz w:val="24"/>
                <w:szCs w:val="24"/>
              </w:rPr>
            </w:pPr>
            <w:r>
              <w:rPr>
                <w:color w:val="auto"/>
                <w:sz w:val="24"/>
                <w:szCs w:val="24"/>
              </w:rPr>
              <w:t>视为“允许类”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29"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6</w:t>
            </w:r>
          </w:p>
        </w:tc>
        <w:tc>
          <w:tcPr>
            <w:tcW w:w="1243" w:type="pct"/>
            <w:shd w:val="clear" w:color="auto" w:fill="auto"/>
            <w:vAlign w:val="center"/>
          </w:tcPr>
          <w:p>
            <w:pPr>
              <w:spacing w:line="240" w:lineRule="auto"/>
              <w:ind w:firstLine="0" w:firstLineChars="0"/>
              <w:jc w:val="center"/>
              <w:rPr>
                <w:color w:val="auto"/>
                <w:sz w:val="24"/>
                <w:szCs w:val="24"/>
              </w:rPr>
            </w:pPr>
            <w:r>
              <w:rPr>
                <w:color w:val="auto"/>
                <w:sz w:val="24"/>
                <w:szCs w:val="24"/>
              </w:rPr>
              <w:t>安徽水卫士环保科技有限公司</w:t>
            </w:r>
          </w:p>
        </w:tc>
        <w:tc>
          <w:tcPr>
            <w:tcW w:w="2240" w:type="pct"/>
            <w:shd w:val="clear" w:color="auto" w:fill="auto"/>
            <w:vAlign w:val="center"/>
          </w:tcPr>
          <w:p>
            <w:pPr>
              <w:widowControl/>
              <w:spacing w:line="240" w:lineRule="auto"/>
              <w:ind w:firstLine="0" w:firstLineChars="0"/>
              <w:rPr>
                <w:color w:val="auto"/>
                <w:sz w:val="24"/>
                <w:szCs w:val="24"/>
              </w:rPr>
            </w:pPr>
            <w:r>
              <w:rPr>
                <w:color w:val="auto"/>
                <w:sz w:val="24"/>
                <w:szCs w:val="24"/>
              </w:rPr>
              <w:t>年产2360吨/年阻垢缓蚀剂；</w:t>
            </w:r>
          </w:p>
          <w:p>
            <w:pPr>
              <w:widowControl/>
              <w:spacing w:line="240" w:lineRule="auto"/>
              <w:ind w:firstLine="0" w:firstLineChars="0"/>
              <w:rPr>
                <w:color w:val="auto"/>
                <w:sz w:val="24"/>
                <w:szCs w:val="24"/>
              </w:rPr>
            </w:pPr>
            <w:r>
              <w:rPr>
                <w:color w:val="auto"/>
                <w:sz w:val="24"/>
                <w:szCs w:val="24"/>
              </w:rPr>
              <w:t>年产980吨/年阻垢分散剂；</w:t>
            </w:r>
          </w:p>
        </w:tc>
        <w:tc>
          <w:tcPr>
            <w:tcW w:w="1187" w:type="pct"/>
            <w:shd w:val="clear" w:color="auto" w:fill="auto"/>
            <w:vAlign w:val="center"/>
          </w:tcPr>
          <w:p>
            <w:pPr>
              <w:spacing w:line="240" w:lineRule="auto"/>
              <w:ind w:firstLine="0" w:firstLineChars="0"/>
              <w:jc w:val="center"/>
              <w:rPr>
                <w:color w:val="auto"/>
                <w:sz w:val="24"/>
                <w:szCs w:val="24"/>
              </w:rPr>
            </w:pPr>
            <w:r>
              <w:rPr>
                <w:color w:val="auto"/>
                <w:sz w:val="24"/>
                <w:szCs w:val="24"/>
              </w:rPr>
              <w:t>停产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329"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7</w:t>
            </w:r>
          </w:p>
        </w:tc>
        <w:tc>
          <w:tcPr>
            <w:tcW w:w="1243" w:type="pct"/>
            <w:shd w:val="clear" w:color="auto" w:fill="auto"/>
            <w:vAlign w:val="center"/>
          </w:tcPr>
          <w:p>
            <w:pPr>
              <w:spacing w:line="240" w:lineRule="auto"/>
              <w:ind w:firstLine="0" w:firstLineChars="0"/>
              <w:jc w:val="center"/>
              <w:rPr>
                <w:color w:val="auto"/>
                <w:sz w:val="24"/>
                <w:szCs w:val="24"/>
              </w:rPr>
            </w:pPr>
            <w:r>
              <w:rPr>
                <w:color w:val="auto"/>
                <w:sz w:val="24"/>
                <w:szCs w:val="24"/>
              </w:rPr>
              <w:t>淮南市欧洁环保科技有限公司</w:t>
            </w:r>
          </w:p>
        </w:tc>
        <w:tc>
          <w:tcPr>
            <w:tcW w:w="2240" w:type="pct"/>
            <w:shd w:val="clear" w:color="auto" w:fill="auto"/>
            <w:vAlign w:val="center"/>
          </w:tcPr>
          <w:p>
            <w:pPr>
              <w:widowControl/>
              <w:spacing w:line="240" w:lineRule="auto"/>
              <w:ind w:firstLine="0" w:firstLineChars="0"/>
              <w:rPr>
                <w:color w:val="auto"/>
                <w:sz w:val="24"/>
                <w:szCs w:val="24"/>
              </w:rPr>
            </w:pPr>
            <w:r>
              <w:rPr>
                <w:color w:val="auto"/>
                <w:sz w:val="24"/>
                <w:szCs w:val="24"/>
              </w:rPr>
              <w:t>3 万吨/年车用尾气处理液</w:t>
            </w:r>
          </w:p>
        </w:tc>
        <w:tc>
          <w:tcPr>
            <w:tcW w:w="1187" w:type="pct"/>
            <w:shd w:val="clear" w:color="auto" w:fill="auto"/>
            <w:vAlign w:val="center"/>
          </w:tcPr>
          <w:p>
            <w:pPr>
              <w:spacing w:line="240" w:lineRule="auto"/>
              <w:ind w:firstLine="0" w:firstLineChars="0"/>
              <w:jc w:val="center"/>
              <w:rPr>
                <w:b/>
                <w:bCs/>
                <w:color w:val="auto"/>
                <w:sz w:val="24"/>
                <w:szCs w:val="24"/>
                <w:lang w:bidi="ar-SA"/>
              </w:rPr>
            </w:pPr>
            <w:r>
              <w:rPr>
                <w:color w:val="auto"/>
                <w:sz w:val="24"/>
                <w:szCs w:val="24"/>
              </w:rPr>
              <w:t>视为“允许类”</w:t>
            </w:r>
          </w:p>
        </w:tc>
      </w:tr>
    </w:tbl>
    <w:p>
      <w:pPr>
        <w:rPr>
          <w:color w:val="auto"/>
        </w:rPr>
      </w:pPr>
      <w:r>
        <w:rPr>
          <w:color w:val="auto"/>
        </w:rPr>
        <w:t>（1）安徽德邦化工有限公司</w:t>
      </w:r>
    </w:p>
    <w:p>
      <w:pPr>
        <w:rPr>
          <w:color w:val="auto"/>
        </w:rPr>
      </w:pPr>
      <w:r>
        <w:rPr>
          <w:color w:val="auto"/>
        </w:rPr>
        <w:t>安徽德邦化工有限公司主要产品为年产60万吨纯碱、年产66万吨氯化铵。</w:t>
      </w:r>
    </w:p>
    <w:p>
      <w:pPr>
        <w:rPr>
          <w:color w:val="auto"/>
        </w:rPr>
      </w:pPr>
      <w:r>
        <w:rPr>
          <w:color w:val="auto"/>
        </w:rPr>
        <w:t>产品主要用途：纯碱可用于玻璃行业、化工行业、轻工与印染行业、食品加工业、陶瓷工业等其他工业制造。氯化铵可以作为用于肥料行业、电池领域及医药、电镀等其他工业领域。</w:t>
      </w:r>
    </w:p>
    <w:p>
      <w:pPr>
        <w:rPr>
          <w:color w:val="auto"/>
        </w:rPr>
      </w:pPr>
      <w:r>
        <w:rPr>
          <w:color w:val="auto"/>
        </w:rPr>
        <w:t>企业主要使用的原料是甲醇、液氨、氢气、液态二氧化碳、水煤气、硫磺、氧气、氮气、氨水等。</w:t>
      </w:r>
    </w:p>
    <w:p>
      <w:pPr>
        <w:rPr>
          <w:color w:val="auto"/>
        </w:rPr>
      </w:pPr>
      <w:r>
        <w:rPr>
          <w:color w:val="auto"/>
        </w:rPr>
        <w:t>（2）国药集团国瑞药业有限公司</w:t>
      </w:r>
    </w:p>
    <w:p>
      <w:pPr>
        <w:rPr>
          <w:color w:val="auto"/>
        </w:rPr>
      </w:pPr>
      <w:r>
        <w:rPr>
          <w:color w:val="auto"/>
        </w:rPr>
        <w:t>国药集团国瑞药业有限公司主要产品为年产冻干粉针制剂14336.5万支、年产粉针制剂9565.54万支、年产口服固体制剂16485.94万粒、年产小容量注射剂8872.23万支、年产原料药547.14kg。</w:t>
      </w:r>
    </w:p>
    <w:p>
      <w:pPr>
        <w:rPr>
          <w:color w:val="auto"/>
        </w:rPr>
      </w:pPr>
      <w:r>
        <w:rPr>
          <w:color w:val="auto"/>
        </w:rPr>
        <w:t>产品主要用途：国药集团生产的产品多用于医药领域和成品药生产。企业主要使用的原料是</w:t>
      </w:r>
      <w:r>
        <w:rPr>
          <w:color w:val="auto"/>
          <w:szCs w:val="21"/>
        </w:rPr>
        <w:t>四氢呋喃、氢氧化钠、丙酮、乙酸酐、盐酸、三氯甲烷、乙醇、黄色氧化汞、溴乙酸乙酯、三氯化磷、原甲酸三乙酯、氯化汞、乙酸汞、叠氮化钠、苯肼、三氧化二砷、硫酸、N,N-二甲基甲酰胺、氨水、甲醇、N,N-二异丙基乙胺、邻苯二甲酰亚胺、二氯甲烷、氯化亚砜、正庚烷、异丙醇、氢气、氧气、乙酸乙酯、液氮、甲苯、硼氢化钠、4-甲基吡啶、硫磺、乙酸、磷酸、三乙胺等。</w:t>
      </w:r>
    </w:p>
    <w:p>
      <w:pPr>
        <w:rPr>
          <w:color w:val="auto"/>
        </w:rPr>
      </w:pPr>
      <w:r>
        <w:rPr>
          <w:color w:val="auto"/>
        </w:rPr>
        <w:t>（</w:t>
      </w:r>
      <w:r>
        <w:rPr>
          <w:color w:val="auto"/>
          <w:szCs w:val="21"/>
        </w:rPr>
        <w:t>3）恒诚制药集团淮南有限公司</w:t>
      </w:r>
    </w:p>
    <w:p>
      <w:pPr>
        <w:rPr>
          <w:color w:val="auto"/>
          <w:szCs w:val="21"/>
        </w:rPr>
      </w:pPr>
      <w:r>
        <w:rPr>
          <w:color w:val="auto"/>
          <w:szCs w:val="21"/>
        </w:rPr>
        <w:t>恒诚制药集团淮南有限公司主要产品为年产氯硝柳胺系列产品1000吨、年产口服固体制剂1.2亿片。</w:t>
      </w:r>
    </w:p>
    <w:p>
      <w:pPr>
        <w:rPr>
          <w:color w:val="auto"/>
        </w:rPr>
      </w:pPr>
      <w:r>
        <w:rPr>
          <w:color w:val="auto"/>
        </w:rPr>
        <w:t>产品主要用途：</w:t>
      </w:r>
      <w:r>
        <w:rPr>
          <w:color w:val="auto"/>
          <w:szCs w:val="21"/>
        </w:rPr>
        <w:t>恒诚制药集团淮南有限公司</w:t>
      </w:r>
      <w:r>
        <w:rPr>
          <w:color w:val="auto"/>
        </w:rPr>
        <w:t>产品多用于医药领域。企业主要使用的原料是</w:t>
      </w:r>
      <w:r>
        <w:rPr>
          <w:color w:val="auto"/>
          <w:szCs w:val="21"/>
        </w:rPr>
        <w:t>2-氯-4-硝基苯胺、</w:t>
      </w:r>
      <w:r>
        <w:rPr>
          <w:color w:val="auto"/>
        </w:rPr>
        <w:t>氯化亚砜、</w:t>
      </w:r>
      <w:r>
        <w:rPr>
          <w:color w:val="auto"/>
          <w:szCs w:val="21"/>
        </w:rPr>
        <w:t>甲苯、甲醇、</w:t>
      </w:r>
      <w:r>
        <w:rPr>
          <w:color w:val="auto"/>
        </w:rPr>
        <w:t>一乙醇胺、</w:t>
      </w:r>
      <w:r>
        <w:rPr>
          <w:color w:val="auto"/>
          <w:szCs w:val="21"/>
        </w:rPr>
        <w:t>无水哌嗪、液碱、乙醇、氮等。</w:t>
      </w:r>
    </w:p>
    <w:p>
      <w:pPr>
        <w:rPr>
          <w:color w:val="auto"/>
        </w:rPr>
      </w:pPr>
      <w:r>
        <w:rPr>
          <w:color w:val="auto"/>
        </w:rPr>
        <w:t>（</w:t>
      </w:r>
      <w:r>
        <w:rPr>
          <w:color w:val="auto"/>
          <w:szCs w:val="21"/>
        </w:rPr>
        <w:t>4）安徽森吉制药有限公司</w:t>
      </w:r>
    </w:p>
    <w:p>
      <w:pPr>
        <w:rPr>
          <w:color w:val="auto"/>
          <w:szCs w:val="21"/>
        </w:rPr>
      </w:pPr>
      <w:r>
        <w:rPr>
          <w:color w:val="auto"/>
          <w:szCs w:val="21"/>
        </w:rPr>
        <w:t>安徽森吉制药有限公司主要产品为年产75吨/年依帕列净、年产75吨/年达格列净、年产60吨/年卡格列净、年产20吨/年利伐沙班、年产4吨/年瑞格列奈、年产20吨/年巴瑞替尼。</w:t>
      </w:r>
    </w:p>
    <w:p>
      <w:pPr>
        <w:rPr>
          <w:color w:val="auto"/>
          <w:szCs w:val="21"/>
        </w:rPr>
      </w:pPr>
      <w:r>
        <w:rPr>
          <w:color w:val="auto"/>
          <w:szCs w:val="21"/>
        </w:rPr>
        <w:t>产品主要用途：安徽森吉制药有限公司产品多用于医药领域。</w:t>
      </w:r>
    </w:p>
    <w:p>
      <w:pPr>
        <w:rPr>
          <w:color w:val="auto"/>
          <w:szCs w:val="21"/>
        </w:rPr>
      </w:pPr>
      <w:r>
        <w:rPr>
          <w:color w:val="auto"/>
        </w:rPr>
        <w:t>企业主要使用的原料是</w:t>
      </w:r>
      <w:r>
        <w:rPr>
          <w:color w:val="auto"/>
          <w:szCs w:val="21"/>
        </w:rPr>
        <w:t>N,N-二甲基甲酰胺（DMF）、乙醇、三乙基硅烷、四氢呋喃、正庚烷、甲醇、乙酸乙酯、乙腈、正己烷、异丙醇、二氯甲烷、三甲基氯硅烷、三氟化硼乙醚溶液、氯化亚砜、甲磺酸、N-甲基吗啉、氨水、甲苯、醋酐、氢氧化钠等。</w:t>
      </w:r>
    </w:p>
    <w:p>
      <w:pPr>
        <w:rPr>
          <w:color w:val="auto"/>
        </w:rPr>
      </w:pPr>
      <w:r>
        <w:rPr>
          <w:color w:val="auto"/>
        </w:rPr>
        <w:t>（</w:t>
      </w:r>
      <w:r>
        <w:rPr>
          <w:color w:val="auto"/>
          <w:szCs w:val="21"/>
        </w:rPr>
        <w:t>5）安徽山河药用辅料股份有限公司</w:t>
      </w:r>
    </w:p>
    <w:p>
      <w:pPr>
        <w:rPr>
          <w:color w:val="auto"/>
        </w:rPr>
      </w:pPr>
      <w:bookmarkStart w:id="107" w:name="OLE_LINK3"/>
      <w:r>
        <w:rPr>
          <w:color w:val="auto"/>
          <w:szCs w:val="21"/>
        </w:rPr>
        <w:t>安徽山河药用辅料股份有限公司</w:t>
      </w:r>
      <w:bookmarkEnd w:id="107"/>
      <w:r>
        <w:rPr>
          <w:color w:val="auto"/>
          <w:szCs w:val="21"/>
        </w:rPr>
        <w:t>主要产品为</w:t>
      </w:r>
      <w:bookmarkStart w:id="108" w:name="OLE_LINK4"/>
      <w:r>
        <w:rPr>
          <w:color w:val="auto"/>
          <w:szCs w:val="21"/>
        </w:rPr>
        <w:t>年产5000吨/年微晶纤维素、年产200吨/年硬脂富马酸钠、年产500吨/年交联羧甲纤维素钠、年产2800吨/年羟丙甲纤维素、年产500吨/年交联聚维酮。</w:t>
      </w:r>
      <w:bookmarkEnd w:id="108"/>
    </w:p>
    <w:p>
      <w:pPr>
        <w:rPr>
          <w:color w:val="auto"/>
          <w:szCs w:val="21"/>
        </w:rPr>
      </w:pPr>
      <w:r>
        <w:rPr>
          <w:color w:val="auto"/>
          <w:szCs w:val="21"/>
        </w:rPr>
        <w:t>产品主要用途：安徽山河药用辅料股份有限公司产品多用于医药领域。</w:t>
      </w:r>
    </w:p>
    <w:p>
      <w:pPr>
        <w:rPr>
          <w:color w:val="auto"/>
          <w:szCs w:val="21"/>
        </w:rPr>
      </w:pPr>
      <w:r>
        <w:rPr>
          <w:color w:val="auto"/>
        </w:rPr>
        <w:t>企业主要使用的原料是：</w:t>
      </w:r>
      <w:r>
        <w:rPr>
          <w:color w:val="auto"/>
          <w:szCs w:val="21"/>
        </w:rPr>
        <w:t>氯甲烷、环氧丙烷、甲苯、乙醇、异丙醇、马来酸酐、盐酸、硫酸、氢氧化钠、过氧化氢溶液、硫脲、次氯酸钠溶液、氮。</w:t>
      </w:r>
    </w:p>
    <w:p>
      <w:pPr>
        <w:rPr>
          <w:color w:val="auto"/>
          <w:szCs w:val="21"/>
        </w:rPr>
      </w:pPr>
      <w:r>
        <w:rPr>
          <w:color w:val="auto"/>
          <w:szCs w:val="21"/>
        </w:rPr>
        <w:t>（6）安徽水卫士环保科技有限公司（目前已停产）</w:t>
      </w:r>
    </w:p>
    <w:p>
      <w:pPr>
        <w:rPr>
          <w:color w:val="auto"/>
          <w:szCs w:val="21"/>
        </w:rPr>
      </w:pPr>
      <w:r>
        <w:rPr>
          <w:color w:val="auto"/>
          <w:szCs w:val="21"/>
        </w:rPr>
        <w:t>安徽水卫士环保科技有限公司主要产品为年产2360吨/年阻垢缓蚀剂、年产980吨/年阻垢分散剂。</w:t>
      </w:r>
    </w:p>
    <w:p>
      <w:pPr>
        <w:rPr>
          <w:color w:val="auto"/>
          <w:szCs w:val="21"/>
        </w:rPr>
      </w:pPr>
      <w:r>
        <w:rPr>
          <w:color w:val="auto"/>
          <w:szCs w:val="21"/>
        </w:rPr>
        <w:t>产品主要用途：阻垢缓蚀剂和阻垢分散剂可以用于电力行业锅炉水除垢、油气行业管道除垢、造纸行业水除垢以及其他城市、工业供水和污水处理工程等工程。</w:t>
      </w:r>
    </w:p>
    <w:p>
      <w:pPr>
        <w:rPr>
          <w:color w:val="auto"/>
          <w:szCs w:val="21"/>
        </w:rPr>
      </w:pPr>
      <w:r>
        <w:rPr>
          <w:color w:val="auto"/>
          <w:szCs w:val="21"/>
        </w:rPr>
        <w:t>企业主要使用的原料是氢氧化钠。</w:t>
      </w:r>
    </w:p>
    <w:p>
      <w:pPr>
        <w:rPr>
          <w:color w:val="auto"/>
          <w:szCs w:val="21"/>
        </w:rPr>
      </w:pPr>
      <w:r>
        <w:rPr>
          <w:color w:val="auto"/>
          <w:szCs w:val="21"/>
        </w:rPr>
        <w:t>（7）淮南市欧洁环保科技有限公司</w:t>
      </w:r>
    </w:p>
    <w:p>
      <w:pPr>
        <w:rPr>
          <w:color w:val="auto"/>
          <w:szCs w:val="21"/>
        </w:rPr>
      </w:pPr>
      <w:r>
        <w:rPr>
          <w:color w:val="auto"/>
          <w:szCs w:val="21"/>
        </w:rPr>
        <w:t>淮南市欧洁环保科技有限公司主要产品为3 万吨/年车用尾气处理液，其主要功能属于环境处理药剂。</w:t>
      </w:r>
    </w:p>
    <w:p>
      <w:pPr>
        <w:rPr>
          <w:color w:val="auto"/>
          <w:szCs w:val="21"/>
        </w:rPr>
      </w:pPr>
      <w:r>
        <w:rPr>
          <w:color w:val="auto"/>
          <w:szCs w:val="21"/>
        </w:rPr>
        <w:t>企业主要使用的原料是氢氧化钠。</w:t>
      </w:r>
    </w:p>
    <w:p>
      <w:pPr>
        <w:rPr>
          <w:color w:val="auto"/>
          <w:szCs w:val="21"/>
        </w:rPr>
      </w:pPr>
      <w:r>
        <w:rPr>
          <w:color w:val="auto"/>
          <w:szCs w:val="21"/>
        </w:rPr>
        <w:t>淮南市欧洁环保科技有限公司目前是园区已有企业，但其与主导产业略不相符，园区及企业下一步应考虑更换与园区主导产业相符或与主导产业链相关的产品生产。</w:t>
      </w:r>
    </w:p>
    <w:bookmarkEnd w:id="106"/>
    <w:p>
      <w:pPr>
        <w:pStyle w:val="3"/>
        <w:rPr>
          <w:color w:val="auto"/>
          <w:lang w:bidi="ar-SA"/>
        </w:rPr>
      </w:pPr>
      <w:bookmarkStart w:id="109" w:name="_Toc192757695"/>
      <w:bookmarkStart w:id="110" w:name="_Toc1243"/>
      <w:bookmarkStart w:id="111" w:name="_Toc46149448"/>
      <w:bookmarkStart w:id="112" w:name="_Toc46153285"/>
      <w:bookmarkStart w:id="113" w:name="_Toc46152645"/>
      <w:bookmarkStart w:id="114" w:name="_Toc12315"/>
      <w:r>
        <w:rPr>
          <w:color w:val="auto"/>
          <w:lang w:bidi="ar-SA"/>
        </w:rPr>
        <w:t>6.2 在建项目情况</w:t>
      </w:r>
      <w:bookmarkEnd w:id="109"/>
      <w:bookmarkEnd w:id="110"/>
    </w:p>
    <w:p>
      <w:pPr>
        <w:rPr>
          <w:color w:val="auto"/>
        </w:rPr>
      </w:pPr>
      <w:r>
        <w:rPr>
          <w:color w:val="auto"/>
        </w:rPr>
        <w:t>（1）淮南锦德生物科技有限公司</w:t>
      </w:r>
    </w:p>
    <w:p>
      <w:pPr>
        <w:rPr>
          <w:color w:val="auto"/>
        </w:rPr>
      </w:pPr>
      <w:r>
        <w:rPr>
          <w:color w:val="auto"/>
        </w:rPr>
        <w:t>淮南锦德生物科技有限公司目前在建4800吨/年三苯基膦系列产品，属于精细化工（医药）产业。</w:t>
      </w:r>
    </w:p>
    <w:p>
      <w:pPr>
        <w:rPr>
          <w:color w:val="auto"/>
        </w:rPr>
      </w:pPr>
      <w:r>
        <w:rPr>
          <w:color w:val="auto"/>
        </w:rPr>
        <w:t>三苯基膦在医药行业主要用于合成头孢素类抗生素的重要中间体，还可以合成抗癫药中间体丙戊酸和钙拮抗剂的原料3-氨基巴豆酸甲酯等，体现了其在医药领域应用的广泛性。</w:t>
      </w:r>
    </w:p>
    <w:p>
      <w:pPr>
        <w:rPr>
          <w:color w:val="auto"/>
        </w:rPr>
      </w:pPr>
      <w:r>
        <w:rPr>
          <w:color w:val="auto"/>
        </w:rPr>
        <w:t>淮南锦德生物科技有限公司使用主要原料为</w:t>
      </w:r>
      <w:r>
        <w:rPr>
          <w:color w:val="auto"/>
          <w:szCs w:val="21"/>
        </w:rPr>
        <w:t>氯苯、三氯化磷、甲醇、甲苯、天然气等。</w:t>
      </w:r>
    </w:p>
    <w:p>
      <w:pPr>
        <w:rPr>
          <w:color w:val="auto"/>
        </w:rPr>
      </w:pPr>
      <w:r>
        <w:rPr>
          <w:color w:val="auto"/>
        </w:rPr>
        <w:t>（2）淮南市健坤制药有限公司</w:t>
      </w:r>
    </w:p>
    <w:p>
      <w:pPr>
        <w:rPr>
          <w:color w:val="auto"/>
        </w:rPr>
      </w:pPr>
      <w:bookmarkStart w:id="115" w:name="OLE_LINK14"/>
      <w:r>
        <w:rPr>
          <w:color w:val="auto"/>
        </w:rPr>
        <w:t>淮南市健坤制药有限公司目前在建500吨/年酵母粉、2吨/年骨化二醇、2吨/年维生素D2、20吨/年去氢孕酮、10吨/年麦角甾醇，属于精细化工（医药）产业。</w:t>
      </w:r>
    </w:p>
    <w:bookmarkEnd w:id="115"/>
    <w:p>
      <w:pPr>
        <w:rPr>
          <w:color w:val="auto"/>
        </w:rPr>
      </w:pPr>
      <w:r>
        <w:rPr>
          <w:color w:val="auto"/>
        </w:rPr>
        <w:t>酵母粉可以作为食品添加剂用于食品行业，骨化二醇、维生素D2、去氢孕酮、麦角甾醇等可用于医药领域。</w:t>
      </w:r>
    </w:p>
    <w:p>
      <w:pPr>
        <w:rPr>
          <w:color w:val="auto"/>
        </w:rPr>
      </w:pPr>
      <w:r>
        <w:rPr>
          <w:color w:val="auto"/>
        </w:rPr>
        <w:t>淮南市健坤制药有限公司使用原料主要为</w:t>
      </w:r>
      <w:r>
        <w:rPr>
          <w:color w:val="auto"/>
          <w:szCs w:val="21"/>
        </w:rPr>
        <w:t>甲苯、甲醇、乙酸乙酯、天然气、氯苯、三氯甲烷、液氨等。</w:t>
      </w:r>
    </w:p>
    <w:p>
      <w:pPr>
        <w:rPr>
          <w:color w:val="auto"/>
        </w:rPr>
      </w:pPr>
      <w:r>
        <w:rPr>
          <w:color w:val="auto"/>
        </w:rPr>
        <w:t>（3）安徽永银科技发展有限公司</w:t>
      </w:r>
    </w:p>
    <w:p>
      <w:pPr>
        <w:rPr>
          <w:color w:val="auto"/>
        </w:rPr>
      </w:pPr>
      <w:r>
        <w:rPr>
          <w:color w:val="auto"/>
        </w:rPr>
        <w:t>安徽永银科技发展有限公司目前在建年产40万瓶乙烯，主要是经营存储性质，给周边企业提供工业气体和生产原料。</w:t>
      </w:r>
    </w:p>
    <w:p>
      <w:pPr>
        <w:rPr>
          <w:color w:val="auto"/>
        </w:rPr>
      </w:pPr>
      <w:r>
        <w:rPr>
          <w:color w:val="auto"/>
        </w:rPr>
        <w:t>安徽永银科技发展有限公司原料为乙烯。乙烯下游产品众多，涉及多个行业和应用领域，这些产品各自在医药、化学工业、农业和其他行业中扮演着重要角色。</w:t>
      </w:r>
    </w:p>
    <w:p>
      <w:pPr>
        <w:rPr>
          <w:color w:val="auto"/>
        </w:rPr>
      </w:pPr>
      <w:r>
        <w:rPr>
          <w:color w:val="auto"/>
        </w:rPr>
        <w:t>未来，国瑞药业考虑发展异丙酚类型麻醉产品，其主要原料是乙烯，可以作为配套产业。</w:t>
      </w:r>
    </w:p>
    <w:p>
      <w:pPr>
        <w:ind w:firstLine="0" w:firstLineChars="0"/>
        <w:jc w:val="center"/>
        <w:rPr>
          <w:b/>
          <w:bCs/>
          <w:color w:val="auto"/>
        </w:rPr>
      </w:pPr>
      <w:bookmarkStart w:id="116" w:name="_Hlk152837749"/>
      <w:r>
        <w:rPr>
          <w:b/>
          <w:bCs/>
          <w:color w:val="auto"/>
        </w:rPr>
        <w:t>表6-3 园区在建企业产品现状一览表</w:t>
      </w:r>
    </w:p>
    <w:tbl>
      <w:tblPr>
        <w:tblStyle w:val="25"/>
        <w:tblW w:w="50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2"/>
        <w:gridCol w:w="1845"/>
        <w:gridCol w:w="3561"/>
        <w:gridCol w:w="976"/>
        <w:gridCol w:w="14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blHeader/>
          <w:jc w:val="center"/>
        </w:trPr>
        <w:tc>
          <w:tcPr>
            <w:tcW w:w="448"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序号</w:t>
            </w:r>
          </w:p>
        </w:tc>
        <w:tc>
          <w:tcPr>
            <w:tcW w:w="1070"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企业名称</w:t>
            </w:r>
          </w:p>
        </w:tc>
        <w:tc>
          <w:tcPr>
            <w:tcW w:w="2066"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主导产品</w:t>
            </w:r>
          </w:p>
        </w:tc>
        <w:tc>
          <w:tcPr>
            <w:tcW w:w="566"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所属</w:t>
            </w:r>
          </w:p>
          <w:p>
            <w:pPr>
              <w:spacing w:line="240" w:lineRule="auto"/>
              <w:ind w:firstLine="0" w:firstLineChars="0"/>
              <w:jc w:val="center"/>
              <w:rPr>
                <w:b/>
                <w:bCs/>
                <w:color w:val="auto"/>
                <w:sz w:val="24"/>
                <w:szCs w:val="24"/>
                <w:lang w:bidi="ar-SA"/>
              </w:rPr>
            </w:pPr>
            <w:r>
              <w:rPr>
                <w:b/>
                <w:bCs/>
                <w:color w:val="auto"/>
                <w:sz w:val="24"/>
                <w:szCs w:val="24"/>
                <w:lang w:bidi="ar-SA"/>
              </w:rPr>
              <w:t>产业</w:t>
            </w:r>
          </w:p>
        </w:tc>
        <w:tc>
          <w:tcPr>
            <w:tcW w:w="850"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预估年产值</w:t>
            </w:r>
          </w:p>
          <w:p>
            <w:pPr>
              <w:spacing w:line="240" w:lineRule="auto"/>
              <w:ind w:firstLine="0" w:firstLineChars="0"/>
              <w:jc w:val="center"/>
              <w:rPr>
                <w:b/>
                <w:bCs/>
                <w:color w:val="auto"/>
                <w:sz w:val="24"/>
                <w:szCs w:val="24"/>
                <w:lang w:bidi="ar-SA"/>
              </w:rPr>
            </w:pPr>
            <w:r>
              <w:rPr>
                <w:b/>
                <w:bCs/>
                <w:color w:val="auto"/>
                <w:sz w:val="24"/>
                <w:szCs w:val="24"/>
                <w:lang w:bidi="ar-SA"/>
              </w:rPr>
              <w:t>（亿元）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1</w:t>
            </w:r>
          </w:p>
        </w:tc>
        <w:tc>
          <w:tcPr>
            <w:tcW w:w="1070"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淮南锦德生物科技有限公司</w:t>
            </w:r>
          </w:p>
        </w:tc>
        <w:tc>
          <w:tcPr>
            <w:tcW w:w="2066"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4800吨/年三苯基膦系列产品；</w:t>
            </w:r>
          </w:p>
        </w:tc>
        <w:tc>
          <w:tcPr>
            <w:tcW w:w="566"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医药</w:t>
            </w:r>
          </w:p>
          <w:p>
            <w:pPr>
              <w:spacing w:line="240" w:lineRule="auto"/>
              <w:ind w:firstLine="0" w:firstLineChars="0"/>
              <w:jc w:val="center"/>
              <w:rPr>
                <w:color w:val="auto"/>
                <w:sz w:val="24"/>
                <w:szCs w:val="24"/>
                <w:lang w:bidi="ar-SA"/>
              </w:rPr>
            </w:pPr>
            <w:r>
              <w:rPr>
                <w:color w:val="auto"/>
                <w:sz w:val="24"/>
                <w:szCs w:val="24"/>
                <w:lang w:bidi="ar-SA"/>
              </w:rPr>
              <w:t>化工</w:t>
            </w:r>
          </w:p>
        </w:tc>
        <w:tc>
          <w:tcPr>
            <w:tcW w:w="850"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448"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2</w:t>
            </w:r>
          </w:p>
        </w:tc>
        <w:tc>
          <w:tcPr>
            <w:tcW w:w="1070"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淮南市健坤制药有限公司</w:t>
            </w:r>
          </w:p>
        </w:tc>
        <w:tc>
          <w:tcPr>
            <w:tcW w:w="2066"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500吨/年酵母粉；</w:t>
            </w:r>
          </w:p>
          <w:p>
            <w:pPr>
              <w:spacing w:line="240" w:lineRule="auto"/>
              <w:ind w:firstLine="0" w:firstLineChars="0"/>
              <w:jc w:val="center"/>
              <w:rPr>
                <w:color w:val="auto"/>
                <w:sz w:val="24"/>
                <w:szCs w:val="24"/>
                <w:lang w:bidi="ar-SA"/>
              </w:rPr>
            </w:pPr>
            <w:r>
              <w:rPr>
                <w:color w:val="auto"/>
                <w:sz w:val="24"/>
                <w:szCs w:val="24"/>
                <w:lang w:bidi="ar-SA"/>
              </w:rPr>
              <w:t>2吨/年骨化二醇；</w:t>
            </w:r>
          </w:p>
          <w:p>
            <w:pPr>
              <w:spacing w:line="240" w:lineRule="auto"/>
              <w:ind w:firstLine="0" w:firstLineChars="0"/>
              <w:jc w:val="center"/>
              <w:rPr>
                <w:color w:val="auto"/>
                <w:sz w:val="24"/>
                <w:szCs w:val="24"/>
                <w:lang w:bidi="ar-SA"/>
              </w:rPr>
            </w:pPr>
            <w:r>
              <w:rPr>
                <w:color w:val="auto"/>
                <w:sz w:val="24"/>
                <w:szCs w:val="24"/>
                <w:lang w:bidi="ar-SA"/>
              </w:rPr>
              <w:t>2吨/年维生素D2；</w:t>
            </w:r>
          </w:p>
          <w:p>
            <w:pPr>
              <w:spacing w:line="240" w:lineRule="auto"/>
              <w:ind w:firstLine="0" w:firstLineChars="0"/>
              <w:jc w:val="center"/>
              <w:rPr>
                <w:color w:val="auto"/>
                <w:sz w:val="24"/>
                <w:szCs w:val="24"/>
                <w:lang w:bidi="ar-SA"/>
              </w:rPr>
            </w:pPr>
            <w:r>
              <w:rPr>
                <w:color w:val="auto"/>
                <w:sz w:val="24"/>
                <w:szCs w:val="24"/>
                <w:lang w:bidi="ar-SA"/>
              </w:rPr>
              <w:t>20吨/年去氢孕酮；</w:t>
            </w:r>
          </w:p>
          <w:p>
            <w:pPr>
              <w:spacing w:line="240" w:lineRule="auto"/>
              <w:ind w:firstLine="0" w:firstLineChars="0"/>
              <w:jc w:val="center"/>
              <w:rPr>
                <w:color w:val="auto"/>
                <w:sz w:val="24"/>
                <w:szCs w:val="24"/>
                <w:lang w:bidi="ar-SA"/>
              </w:rPr>
            </w:pPr>
            <w:r>
              <w:rPr>
                <w:color w:val="auto"/>
                <w:sz w:val="24"/>
                <w:szCs w:val="24"/>
                <w:lang w:bidi="ar-SA"/>
              </w:rPr>
              <w:t>10吨/年麦角甾醇；</w:t>
            </w:r>
          </w:p>
        </w:tc>
        <w:tc>
          <w:tcPr>
            <w:tcW w:w="566"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医药</w:t>
            </w:r>
          </w:p>
          <w:p>
            <w:pPr>
              <w:spacing w:line="240" w:lineRule="auto"/>
              <w:ind w:firstLine="0" w:firstLineChars="0"/>
              <w:jc w:val="center"/>
              <w:rPr>
                <w:color w:val="auto"/>
                <w:sz w:val="24"/>
                <w:szCs w:val="24"/>
                <w:lang w:bidi="ar-SA"/>
              </w:rPr>
            </w:pPr>
            <w:r>
              <w:rPr>
                <w:color w:val="auto"/>
                <w:sz w:val="24"/>
                <w:szCs w:val="24"/>
                <w:lang w:bidi="ar-SA"/>
              </w:rPr>
              <w:t>化工</w:t>
            </w:r>
          </w:p>
        </w:tc>
        <w:tc>
          <w:tcPr>
            <w:tcW w:w="850"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448"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3</w:t>
            </w:r>
          </w:p>
        </w:tc>
        <w:tc>
          <w:tcPr>
            <w:tcW w:w="1070"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安徽永银科技发展有限公司</w:t>
            </w:r>
          </w:p>
        </w:tc>
        <w:tc>
          <w:tcPr>
            <w:tcW w:w="2066"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年产40万瓶乙烯；</w:t>
            </w:r>
          </w:p>
        </w:tc>
        <w:tc>
          <w:tcPr>
            <w:tcW w:w="566"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配套</w:t>
            </w:r>
          </w:p>
          <w:p>
            <w:pPr>
              <w:spacing w:line="240" w:lineRule="auto"/>
              <w:ind w:firstLine="0" w:firstLineChars="0"/>
              <w:jc w:val="center"/>
              <w:rPr>
                <w:color w:val="auto"/>
                <w:sz w:val="24"/>
                <w:szCs w:val="24"/>
                <w:lang w:bidi="ar-SA"/>
              </w:rPr>
            </w:pPr>
            <w:r>
              <w:rPr>
                <w:color w:val="auto"/>
                <w:sz w:val="24"/>
                <w:szCs w:val="24"/>
                <w:lang w:bidi="ar-SA"/>
              </w:rPr>
              <w:t>产业</w:t>
            </w:r>
          </w:p>
        </w:tc>
        <w:tc>
          <w:tcPr>
            <w:tcW w:w="850"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4150" w:type="pct"/>
            <w:gridSpan w:val="4"/>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合计</w:t>
            </w:r>
          </w:p>
        </w:tc>
        <w:tc>
          <w:tcPr>
            <w:tcW w:w="850"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18</w:t>
            </w:r>
          </w:p>
        </w:tc>
      </w:tr>
      <w:bookmarkEnd w:id="116"/>
    </w:tbl>
    <w:p>
      <w:pPr>
        <w:ind w:firstLine="0" w:firstLineChars="0"/>
        <w:jc w:val="center"/>
        <w:rPr>
          <w:b/>
          <w:bCs/>
          <w:color w:val="auto"/>
        </w:rPr>
      </w:pPr>
      <w:bookmarkStart w:id="117" w:name="_Toc1532"/>
      <w:r>
        <w:rPr>
          <w:b/>
          <w:bCs/>
          <w:color w:val="auto"/>
        </w:rPr>
        <w:t>表6-4 园区在建企业产品产业政策符合性</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1958"/>
        <w:gridCol w:w="3818"/>
        <w:gridCol w:w="20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424"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序号</w:t>
            </w:r>
          </w:p>
        </w:tc>
        <w:tc>
          <w:tcPr>
            <w:tcW w:w="1149"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企业名称</w:t>
            </w:r>
          </w:p>
        </w:tc>
        <w:tc>
          <w:tcPr>
            <w:tcW w:w="2240"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主导产品</w:t>
            </w:r>
          </w:p>
        </w:tc>
        <w:tc>
          <w:tcPr>
            <w:tcW w:w="1187"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产业政策符合性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424"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1</w:t>
            </w:r>
          </w:p>
        </w:tc>
        <w:tc>
          <w:tcPr>
            <w:tcW w:w="1149" w:type="pct"/>
            <w:shd w:val="clear" w:color="auto" w:fill="auto"/>
            <w:vAlign w:val="center"/>
          </w:tcPr>
          <w:p>
            <w:pPr>
              <w:widowControl/>
              <w:spacing w:line="240" w:lineRule="auto"/>
              <w:ind w:firstLine="0" w:firstLineChars="0"/>
              <w:jc w:val="center"/>
              <w:rPr>
                <w:color w:val="auto"/>
                <w:sz w:val="24"/>
                <w:szCs w:val="24"/>
              </w:rPr>
            </w:pPr>
            <w:r>
              <w:rPr>
                <w:color w:val="auto"/>
                <w:sz w:val="24"/>
                <w:szCs w:val="24"/>
              </w:rPr>
              <w:t>淮南锦德生物科技有限公司</w:t>
            </w:r>
          </w:p>
        </w:tc>
        <w:tc>
          <w:tcPr>
            <w:tcW w:w="2240" w:type="pct"/>
            <w:shd w:val="clear" w:color="auto" w:fill="auto"/>
            <w:vAlign w:val="center"/>
          </w:tcPr>
          <w:p>
            <w:pPr>
              <w:widowControl/>
              <w:spacing w:line="240" w:lineRule="auto"/>
              <w:ind w:firstLine="0" w:firstLineChars="0"/>
              <w:rPr>
                <w:color w:val="auto"/>
                <w:sz w:val="24"/>
                <w:szCs w:val="24"/>
              </w:rPr>
            </w:pPr>
            <w:r>
              <w:rPr>
                <w:color w:val="auto"/>
                <w:sz w:val="24"/>
                <w:szCs w:val="24"/>
              </w:rPr>
              <w:t>4800吨/年三苯基膦系列产品；</w:t>
            </w:r>
          </w:p>
        </w:tc>
        <w:tc>
          <w:tcPr>
            <w:tcW w:w="1187" w:type="pct"/>
            <w:shd w:val="clear" w:color="auto" w:fill="auto"/>
            <w:vAlign w:val="center"/>
          </w:tcPr>
          <w:p>
            <w:pPr>
              <w:widowControl/>
              <w:spacing w:line="240" w:lineRule="auto"/>
              <w:ind w:firstLine="0" w:firstLineChars="0"/>
              <w:jc w:val="center"/>
              <w:rPr>
                <w:color w:val="auto"/>
              </w:rPr>
            </w:pPr>
            <w:r>
              <w:rPr>
                <w:color w:val="auto"/>
                <w:sz w:val="24"/>
                <w:szCs w:val="24"/>
              </w:rPr>
              <w:t>视为“允许类”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424"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2</w:t>
            </w:r>
          </w:p>
        </w:tc>
        <w:tc>
          <w:tcPr>
            <w:tcW w:w="1149"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淮南市健坤制药有限公司</w:t>
            </w:r>
          </w:p>
        </w:tc>
        <w:tc>
          <w:tcPr>
            <w:tcW w:w="2240" w:type="pct"/>
            <w:shd w:val="clear" w:color="auto" w:fill="auto"/>
            <w:vAlign w:val="center"/>
          </w:tcPr>
          <w:p>
            <w:pPr>
              <w:pStyle w:val="33"/>
              <w:jc w:val="both"/>
              <w:rPr>
                <w:color w:val="auto"/>
                <w:sz w:val="24"/>
                <w:szCs w:val="24"/>
              </w:rPr>
            </w:pPr>
            <w:r>
              <w:rPr>
                <w:color w:val="auto"/>
                <w:sz w:val="24"/>
                <w:szCs w:val="24"/>
              </w:rPr>
              <w:t>500吨/年酵母粉；</w:t>
            </w:r>
          </w:p>
          <w:p>
            <w:pPr>
              <w:pStyle w:val="33"/>
              <w:jc w:val="both"/>
              <w:rPr>
                <w:color w:val="auto"/>
                <w:sz w:val="24"/>
                <w:szCs w:val="24"/>
              </w:rPr>
            </w:pPr>
            <w:r>
              <w:rPr>
                <w:color w:val="auto"/>
                <w:sz w:val="24"/>
                <w:szCs w:val="24"/>
              </w:rPr>
              <w:t>2吨/年骨化二醇；</w:t>
            </w:r>
          </w:p>
          <w:p>
            <w:pPr>
              <w:pStyle w:val="33"/>
              <w:jc w:val="both"/>
              <w:rPr>
                <w:color w:val="auto"/>
                <w:sz w:val="24"/>
                <w:szCs w:val="24"/>
              </w:rPr>
            </w:pPr>
            <w:r>
              <w:rPr>
                <w:color w:val="auto"/>
                <w:sz w:val="24"/>
                <w:szCs w:val="24"/>
              </w:rPr>
              <w:t>2吨/年维生素D2；</w:t>
            </w:r>
          </w:p>
          <w:p>
            <w:pPr>
              <w:pStyle w:val="33"/>
              <w:jc w:val="both"/>
              <w:rPr>
                <w:color w:val="auto"/>
                <w:sz w:val="24"/>
                <w:szCs w:val="24"/>
              </w:rPr>
            </w:pPr>
            <w:r>
              <w:rPr>
                <w:color w:val="auto"/>
                <w:sz w:val="24"/>
                <w:szCs w:val="24"/>
              </w:rPr>
              <w:t>20吨/年去氢孕酮；</w:t>
            </w:r>
          </w:p>
          <w:p>
            <w:pPr>
              <w:spacing w:line="240" w:lineRule="auto"/>
              <w:ind w:firstLine="0" w:firstLineChars="0"/>
              <w:rPr>
                <w:color w:val="auto"/>
                <w:sz w:val="24"/>
                <w:szCs w:val="24"/>
                <w:lang w:bidi="ar-SA"/>
              </w:rPr>
            </w:pPr>
            <w:r>
              <w:rPr>
                <w:color w:val="auto"/>
                <w:sz w:val="24"/>
                <w:szCs w:val="24"/>
                <w:lang w:bidi="ar-SA"/>
              </w:rPr>
              <w:t>10吨/年麦角甾醇；</w:t>
            </w:r>
          </w:p>
        </w:tc>
        <w:tc>
          <w:tcPr>
            <w:tcW w:w="1187" w:type="pct"/>
            <w:shd w:val="clear" w:color="auto" w:fill="auto"/>
            <w:vAlign w:val="center"/>
          </w:tcPr>
          <w:p>
            <w:pPr>
              <w:spacing w:line="240" w:lineRule="auto"/>
              <w:ind w:firstLine="0" w:firstLineChars="0"/>
              <w:jc w:val="center"/>
              <w:rPr>
                <w:color w:val="auto"/>
                <w:sz w:val="24"/>
                <w:szCs w:val="24"/>
              </w:rPr>
            </w:pPr>
            <w:r>
              <w:rPr>
                <w:color w:val="auto"/>
                <w:sz w:val="24"/>
                <w:szCs w:val="24"/>
              </w:rPr>
              <w:t>视为“允许类”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424"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3</w:t>
            </w:r>
          </w:p>
        </w:tc>
        <w:tc>
          <w:tcPr>
            <w:tcW w:w="1149" w:type="pct"/>
            <w:shd w:val="clear" w:color="auto" w:fill="auto"/>
            <w:vAlign w:val="center"/>
          </w:tcPr>
          <w:p>
            <w:pPr>
              <w:widowControl/>
              <w:spacing w:line="240" w:lineRule="auto"/>
              <w:ind w:firstLine="0" w:firstLineChars="0"/>
              <w:jc w:val="center"/>
              <w:rPr>
                <w:color w:val="auto"/>
                <w:sz w:val="24"/>
                <w:szCs w:val="24"/>
              </w:rPr>
            </w:pPr>
            <w:r>
              <w:rPr>
                <w:color w:val="auto"/>
                <w:sz w:val="24"/>
                <w:szCs w:val="24"/>
              </w:rPr>
              <w:t>安徽永银科技发展有限公司</w:t>
            </w:r>
          </w:p>
        </w:tc>
        <w:tc>
          <w:tcPr>
            <w:tcW w:w="2240" w:type="pct"/>
            <w:shd w:val="clear" w:color="auto" w:fill="auto"/>
            <w:vAlign w:val="center"/>
          </w:tcPr>
          <w:p>
            <w:pPr>
              <w:widowControl/>
              <w:spacing w:line="240" w:lineRule="auto"/>
              <w:ind w:firstLine="0" w:firstLineChars="0"/>
              <w:rPr>
                <w:color w:val="auto"/>
                <w:sz w:val="24"/>
                <w:szCs w:val="24"/>
              </w:rPr>
            </w:pPr>
            <w:r>
              <w:rPr>
                <w:color w:val="auto"/>
                <w:sz w:val="24"/>
                <w:szCs w:val="24"/>
              </w:rPr>
              <w:t>年产40万瓶乙烯；</w:t>
            </w:r>
          </w:p>
        </w:tc>
        <w:tc>
          <w:tcPr>
            <w:tcW w:w="1187" w:type="pct"/>
            <w:shd w:val="clear" w:color="auto" w:fill="auto"/>
            <w:vAlign w:val="center"/>
          </w:tcPr>
          <w:p>
            <w:pPr>
              <w:spacing w:line="240" w:lineRule="auto"/>
              <w:ind w:firstLine="0" w:firstLineChars="0"/>
              <w:jc w:val="center"/>
              <w:rPr>
                <w:color w:val="auto"/>
                <w:sz w:val="24"/>
                <w:szCs w:val="24"/>
              </w:rPr>
            </w:pPr>
            <w:r>
              <w:rPr>
                <w:color w:val="auto"/>
                <w:sz w:val="24"/>
                <w:szCs w:val="24"/>
              </w:rPr>
              <w:t>经营存储</w:t>
            </w:r>
          </w:p>
          <w:p>
            <w:pPr>
              <w:spacing w:line="240" w:lineRule="auto"/>
              <w:ind w:firstLine="0" w:firstLineChars="0"/>
              <w:jc w:val="center"/>
              <w:rPr>
                <w:color w:val="auto"/>
                <w:sz w:val="24"/>
                <w:szCs w:val="24"/>
              </w:rPr>
            </w:pPr>
            <w:r>
              <w:rPr>
                <w:color w:val="auto"/>
                <w:sz w:val="24"/>
                <w:szCs w:val="24"/>
              </w:rPr>
              <w:t>视为“允许类”</w:t>
            </w:r>
          </w:p>
        </w:tc>
      </w:tr>
    </w:tbl>
    <w:p>
      <w:pPr>
        <w:pStyle w:val="3"/>
        <w:rPr>
          <w:color w:val="auto"/>
          <w:lang w:bidi="ar-SA"/>
        </w:rPr>
      </w:pPr>
      <w:bookmarkStart w:id="118" w:name="_Toc192757696"/>
      <w:r>
        <w:rPr>
          <w:color w:val="auto"/>
          <w:lang w:bidi="ar-SA"/>
        </w:rPr>
        <w:t>6.3 未来意向项目情况</w:t>
      </w:r>
      <w:bookmarkEnd w:id="111"/>
      <w:bookmarkEnd w:id="112"/>
      <w:bookmarkEnd w:id="113"/>
      <w:bookmarkEnd w:id="114"/>
      <w:bookmarkEnd w:id="117"/>
      <w:bookmarkEnd w:id="118"/>
    </w:p>
    <w:p>
      <w:pPr>
        <w:ind w:firstLine="0" w:firstLineChars="0"/>
        <w:jc w:val="center"/>
        <w:rPr>
          <w:b/>
          <w:bCs/>
          <w:color w:val="auto"/>
        </w:rPr>
      </w:pPr>
      <w:bookmarkStart w:id="119" w:name="_Hlk152837756"/>
      <w:r>
        <w:rPr>
          <w:b/>
          <w:bCs/>
          <w:color w:val="auto"/>
        </w:rPr>
        <w:t>表6-5 园区意向企业产品现状一览表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2874"/>
        <w:gridCol w:w="4097"/>
        <w:gridCol w:w="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25"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序号</w:t>
            </w:r>
          </w:p>
        </w:tc>
        <w:tc>
          <w:tcPr>
            <w:tcW w:w="1686"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企业名称</w:t>
            </w:r>
          </w:p>
        </w:tc>
        <w:tc>
          <w:tcPr>
            <w:tcW w:w="2404"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意向产品</w:t>
            </w:r>
          </w:p>
        </w:tc>
        <w:tc>
          <w:tcPr>
            <w:tcW w:w="485"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所属产业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25"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1</w:t>
            </w:r>
          </w:p>
        </w:tc>
        <w:tc>
          <w:tcPr>
            <w:tcW w:w="1686"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淮南市新城</w:t>
            </w:r>
          </w:p>
          <w:p>
            <w:pPr>
              <w:spacing w:line="240" w:lineRule="auto"/>
              <w:ind w:firstLine="0" w:firstLineChars="0"/>
              <w:jc w:val="center"/>
              <w:rPr>
                <w:color w:val="auto"/>
                <w:sz w:val="24"/>
                <w:szCs w:val="24"/>
                <w:lang w:bidi="ar-SA"/>
              </w:rPr>
            </w:pPr>
            <w:r>
              <w:rPr>
                <w:color w:val="auto"/>
                <w:sz w:val="24"/>
                <w:szCs w:val="24"/>
                <w:lang w:bidi="ar-SA"/>
              </w:rPr>
              <w:t>建设投资有限公司</w:t>
            </w:r>
          </w:p>
        </w:tc>
        <w:tc>
          <w:tcPr>
            <w:tcW w:w="2404" w:type="pct"/>
            <w:shd w:val="clear" w:color="auto" w:fill="auto"/>
            <w:vAlign w:val="center"/>
          </w:tcPr>
          <w:p>
            <w:pPr>
              <w:pStyle w:val="33"/>
              <w:rPr>
                <w:color w:val="auto"/>
                <w:sz w:val="24"/>
                <w:szCs w:val="24"/>
              </w:rPr>
            </w:pPr>
            <w:r>
              <w:rPr>
                <w:color w:val="auto"/>
                <w:sz w:val="24"/>
                <w:szCs w:val="24"/>
              </w:rPr>
              <w:t>淮南现代医药化工产业园综合服务楼和标准化厂房一期（中试基地）</w:t>
            </w:r>
          </w:p>
        </w:tc>
        <w:tc>
          <w:tcPr>
            <w:tcW w:w="485" w:type="pct"/>
            <w:vMerge w:val="restar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精细化工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25"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2</w:t>
            </w:r>
          </w:p>
        </w:tc>
        <w:tc>
          <w:tcPr>
            <w:tcW w:w="1686"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淮南美泰医疗用品有限公司</w:t>
            </w:r>
          </w:p>
        </w:tc>
        <w:tc>
          <w:tcPr>
            <w:tcW w:w="2404" w:type="pct"/>
            <w:shd w:val="clear" w:color="auto" w:fill="auto"/>
            <w:vAlign w:val="center"/>
          </w:tcPr>
          <w:p>
            <w:pPr>
              <w:pStyle w:val="33"/>
              <w:rPr>
                <w:color w:val="auto"/>
                <w:sz w:val="24"/>
                <w:szCs w:val="24"/>
              </w:rPr>
            </w:pPr>
            <w:r>
              <w:rPr>
                <w:color w:val="auto"/>
                <w:sz w:val="24"/>
                <w:szCs w:val="24"/>
              </w:rPr>
              <w:t>医用溶剂胶生产项目（一期）</w:t>
            </w:r>
          </w:p>
        </w:tc>
        <w:tc>
          <w:tcPr>
            <w:tcW w:w="485" w:type="pct"/>
            <w:vMerge w:val="continue"/>
            <w:shd w:val="clear" w:color="auto" w:fill="auto"/>
            <w:vAlign w:val="center"/>
          </w:tcPr>
          <w:p>
            <w:pPr>
              <w:spacing w:line="240" w:lineRule="auto"/>
              <w:ind w:firstLine="0" w:firstLineChars="0"/>
              <w:jc w:val="center"/>
              <w:rPr>
                <w:color w:val="auto"/>
                <w:sz w:val="24"/>
                <w:szCs w:val="24"/>
                <w:lang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0" w:hRule="atLeast"/>
          <w:jc w:val="center"/>
        </w:trPr>
        <w:tc>
          <w:tcPr>
            <w:tcW w:w="425"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3</w:t>
            </w:r>
          </w:p>
        </w:tc>
        <w:tc>
          <w:tcPr>
            <w:tcW w:w="1686"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国药集团国瑞药业</w:t>
            </w:r>
          </w:p>
          <w:p>
            <w:pPr>
              <w:spacing w:line="240" w:lineRule="auto"/>
              <w:ind w:firstLine="0" w:firstLineChars="0"/>
              <w:jc w:val="center"/>
              <w:rPr>
                <w:color w:val="auto"/>
                <w:sz w:val="24"/>
                <w:szCs w:val="24"/>
                <w:lang w:bidi="ar-SA"/>
              </w:rPr>
            </w:pPr>
            <w:r>
              <w:rPr>
                <w:color w:val="auto"/>
                <w:sz w:val="24"/>
                <w:szCs w:val="24"/>
                <w:lang w:bidi="ar-SA"/>
              </w:rPr>
              <w:t>有限公司</w:t>
            </w:r>
          </w:p>
        </w:tc>
        <w:tc>
          <w:tcPr>
            <w:tcW w:w="2404"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氯硝西泮、氯硝西泮注射液、盐酸罗沙替丁醋酸酯、注射用盐酸罗沙替丁醋酸酯、注射用唑来磷酸浓溶液、贝达喹啉、克林霉素磷酸酯注射液、间苯三酚注射液、氯化钾颗粒、吸入用乙酰半胱氨酸溶液、拉考沙胺注射液、异丙酚麻醉剂</w:t>
            </w:r>
          </w:p>
        </w:tc>
        <w:tc>
          <w:tcPr>
            <w:tcW w:w="485" w:type="pct"/>
            <w:vMerge w:val="restar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医药化工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425"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4</w:t>
            </w:r>
          </w:p>
        </w:tc>
        <w:tc>
          <w:tcPr>
            <w:tcW w:w="1686"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东盛友邦（淮南）生物制药有限公司</w:t>
            </w:r>
          </w:p>
        </w:tc>
        <w:tc>
          <w:tcPr>
            <w:tcW w:w="2404"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淮南经开区（东盛友邦）原料药及制剂产业园建设项目</w:t>
            </w:r>
          </w:p>
        </w:tc>
        <w:tc>
          <w:tcPr>
            <w:tcW w:w="485" w:type="pct"/>
            <w:vMerge w:val="continue"/>
            <w:shd w:val="clear" w:color="auto" w:fill="auto"/>
            <w:vAlign w:val="center"/>
          </w:tcPr>
          <w:p>
            <w:pPr>
              <w:pStyle w:val="33"/>
              <w:rPr>
                <w:color w:val="auto"/>
              </w:rPr>
            </w:pPr>
          </w:p>
        </w:tc>
      </w:tr>
      <w:bookmarkEnd w:id="119"/>
    </w:tbl>
    <w:p>
      <w:pPr>
        <w:ind w:firstLine="0" w:firstLineChars="0"/>
        <w:jc w:val="center"/>
        <w:rPr>
          <w:b/>
          <w:bCs/>
          <w:color w:val="auto"/>
        </w:rPr>
      </w:pPr>
      <w:bookmarkStart w:id="120" w:name="5.2产业定位"/>
      <w:bookmarkEnd w:id="120"/>
      <w:bookmarkStart w:id="121" w:name="_bookmark41"/>
      <w:bookmarkEnd w:id="121"/>
      <w:bookmarkStart w:id="122" w:name="_Toc28552"/>
      <w:r>
        <w:rPr>
          <w:b/>
          <w:bCs/>
          <w:color w:val="auto"/>
        </w:rPr>
        <w:t>表6-6 园区意向企业产品产业政策符合性</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2199"/>
        <w:gridCol w:w="3738"/>
        <w:gridCol w:w="20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330"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序号</w:t>
            </w:r>
          </w:p>
        </w:tc>
        <w:tc>
          <w:tcPr>
            <w:tcW w:w="1290"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企业名称</w:t>
            </w:r>
          </w:p>
        </w:tc>
        <w:tc>
          <w:tcPr>
            <w:tcW w:w="2193"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主导产品</w:t>
            </w:r>
          </w:p>
        </w:tc>
        <w:tc>
          <w:tcPr>
            <w:tcW w:w="1187" w:type="pct"/>
            <w:shd w:val="clear" w:color="auto" w:fill="auto"/>
            <w:vAlign w:val="center"/>
          </w:tcPr>
          <w:p>
            <w:pPr>
              <w:spacing w:line="240" w:lineRule="auto"/>
              <w:ind w:firstLine="0" w:firstLineChars="0"/>
              <w:jc w:val="center"/>
              <w:rPr>
                <w:b/>
                <w:bCs/>
                <w:color w:val="auto"/>
                <w:sz w:val="24"/>
                <w:szCs w:val="24"/>
              </w:rPr>
            </w:pPr>
            <w:r>
              <w:rPr>
                <w:b/>
                <w:bCs/>
                <w:color w:val="auto"/>
                <w:sz w:val="24"/>
                <w:szCs w:val="24"/>
              </w:rPr>
              <w:t>产业政策符合性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330"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1</w:t>
            </w:r>
          </w:p>
        </w:tc>
        <w:tc>
          <w:tcPr>
            <w:tcW w:w="1290"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淮南市新城</w:t>
            </w:r>
          </w:p>
          <w:p>
            <w:pPr>
              <w:spacing w:line="240" w:lineRule="auto"/>
              <w:ind w:firstLine="0" w:firstLineChars="0"/>
              <w:jc w:val="center"/>
              <w:rPr>
                <w:color w:val="auto"/>
                <w:sz w:val="24"/>
                <w:szCs w:val="24"/>
                <w:lang w:bidi="ar-SA"/>
              </w:rPr>
            </w:pPr>
            <w:r>
              <w:rPr>
                <w:color w:val="auto"/>
                <w:sz w:val="24"/>
                <w:szCs w:val="24"/>
                <w:lang w:bidi="ar-SA"/>
              </w:rPr>
              <w:t>建设投资有限公司</w:t>
            </w:r>
          </w:p>
        </w:tc>
        <w:tc>
          <w:tcPr>
            <w:tcW w:w="2193"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淮南现代医药化工产业园综合服务楼和标准化厂房一期（中试基地）</w:t>
            </w:r>
          </w:p>
        </w:tc>
        <w:tc>
          <w:tcPr>
            <w:tcW w:w="1187" w:type="pct"/>
            <w:shd w:val="clear" w:color="auto" w:fill="auto"/>
            <w:vAlign w:val="center"/>
          </w:tcPr>
          <w:p>
            <w:pPr>
              <w:widowControl/>
              <w:spacing w:line="240" w:lineRule="auto"/>
              <w:ind w:firstLine="0" w:firstLineChars="0"/>
              <w:jc w:val="center"/>
              <w:rPr>
                <w:color w:val="auto"/>
              </w:rPr>
            </w:pPr>
            <w:r>
              <w:rPr>
                <w:color w:val="auto"/>
                <w:sz w:val="24"/>
                <w:szCs w:val="24"/>
              </w:rPr>
              <w:t>视为“允许类”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30"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2</w:t>
            </w:r>
          </w:p>
        </w:tc>
        <w:tc>
          <w:tcPr>
            <w:tcW w:w="1290"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淮南美泰医疗用品有限公司</w:t>
            </w:r>
          </w:p>
        </w:tc>
        <w:tc>
          <w:tcPr>
            <w:tcW w:w="2193"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医用溶剂胶生产项目（一期）</w:t>
            </w:r>
          </w:p>
        </w:tc>
        <w:tc>
          <w:tcPr>
            <w:tcW w:w="1187" w:type="pct"/>
            <w:shd w:val="clear" w:color="auto" w:fill="auto"/>
            <w:vAlign w:val="center"/>
          </w:tcPr>
          <w:p>
            <w:pPr>
              <w:spacing w:line="240" w:lineRule="auto"/>
              <w:ind w:firstLine="0" w:firstLineChars="0"/>
              <w:jc w:val="center"/>
              <w:rPr>
                <w:color w:val="auto"/>
                <w:sz w:val="24"/>
                <w:szCs w:val="24"/>
              </w:rPr>
            </w:pPr>
            <w:r>
              <w:rPr>
                <w:color w:val="auto"/>
                <w:sz w:val="24"/>
                <w:szCs w:val="24"/>
              </w:rPr>
              <w:t>视为“允许类”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8" w:hRule="atLeast"/>
          <w:jc w:val="center"/>
        </w:trPr>
        <w:tc>
          <w:tcPr>
            <w:tcW w:w="330"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3</w:t>
            </w:r>
          </w:p>
        </w:tc>
        <w:tc>
          <w:tcPr>
            <w:tcW w:w="1290"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国药集团国瑞药业有限公司</w:t>
            </w:r>
          </w:p>
        </w:tc>
        <w:tc>
          <w:tcPr>
            <w:tcW w:w="2193"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氯硝西泮、氯硝西泮注射液、盐酸罗沙替丁醋酸酯、注射用盐酸罗沙替丁醋酸酯、注射用唑来磷酸浓溶液、贝达喹啉、克林霉素磷酸酯注射液、间苯三酚注射液、氯化钾颗粒、吸入用乙酰半胱氨酸溶液、拉考沙胺注射液、异丙酚麻醉剂</w:t>
            </w:r>
          </w:p>
        </w:tc>
        <w:tc>
          <w:tcPr>
            <w:tcW w:w="1187" w:type="pct"/>
            <w:shd w:val="clear" w:color="auto" w:fill="auto"/>
            <w:vAlign w:val="center"/>
          </w:tcPr>
          <w:p>
            <w:pPr>
              <w:spacing w:line="240" w:lineRule="auto"/>
              <w:ind w:firstLine="0" w:firstLineChars="0"/>
              <w:jc w:val="center"/>
              <w:rPr>
                <w:color w:val="auto"/>
                <w:sz w:val="24"/>
                <w:szCs w:val="24"/>
              </w:rPr>
            </w:pPr>
            <w:r>
              <w:rPr>
                <w:color w:val="auto"/>
                <w:sz w:val="24"/>
                <w:szCs w:val="24"/>
              </w:rPr>
              <w:t>视为“允许类”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30" w:type="pct"/>
            <w:shd w:val="clear" w:color="auto" w:fill="auto"/>
            <w:vAlign w:val="center"/>
          </w:tcPr>
          <w:p>
            <w:pPr>
              <w:pStyle w:val="33"/>
              <w:rPr>
                <w:color w:val="auto"/>
              </w:rPr>
            </w:pPr>
            <w:r>
              <w:rPr>
                <w:color w:val="auto"/>
              </w:rPr>
              <w:t>4</w:t>
            </w:r>
          </w:p>
        </w:tc>
        <w:tc>
          <w:tcPr>
            <w:tcW w:w="1290"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东盛友邦（淮南）生物制药有限公司</w:t>
            </w:r>
          </w:p>
        </w:tc>
        <w:tc>
          <w:tcPr>
            <w:tcW w:w="2193"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淮南经开区（东盛友邦）原料药及制剂产业园建设项目</w:t>
            </w:r>
          </w:p>
        </w:tc>
        <w:tc>
          <w:tcPr>
            <w:tcW w:w="1187" w:type="pct"/>
            <w:shd w:val="clear" w:color="auto" w:fill="auto"/>
            <w:vAlign w:val="center"/>
          </w:tcPr>
          <w:p>
            <w:pPr>
              <w:spacing w:line="240" w:lineRule="auto"/>
              <w:ind w:firstLine="0" w:firstLineChars="0"/>
              <w:jc w:val="center"/>
              <w:rPr>
                <w:color w:val="auto"/>
                <w:sz w:val="24"/>
                <w:szCs w:val="24"/>
              </w:rPr>
            </w:pPr>
            <w:r>
              <w:rPr>
                <w:color w:val="auto"/>
                <w:sz w:val="24"/>
                <w:szCs w:val="24"/>
              </w:rPr>
              <w:t>视为“允许类”</w:t>
            </w:r>
          </w:p>
        </w:tc>
      </w:tr>
    </w:tbl>
    <w:p>
      <w:pPr>
        <w:pStyle w:val="3"/>
        <w:rPr>
          <w:color w:val="auto"/>
        </w:rPr>
      </w:pPr>
      <w:bookmarkStart w:id="123" w:name="_Toc192757697"/>
      <w:r>
        <w:rPr>
          <w:color w:val="auto"/>
        </w:rPr>
        <w:t>6.4 政策协调性分析</w:t>
      </w:r>
      <w:bookmarkEnd w:id="122"/>
      <w:bookmarkEnd w:id="123"/>
    </w:p>
    <w:p>
      <w:pPr>
        <w:ind w:firstLine="0" w:firstLineChars="0"/>
        <w:rPr>
          <w:b/>
          <w:bCs/>
          <w:color w:val="auto"/>
          <w:szCs w:val="32"/>
        </w:rPr>
      </w:pPr>
      <w:r>
        <w:rPr>
          <w:b/>
          <w:bCs/>
          <w:color w:val="auto"/>
          <w:szCs w:val="32"/>
        </w:rPr>
        <w:t>6.4.1 国家层面</w:t>
      </w:r>
    </w:p>
    <w:p>
      <w:pPr>
        <w:ind w:firstLine="562"/>
        <w:rPr>
          <w:b/>
          <w:bCs/>
          <w:color w:val="auto"/>
        </w:rPr>
      </w:pPr>
      <w:r>
        <w:rPr>
          <w:b/>
          <w:bCs/>
          <w:color w:val="auto"/>
        </w:rPr>
        <w:t>（1）《长江三角洲区域一体化发展规划纲要》</w:t>
      </w:r>
    </w:p>
    <w:p>
      <w:pPr>
        <w:rPr>
          <w:color w:val="auto"/>
        </w:rPr>
      </w:pPr>
      <w:r>
        <w:rPr>
          <w:color w:val="auto"/>
        </w:rPr>
        <w:t>“中国特色社会主义进入新时代，我国经济转向高质量发展阶段，对长三角一体化发展提出了更高要求。“一带一路”建设和长江经济带发展战略深入实施，为长三角一体化发展注入了新动力。党中央、国务院作出将长三角一体化发展上升为国家战略的重大决策，为长三角一体化发展带来新机遇。”</w:t>
      </w:r>
    </w:p>
    <w:p>
      <w:pPr>
        <w:rPr>
          <w:color w:val="auto"/>
        </w:rPr>
      </w:pPr>
      <w:r>
        <w:rPr>
          <w:color w:val="auto"/>
        </w:rPr>
        <w:t>“要加强产业分工协作，共同推动制造业高质量发展。制定实施长三角制造业协同发展规划，全面提升制造业发展水平，按照集群化发展方向，打造全国先进制造业集聚区。围绕电子信息、生物医药、航空航天、高端装备、新材料、节能环保、汽车、绿色化工、纺织服装、智能家电十大领域，强化区域优势产业协作，推动传统产业升级改造，建设一批国家级战略性新兴产业基地，形成若干世界级制造业集群。”</w:t>
      </w:r>
    </w:p>
    <w:p>
      <w:pPr>
        <w:rPr>
          <w:color w:val="auto"/>
        </w:rPr>
      </w:pPr>
      <w:r>
        <w:rPr>
          <w:color w:val="auto"/>
        </w:rPr>
        <w:t>符合性分析：</w:t>
      </w:r>
    </w:p>
    <w:p>
      <w:pPr>
        <w:rPr>
          <w:color w:val="auto"/>
        </w:rPr>
      </w:pPr>
      <w:r>
        <w:rPr>
          <w:rFonts w:ascii="Cambria Math" w:hAnsi="Cambria Math" w:eastAsia="宋体" w:cs="Cambria Math"/>
          <w:color w:val="auto"/>
        </w:rPr>
        <w:t>①</w:t>
      </w:r>
      <w:r>
        <w:rPr>
          <w:color w:val="auto"/>
        </w:rPr>
        <w:t>淮南经开化工园区地理位置位于长三角一体化范围内，符合《纲要》中长三角一体化发展战略要求。</w:t>
      </w:r>
    </w:p>
    <w:p>
      <w:pPr>
        <w:rPr>
          <w:color w:val="auto"/>
        </w:rPr>
      </w:pPr>
      <w:r>
        <w:rPr>
          <w:rFonts w:ascii="Cambria Math" w:hAnsi="Cambria Math" w:eastAsia="宋体" w:cs="Cambria Math"/>
          <w:color w:val="auto"/>
        </w:rPr>
        <w:t>②</w:t>
      </w:r>
      <w:r>
        <w:rPr>
          <w:color w:val="auto"/>
        </w:rPr>
        <w:t>淮南经开化工园区</w:t>
      </w:r>
      <w:r>
        <w:rPr>
          <w:rFonts w:hint="eastAsia"/>
          <w:color w:val="auto"/>
        </w:rPr>
        <w:t>医药</w:t>
      </w:r>
      <w:r>
        <w:rPr>
          <w:color w:val="auto"/>
        </w:rPr>
        <w:t>产业，符合《纲要》生物医药发展方向；</w:t>
      </w:r>
    </w:p>
    <w:p>
      <w:pPr>
        <w:rPr>
          <w:color w:val="auto"/>
        </w:rPr>
      </w:pPr>
      <w:r>
        <w:rPr>
          <w:color w:val="auto"/>
        </w:rPr>
        <w:t>故从产业方向上分析，园区主导产业符合《纲要》要求。</w:t>
      </w:r>
    </w:p>
    <w:p>
      <w:pPr>
        <w:ind w:firstLine="562"/>
        <w:rPr>
          <w:b/>
          <w:bCs/>
          <w:color w:val="auto"/>
        </w:rPr>
      </w:pPr>
      <w:r>
        <w:rPr>
          <w:b/>
          <w:bCs/>
          <w:color w:val="auto"/>
        </w:rPr>
        <w:t>（2）《中华人民共和国国民经济和社会发展第十四个五年规划和2035远景目标纲要》</w:t>
      </w:r>
    </w:p>
    <w:p>
      <w:pPr>
        <w:rPr>
          <w:color w:val="auto"/>
        </w:rPr>
      </w:pPr>
      <w:r>
        <w:rPr>
          <w:color w:val="auto"/>
        </w:rPr>
        <w:t>“聚焦新一代信息技术、生物技术、新能源、新材料、高端装备、新能源汽车、绿色环保以及航空航天、海洋装备等战略性新兴产业，加快关键核心技术创新应用，增强要素保障能力，培育壮大产业发展新动能。”</w:t>
      </w:r>
    </w:p>
    <w:p>
      <w:pPr>
        <w:rPr>
          <w:color w:val="auto"/>
        </w:rPr>
      </w:pPr>
      <w:r>
        <w:rPr>
          <w:color w:val="auto"/>
        </w:rPr>
        <w:t>符合性分析：</w:t>
      </w:r>
    </w:p>
    <w:p>
      <w:pPr>
        <w:ind w:firstLineChars="0"/>
        <w:rPr>
          <w:color w:val="auto"/>
        </w:rPr>
      </w:pPr>
      <w:r>
        <w:rPr>
          <w:rFonts w:ascii="Cambria Math" w:hAnsi="Cambria Math" w:cs="Cambria Math"/>
          <w:color w:val="auto"/>
        </w:rPr>
        <w:t>①</w:t>
      </w:r>
      <w:r>
        <w:rPr>
          <w:color w:val="auto"/>
        </w:rPr>
        <w:t>淮南经开化工园区医药产业，符合《纲要》生物技术发展方向；</w:t>
      </w:r>
    </w:p>
    <w:p>
      <w:pPr>
        <w:rPr>
          <w:color w:val="auto"/>
        </w:rPr>
      </w:pPr>
      <w:r>
        <w:rPr>
          <w:rFonts w:ascii="Cambria Math" w:hAnsi="Cambria Math" w:eastAsia="宋体" w:cs="Cambria Math"/>
          <w:color w:val="auto"/>
        </w:rPr>
        <w:t>②</w:t>
      </w:r>
      <w:r>
        <w:rPr>
          <w:color w:val="auto"/>
        </w:rPr>
        <w:t>园区内阻垢剂和尾气吸收液符合《纲要》绿色环保发展方向；</w:t>
      </w:r>
    </w:p>
    <w:p>
      <w:pPr>
        <w:rPr>
          <w:color w:val="auto"/>
        </w:rPr>
      </w:pPr>
      <w:r>
        <w:rPr>
          <w:rFonts w:ascii="Cambria Math" w:hAnsi="Cambria Math" w:eastAsia="宋体" w:cs="Cambria Math"/>
          <w:color w:val="auto"/>
        </w:rPr>
        <w:t>③</w:t>
      </w:r>
      <w:r>
        <w:rPr>
          <w:color w:val="auto"/>
        </w:rPr>
        <w:t>现状的基础化工可以为战略新兴产业提供生产配套的原材料。</w:t>
      </w:r>
    </w:p>
    <w:p>
      <w:pPr>
        <w:rPr>
          <w:color w:val="auto"/>
        </w:rPr>
      </w:pPr>
      <w:r>
        <w:rPr>
          <w:color w:val="auto"/>
        </w:rPr>
        <w:t>从《纲要》聚焦的战略性新兴产业来看，园区</w:t>
      </w:r>
      <w:r>
        <w:rPr>
          <w:rFonts w:hint="eastAsia"/>
          <w:color w:val="auto"/>
        </w:rPr>
        <w:t>内</w:t>
      </w:r>
      <w:r>
        <w:rPr>
          <w:color w:val="auto"/>
        </w:rPr>
        <w:t>产业</w:t>
      </w:r>
      <w:r>
        <w:rPr>
          <w:rFonts w:hint="eastAsia"/>
          <w:color w:val="auto"/>
        </w:rPr>
        <w:t>发展符合《纲要》要求的同时也</w:t>
      </w:r>
      <w:r>
        <w:rPr>
          <w:color w:val="auto"/>
        </w:rPr>
        <w:t>可为战兴产业做生产配套，符合发展要求。</w:t>
      </w:r>
    </w:p>
    <w:p>
      <w:pPr>
        <w:ind w:firstLine="0" w:firstLineChars="0"/>
        <w:rPr>
          <w:b/>
          <w:bCs/>
          <w:color w:val="auto"/>
          <w:szCs w:val="32"/>
        </w:rPr>
      </w:pPr>
      <w:r>
        <w:rPr>
          <w:b/>
          <w:bCs/>
          <w:color w:val="auto"/>
          <w:szCs w:val="32"/>
        </w:rPr>
        <w:t>6.4.2 安徽省层面</w:t>
      </w:r>
    </w:p>
    <w:p>
      <w:pPr>
        <w:ind w:firstLine="562"/>
        <w:rPr>
          <w:b/>
          <w:bCs/>
          <w:color w:val="auto"/>
        </w:rPr>
      </w:pPr>
      <w:r>
        <w:rPr>
          <w:b/>
          <w:bCs/>
          <w:color w:val="auto"/>
        </w:rPr>
        <w:t>（1）《关于大力发展十大新兴产业打造具有重要影响力新兴产业聚集地的意见》</w:t>
      </w:r>
    </w:p>
    <w:p>
      <w:pPr>
        <w:rPr>
          <w:color w:val="auto"/>
        </w:rPr>
      </w:pPr>
      <w:r>
        <w:rPr>
          <w:color w:val="auto"/>
        </w:rPr>
        <w:t>省委省政府《意见》指出：“重点发展新一代信息技术、人工智能、新材料、新能源和节能环保、新能源汽车和智能网联汽车、高端装备制造、智能家电、生命健康、绿色食品、数字创意十大新兴产业，打造具有重要影响力的新兴产业聚集地，培育壮大经济发展新动能。”</w:t>
      </w:r>
    </w:p>
    <w:p>
      <w:pPr>
        <w:ind w:firstLine="562"/>
        <w:rPr>
          <w:b/>
          <w:bCs/>
          <w:color w:val="auto"/>
        </w:rPr>
      </w:pPr>
      <w:r>
        <w:rPr>
          <w:b/>
          <w:bCs/>
          <w:color w:val="auto"/>
        </w:rPr>
        <w:t>（2）《安徽省国民经济和社会发展第十四个五年规划和2035年远景目标纲要》</w:t>
      </w:r>
    </w:p>
    <w:p>
      <w:pPr>
        <w:rPr>
          <w:color w:val="auto"/>
        </w:rPr>
      </w:pPr>
      <w:r>
        <w:rPr>
          <w:color w:val="auto"/>
        </w:rPr>
        <w:t>在发展壮大战略性新兴产业方面，安徽将大力发展新一代信息技术、人工智能、新材料、节能环保、新能源汽车和智能网联汽车、高端装备制造、智能家电、生命健康、绿色食品、数字创意十大新兴产业。完善战略性新兴产业“专项—工程—基地—集群”梯次推进格局。</w:t>
      </w:r>
    </w:p>
    <w:p>
      <w:pPr>
        <w:rPr>
          <w:color w:val="auto"/>
        </w:rPr>
      </w:pPr>
      <w:r>
        <w:rPr>
          <w:color w:val="auto"/>
        </w:rPr>
        <w:t>符合性分析：同国家层面，淮南经开化工园区主导产业紧紧围绕十大新兴产业，作为其产业构成部分和上下游配套产业，得到了较好的发展机遇，符合《意见》提出的新兴产业发展需求。</w:t>
      </w:r>
    </w:p>
    <w:p>
      <w:pPr>
        <w:ind w:firstLine="0" w:firstLineChars="0"/>
        <w:rPr>
          <w:b/>
          <w:bCs/>
          <w:color w:val="auto"/>
          <w:szCs w:val="32"/>
        </w:rPr>
      </w:pPr>
      <w:r>
        <w:rPr>
          <w:b/>
          <w:bCs/>
          <w:color w:val="auto"/>
          <w:szCs w:val="32"/>
        </w:rPr>
        <w:t>6.4.3 淮南市层面</w:t>
      </w:r>
    </w:p>
    <w:p>
      <w:pPr>
        <w:ind w:firstLine="562"/>
        <w:rPr>
          <w:b/>
          <w:bCs/>
          <w:color w:val="auto"/>
        </w:rPr>
      </w:pPr>
      <w:r>
        <w:rPr>
          <w:b/>
          <w:bCs/>
          <w:color w:val="auto"/>
        </w:rPr>
        <w:t>《淮南市化工产业发展规划（2021-2025）》</w:t>
      </w:r>
    </w:p>
    <w:p>
      <w:pPr>
        <w:rPr>
          <w:color w:val="auto"/>
        </w:rPr>
      </w:pPr>
      <w:r>
        <w:rPr>
          <w:color w:val="auto"/>
        </w:rPr>
        <w:t>《规划》指出“在医药化工行业，在巩固现有原料药和医药中间体的优势基础上，大力发展化药制剂产业，加快推进原创性新药和新型制剂产品的开发与产业化，实施国产替代。加强政策引导和支持，大力鼓励在淮南经开化工园区内开发化学原料的产业化研究，重点支持具有企业特色和较高技术含量的原料药生产技术，提高制药企业产品的科技含量水平，避免在传统领域的低水平重复。重点支持推进现代化原料药合成制造,优化产业链管理，加强高端制造，鼓励化工园区内企业建设现代化原料药生产车间，为园区相关化学药品制剂企业配套解决原料供给的卡脖子难题。通过现代化原料药车间的建设，具备高端原料药生产能力，实现园区供应链的延伸和完善，实现高、精类原料的自给，解决淮南经开化工园区内重点医药企业产品原料需要外购，供给无话语权的卡脖子难题，并形成高效协同、弹性安全、绿色可持续的智慧供应链制造、服务系统。”</w:t>
      </w:r>
    </w:p>
    <w:p>
      <w:pPr>
        <w:rPr>
          <w:color w:val="auto"/>
        </w:rPr>
      </w:pPr>
      <w:r>
        <w:rPr>
          <w:color w:val="auto"/>
        </w:rPr>
        <w:t>符合性分析：淮南经开化工园区着力提升改造传统化工产业，加快培育生物医药、化工新材料等高端精细化学品产业。</w:t>
      </w:r>
      <w:r>
        <w:rPr>
          <w:rFonts w:hint="eastAsia"/>
          <w:color w:val="auto"/>
        </w:rPr>
        <w:t>产业发展</w:t>
      </w:r>
      <w:r>
        <w:rPr>
          <w:color w:val="auto"/>
        </w:rPr>
        <w:t>符合《淮南市化工产业发展规划（2021-2025）》要求。</w:t>
      </w:r>
    </w:p>
    <w:p>
      <w:pPr>
        <w:ind w:firstLine="0" w:firstLineChars="0"/>
        <w:rPr>
          <w:b/>
          <w:bCs/>
          <w:color w:val="auto"/>
          <w:szCs w:val="32"/>
        </w:rPr>
      </w:pPr>
      <w:r>
        <w:rPr>
          <w:b/>
          <w:bCs/>
          <w:color w:val="auto"/>
          <w:szCs w:val="32"/>
        </w:rPr>
        <w:t>6.4.4 开发区层面</w:t>
      </w:r>
    </w:p>
    <w:p>
      <w:pPr>
        <w:ind w:firstLine="562"/>
        <w:rPr>
          <w:b/>
          <w:bCs/>
          <w:color w:val="auto"/>
        </w:rPr>
      </w:pPr>
      <w:r>
        <w:rPr>
          <w:b/>
          <w:bCs/>
          <w:color w:val="auto"/>
        </w:rPr>
        <w:t>《淮南经济技术开发区“十四五”产业发展规划纲要》</w:t>
      </w:r>
    </w:p>
    <w:p>
      <w:pPr>
        <w:rPr>
          <w:color w:val="auto"/>
        </w:rPr>
      </w:pPr>
      <w:r>
        <w:rPr>
          <w:color w:val="auto"/>
        </w:rPr>
        <w:t>《纲要》指出淮南经济技术开发区产业架构为：“坚持强制造、重服务”的产业发展思路，做优做强汽车及零部件产业首位产业，发展壮大医药健康、先进装备制造两大主导产业，加快培育战略性新兴产业，力促传统优势产业转型提升与生产性服务业耦合共进，形成1个首位产业</w:t>
      </w:r>
      <w:r>
        <w:rPr>
          <w:rFonts w:hint="eastAsia"/>
          <w:color w:val="auto"/>
        </w:rPr>
        <w:t>、</w:t>
      </w:r>
      <w:r>
        <w:rPr>
          <w:color w:val="auto"/>
        </w:rPr>
        <w:t>2大主导产业为引领</w:t>
      </w:r>
      <w:r>
        <w:rPr>
          <w:rFonts w:hint="eastAsia"/>
          <w:color w:val="auto"/>
        </w:rPr>
        <w:t>、</w:t>
      </w:r>
      <w:r>
        <w:rPr>
          <w:color w:val="auto"/>
        </w:rPr>
        <w:t>3大支撑产业相协调的现代产业体系。”</w:t>
      </w:r>
    </w:p>
    <w:p>
      <w:pPr>
        <w:rPr>
          <w:color w:val="auto"/>
        </w:rPr>
      </w:pPr>
      <w:r>
        <w:rPr>
          <w:color w:val="auto"/>
        </w:rPr>
        <w:t>符合性分析：淮南经开化工园区符合《淮南经济技术开发区“十四五”产业发展规划纲要》中医药健康产业的要求。</w:t>
      </w:r>
    </w:p>
    <w:p>
      <w:pPr>
        <w:ind w:firstLine="0" w:firstLineChars="0"/>
        <w:rPr>
          <w:b/>
          <w:bCs/>
          <w:color w:val="auto"/>
          <w:szCs w:val="32"/>
        </w:rPr>
      </w:pPr>
      <w:r>
        <w:rPr>
          <w:b/>
          <w:bCs/>
          <w:color w:val="auto"/>
          <w:szCs w:val="32"/>
        </w:rPr>
        <w:t>6.4.5 “禁限控”目录</w:t>
      </w:r>
    </w:p>
    <w:p>
      <w:pPr>
        <w:rPr>
          <w:color w:val="auto"/>
        </w:rPr>
      </w:pPr>
      <w:r>
        <w:rPr>
          <w:color w:val="auto"/>
        </w:rPr>
        <w:t>根据</w:t>
      </w:r>
      <w:r>
        <w:rPr>
          <w:rFonts w:hint="eastAsia"/>
          <w:color w:val="auto"/>
        </w:rPr>
        <w:t>淮南经济技术开发区管理委员会</w:t>
      </w:r>
      <w:r>
        <w:rPr>
          <w:color w:val="auto"/>
        </w:rPr>
        <w:t>《</w:t>
      </w:r>
      <w:r>
        <w:rPr>
          <w:rFonts w:hint="eastAsia"/>
          <w:color w:val="auto"/>
        </w:rPr>
        <w:t>关于印发</w:t>
      </w:r>
      <w:r>
        <w:rPr>
          <w:color w:val="auto"/>
        </w:rPr>
        <w:t>&lt;</w:t>
      </w:r>
      <w:r>
        <w:rPr>
          <w:rFonts w:hint="eastAsia"/>
          <w:color w:val="auto"/>
        </w:rPr>
        <w:t>准南经开化工园区安全管理规定》、《准南经开化工园区安全生产隐患排查治理制度</w:t>
      </w:r>
      <w:r>
        <w:rPr>
          <w:color w:val="auto"/>
        </w:rPr>
        <w:t>&gt;</w:t>
      </w:r>
      <w:r>
        <w:rPr>
          <w:rFonts w:hint="eastAsia"/>
          <w:color w:val="auto"/>
        </w:rPr>
        <w:t>等9项制度及化工园区危化品禁限控目录的通知</w:t>
      </w:r>
      <w:r>
        <w:rPr>
          <w:color w:val="auto"/>
        </w:rPr>
        <w:t>》，严格禁止不符合该文件内容的项目入园，本规划产业发展定位与“禁限控”目录行业不冲突。</w:t>
      </w:r>
    </w:p>
    <w:p>
      <w:pPr>
        <w:rPr>
          <w:color w:val="auto"/>
        </w:rPr>
      </w:pPr>
      <w:r>
        <w:rPr>
          <w:color w:val="auto"/>
        </w:rPr>
        <w:t>园区应适时对禁限控目录进行修订，符合国家产业政策需求。</w:t>
      </w:r>
    </w:p>
    <w:p>
      <w:pPr>
        <w:pStyle w:val="3"/>
        <w:rPr>
          <w:color w:val="auto"/>
        </w:rPr>
      </w:pPr>
      <w:bookmarkStart w:id="124" w:name="_Toc192757698"/>
      <w:bookmarkStart w:id="125" w:name="_Toc21962"/>
      <w:r>
        <w:rPr>
          <w:color w:val="auto"/>
        </w:rPr>
        <w:t>6.5 园区产业规划定位</w:t>
      </w:r>
      <w:bookmarkEnd w:id="124"/>
      <w:bookmarkEnd w:id="125"/>
    </w:p>
    <w:p>
      <w:pPr>
        <w:rPr>
          <w:color w:val="auto"/>
        </w:rPr>
      </w:pPr>
      <w:r>
        <w:rPr>
          <w:color w:val="auto"/>
        </w:rPr>
        <w:t>淮南经开化工园区应依托现有的产业为基础，响应国家发展战略，结合园区的自然条件优势、区位环境优势、循环化发展优势，综合考虑国内外市场条件，确定园区的产业发展定位。</w:t>
      </w:r>
    </w:p>
    <w:p>
      <w:pPr>
        <w:ind w:firstLine="0" w:firstLineChars="0"/>
        <w:rPr>
          <w:b/>
          <w:bCs/>
          <w:color w:val="auto"/>
          <w:szCs w:val="32"/>
        </w:rPr>
      </w:pPr>
      <w:r>
        <w:rPr>
          <w:b/>
          <w:bCs/>
          <w:color w:val="auto"/>
          <w:szCs w:val="32"/>
        </w:rPr>
        <w:t>6.5.1 化工园区产业发展方向</w:t>
      </w:r>
    </w:p>
    <w:p>
      <w:pPr>
        <w:rPr>
          <w:color w:val="auto"/>
        </w:rPr>
      </w:pPr>
      <w:r>
        <w:rPr>
          <w:color w:val="auto"/>
        </w:rPr>
        <w:t>结合国家和省市十四五重点发展方向，淮南经开化工园区着力提升改造传统化工产业，加快培育生物医药、化工新材料等高端精细化学品产业，并形成功能布局合理、主导产业明晰、资源利用高效、基础设施完善，具有核心竞争力的现代化化工产业园区。</w:t>
      </w:r>
    </w:p>
    <w:p>
      <w:pPr>
        <w:ind w:firstLine="0" w:firstLineChars="0"/>
        <w:rPr>
          <w:b/>
          <w:bCs/>
          <w:color w:val="auto"/>
          <w:szCs w:val="32"/>
        </w:rPr>
      </w:pPr>
      <w:r>
        <w:rPr>
          <w:b/>
          <w:bCs/>
          <w:color w:val="auto"/>
          <w:szCs w:val="32"/>
        </w:rPr>
        <w:t>6.5.2 化工园区产业布局</w:t>
      </w:r>
    </w:p>
    <w:p>
      <w:pPr>
        <w:rPr>
          <w:color w:val="auto"/>
        </w:rPr>
      </w:pPr>
      <w:r>
        <w:rPr>
          <w:color w:val="auto"/>
        </w:rPr>
        <w:t>淮南经开化工园区应综合考虑主导风向、地势高低落差、企业装置之间的相互影响、产品类别、生产工艺、物料互供、公用设施保障、应急救援等因素，合理布置功能分区。</w:t>
      </w:r>
    </w:p>
    <w:p>
      <w:pPr>
        <w:ind w:firstLine="0" w:firstLineChars="0"/>
        <w:rPr>
          <w:b/>
          <w:bCs/>
          <w:color w:val="auto"/>
          <w:szCs w:val="32"/>
        </w:rPr>
      </w:pPr>
      <w:r>
        <w:rPr>
          <w:b/>
          <w:bCs/>
          <w:color w:val="auto"/>
          <w:szCs w:val="32"/>
        </w:rPr>
        <w:t>6.5.2.1 化工园区内部产业布局</w:t>
      </w:r>
    </w:p>
    <w:p>
      <w:pPr>
        <w:rPr>
          <w:color w:val="auto"/>
        </w:rPr>
      </w:pPr>
      <w:r>
        <w:rPr>
          <w:color w:val="auto"/>
        </w:rPr>
        <w:t>（1）区块一</w:t>
      </w:r>
    </w:p>
    <w:p>
      <w:pPr>
        <w:rPr>
          <w:color w:val="auto"/>
        </w:rPr>
      </w:pPr>
      <w:r>
        <w:rPr>
          <w:color w:val="auto"/>
        </w:rPr>
        <w:t>区块一目前产业布局以德邦化工为主，德邦化工产业属于基础化工（维持现状用地），除德邦化工外剩余用地主要布局精细化工产业，包含医药化工和其他精细化工产品区。</w:t>
      </w:r>
    </w:p>
    <w:p>
      <w:pPr>
        <w:rPr>
          <w:color w:val="auto"/>
        </w:rPr>
      </w:pPr>
      <w:r>
        <w:rPr>
          <w:color w:val="auto"/>
        </w:rPr>
        <w:t>（2）区块二</w:t>
      </w:r>
    </w:p>
    <w:p>
      <w:pPr>
        <w:rPr>
          <w:color w:val="auto"/>
        </w:rPr>
      </w:pPr>
      <w:r>
        <w:rPr>
          <w:color w:val="auto"/>
        </w:rPr>
        <w:t>区块二重点布局精细化工产业，其中医药化工作为主要发展产业布局，</w:t>
      </w:r>
      <w:r>
        <w:rPr>
          <w:rFonts w:hint="eastAsia"/>
          <w:color w:val="auto"/>
        </w:rPr>
        <w:t>同时</w:t>
      </w:r>
      <w:r>
        <w:rPr>
          <w:color w:val="auto"/>
        </w:rPr>
        <w:t>引入其他产业相</w:t>
      </w:r>
      <w:r>
        <w:rPr>
          <w:rFonts w:hint="eastAsia"/>
          <w:color w:val="auto"/>
        </w:rPr>
        <w:t>关联的</w:t>
      </w:r>
      <w:r>
        <w:rPr>
          <w:color w:val="auto"/>
        </w:rPr>
        <w:t>精细化学品生产企业。</w:t>
      </w:r>
    </w:p>
    <w:p>
      <w:pPr>
        <w:pStyle w:val="3"/>
        <w:rPr>
          <w:color w:val="auto"/>
        </w:rPr>
      </w:pPr>
      <w:bookmarkStart w:id="126" w:name="_bookmark49"/>
      <w:bookmarkEnd w:id="126"/>
      <w:bookmarkStart w:id="127" w:name="_bookmark46"/>
      <w:bookmarkEnd w:id="127"/>
      <w:bookmarkStart w:id="128" w:name="5.4_硅材料产业链"/>
      <w:bookmarkEnd w:id="128"/>
      <w:bookmarkStart w:id="129" w:name="5.7新能源产业链"/>
      <w:bookmarkEnd w:id="129"/>
      <w:bookmarkStart w:id="130" w:name="_Toc192757699"/>
      <w:bookmarkStart w:id="131" w:name="_Toc15686"/>
      <w:bookmarkStart w:id="132" w:name="OLE_LINK1"/>
      <w:r>
        <w:rPr>
          <w:color w:val="auto"/>
        </w:rPr>
        <w:t>6.6 产业发展情况</w:t>
      </w:r>
      <w:bookmarkEnd w:id="130"/>
      <w:bookmarkEnd w:id="131"/>
    </w:p>
    <w:bookmarkEnd w:id="132"/>
    <w:p>
      <w:pPr>
        <w:rPr>
          <w:color w:val="auto"/>
        </w:rPr>
      </w:pPr>
      <w:r>
        <w:rPr>
          <w:color w:val="auto"/>
        </w:rPr>
        <w:t>坚持以延伸产业链、提升价值链为方向，瞄准国际同行业领先水平，引导企业走创新型、效益型、集约型、生态型的发展模式，推动传统产业向高端化、智能化、绿色化、服务化转型发展，促进传统产业上层次、提技术、创品牌、增效益，实现从低端生产向高端制造转型。基于淮南市产业发展方向，园区现有产业基础，向上、下游延伸产业链，实现产业链聚集发展和价值提升。</w:t>
      </w:r>
    </w:p>
    <w:p>
      <w:pPr>
        <w:rPr>
          <w:color w:val="auto"/>
        </w:rPr>
      </w:pPr>
      <w:r>
        <w:rPr>
          <w:color w:val="auto"/>
        </w:rPr>
        <w:t>淮南经开化工园区着力提升改造传统化工产业，加快培育生物医药、化工新材料等高端精细化学品产业，实现化工园布局集中、用地集约、产业集聚、高质量发展，打造绿色转型、智能升级的化工园区。</w:t>
      </w:r>
    </w:p>
    <w:p>
      <w:pPr>
        <w:pStyle w:val="4"/>
        <w:rPr>
          <w:color w:val="auto"/>
        </w:rPr>
      </w:pPr>
      <w:bookmarkStart w:id="133" w:name="_Toc192757700"/>
      <w:r>
        <w:rPr>
          <w:color w:val="auto"/>
        </w:rPr>
        <w:t>6.6.1 精细化工</w:t>
      </w:r>
      <w:bookmarkEnd w:id="133"/>
    </w:p>
    <w:p>
      <w:pPr>
        <w:pStyle w:val="5"/>
      </w:pPr>
      <w:r>
        <w:t>6.6.1.1 精细化工简介</w:t>
      </w:r>
    </w:p>
    <w:p>
      <w:pPr>
        <w:rPr>
          <w:color w:val="auto"/>
        </w:rPr>
      </w:pPr>
      <w:r>
        <w:rPr>
          <w:color w:val="auto"/>
        </w:rPr>
        <w:t>中国把产量小、组成明确，并且能够按照规格说明书小批量生产的化学品，或者产量小、经过加工具有专门功能，同时按照规格进行小批量生产的化学品称为精细化学品。精细化学品具有“工业味精”、“工业催化剂”和其他特殊功能的作用。具有很大的发展潜力。</w:t>
      </w:r>
    </w:p>
    <w:p>
      <w:pPr>
        <w:rPr>
          <w:color w:val="auto"/>
        </w:rPr>
      </w:pPr>
      <w:r>
        <w:rPr>
          <w:color w:val="auto"/>
        </w:rPr>
        <w:t>精细化工就是生产精细化学品的工业。精细化工的生产是由化学合成、精制加工和商品化等三部分组成，通过多功能装置和间歇方式小批量生产，与通用化工的生产方式有很大差异。其中化学合成经常采用液相反应，并且流程比较长，需要精密的工程技术。化学合成后，要想达到商品化，又需要精致的、复杂的加工过程。所以精细化工技术密集程度高，市场竞争激烈，其技术保密性很强。由于市场随时变化，要根据市场及时更新产品。</w:t>
      </w:r>
    </w:p>
    <w:p>
      <w:pPr>
        <w:rPr>
          <w:color w:val="auto"/>
        </w:rPr>
      </w:pPr>
      <w:r>
        <w:rPr>
          <w:color w:val="auto"/>
        </w:rPr>
        <w:t>精细化工是综合性较强的技术密集型工业，近年来全球各个国家特别是工业发达国家都把发展精细化工产品作为传统化工产业结构升级调整的重点发展战略之一，其化工产业均向着“多元化”及“精细化”的方向发展。精细化工产品指具有特定应用功能，技术密集，商业性强，产品附加值较高的化工产品。精细化工产品种类较多，下游应用领域广泛。由于部分化学产品具有稳定性、润滑性、成膜性、增稠性、防腐性等多种化学特性，在很多行业的产业链上的某个环节具有不可替代的催化、辅助等作用。</w:t>
      </w:r>
    </w:p>
    <w:p>
      <w:pPr>
        <w:rPr>
          <w:color w:val="auto"/>
        </w:rPr>
      </w:pPr>
      <w:r>
        <w:rPr>
          <w:color w:val="auto"/>
        </w:rPr>
        <w:t>上世纪九十年代，我国开始加大在能源、材料、信息等方面的投入。化工没有被列入优先发展的行业，很多人把它归为夕阳产业。实际并不是这样的，尤其是针对精细化工，它跟能源、材料等是紧密联系的，在我国的经济发展和现代化建设发挥着重要作用，具有不可替代性。近年来，精细化工的发展在我国越来越得到重视，已经成为化工行业的战略要点，同时也是新材料的重要组成成分。现在精细化工已经被列入多项国家计划中，得到了政策、资金的大力支持。精细化工已经成为一个重要的独立的化学分支，是化学工业经济增长的重要推动力。目前，我国石油工业发展迅速，化学工业也开始向精细化转变，再加上新的科学技术不断投入到精细化工里，精细化工的创新能力和技术含量将得到很大的提升。</w:t>
      </w:r>
    </w:p>
    <w:p>
      <w:pPr>
        <w:rPr>
          <w:color w:val="auto"/>
        </w:rPr>
      </w:pPr>
      <w:r>
        <w:rPr>
          <w:color w:val="auto"/>
        </w:rPr>
        <w:t>随着近二十年的快速发展，我国部分精细化工产品已经位居世界前列，我国的精细化率目前是40%左右，已经成为世界上主要的精细化学品的生产国和消费国了。目前，我国的精细化品基本满足国内需求，部分产品在其他国家也占有重要的地位。随着国家的科教兴国战略的实施，863计划和“火炬”计划里有多项关于精细化工的项目得到推进，对我国的精细化工产业有很大的推动作用。近年来，国家推动经济体制改革，越来越多的企业和民间科研机构投入到精细化工的发展中。精细化工产业目前是一个朝阳产业，有很大的发展潜力。</w:t>
      </w:r>
    </w:p>
    <w:p>
      <w:pPr>
        <w:rPr>
          <w:color w:val="auto"/>
        </w:rPr>
      </w:pPr>
      <w:r>
        <w:rPr>
          <w:color w:val="auto"/>
        </w:rPr>
        <w:t>随着科技的进步，精细化工的发展也发生着重大的变化。精细化学品的生产是由化学合成、制剂和商品化组成的，每一个过程又有各种化学、物理、经济等考量，所以精细化工是技术密集型产业。</w:t>
      </w:r>
    </w:p>
    <w:p>
      <w:pPr>
        <w:rPr>
          <w:color w:val="auto"/>
        </w:rPr>
      </w:pPr>
      <w:r>
        <w:rPr>
          <w:color w:val="auto"/>
        </w:rPr>
        <w:t>传统的精细化学品是肥皂、染料、油漆等，与我们的生活息息相关。随着科技的发展，新型精细化学逐步进入市场，未来也会更具备科技含量。环保型新型农药，建筑、轻纺工业所用的特殊胶粘剂，还有各种环保型染料等。精细化工未来的发展趋势是：环保、经济、高效等方向。以前由于技术限制，使用的很多精细化产品都含有一定的毒性，比如塑料袋。精细化工的发展方向就是要使得精细化产品更加具有安全性和便捷性。</w:t>
      </w:r>
    </w:p>
    <w:p>
      <w:pPr>
        <w:rPr>
          <w:color w:val="auto"/>
        </w:rPr>
      </w:pPr>
      <w:r>
        <w:rPr>
          <w:color w:val="auto"/>
        </w:rPr>
        <w:t>由于精细化工产品和很多行业有密切联系，随着科技进步，新材料、生物技术、能源、海洋开发等领域都是精细化工的发展趋势。例如功能型高分子材料就是精细化工的重要应用领域，还有感光产品、胶粘剂也有很多的应用。随着我国海洋战略的逐步得到重视，精细化工也开始进入这个领域，海洋里面资源丰富，为精细化工的发展提供丰富的新型原材料。生物技术被誉为二十一世纪革命性的领域，它涉及人们生活的多个领域，酶技术、细胞融合技术和基因重组技术，都给精细化工提供更多的发展领域。</w:t>
      </w:r>
    </w:p>
    <w:p>
      <w:pPr>
        <w:rPr>
          <w:color w:val="auto"/>
        </w:rPr>
      </w:pPr>
      <w:r>
        <w:rPr>
          <w:color w:val="auto"/>
        </w:rPr>
        <w:t>因此，精细化工的发展方向是高科技化。</w:t>
      </w:r>
    </w:p>
    <w:p>
      <w:pPr>
        <w:pStyle w:val="5"/>
      </w:pPr>
      <w:r>
        <w:t>6.6.1.2 精细化工现状</w:t>
      </w:r>
    </w:p>
    <w:p>
      <w:pPr>
        <w:rPr>
          <w:color w:val="auto"/>
        </w:rPr>
      </w:pPr>
      <w:r>
        <w:rPr>
          <w:color w:val="auto"/>
        </w:rPr>
        <w:t>淮南经开化工园区现有精细化工产业主要为细分领域中的医药产业，现有生产企业中国药集团国瑞药业有限公司、恒诚制药集团淮南有限公司、安徽森吉制药有限公司、安徽山河药用辅料股份有限公司均属于精细化工（医药）产业。</w:t>
      </w:r>
    </w:p>
    <w:p>
      <w:pPr>
        <w:rPr>
          <w:color w:val="auto"/>
        </w:rPr>
      </w:pPr>
      <w:r>
        <w:rPr>
          <w:color w:val="auto"/>
        </w:rPr>
        <w:t>在建企业中淮南锦德生物科技有限公司、淮南市健坤制药有限公司产品属于精细化工（医药）产业。</w:t>
      </w:r>
    </w:p>
    <w:p>
      <w:pPr>
        <w:rPr>
          <w:color w:val="auto"/>
        </w:rPr>
      </w:pPr>
      <w:r>
        <w:rPr>
          <w:color w:val="auto"/>
        </w:rPr>
        <w:t>意向建设的项目淮南市新城建设投资有限公司淮南现代医药化工产业园综合服务楼和标准化厂房一期（中试基地）、淮南美泰医疗用品有限公司医用溶剂胶生产项目（一期）、国药集团国瑞药业有限公司扩建项目属于精细化工（医药）产业。</w:t>
      </w:r>
    </w:p>
    <w:p>
      <w:pPr>
        <w:pStyle w:val="4"/>
        <w:rPr>
          <w:color w:val="auto"/>
        </w:rPr>
      </w:pPr>
      <w:bookmarkStart w:id="134" w:name="_Toc192757701"/>
      <w:r>
        <w:rPr>
          <w:color w:val="auto"/>
        </w:rPr>
        <w:t>6.6.2 基础化工（现状产业）</w:t>
      </w:r>
      <w:bookmarkEnd w:id="134"/>
    </w:p>
    <w:p>
      <w:pPr>
        <w:pStyle w:val="5"/>
      </w:pPr>
      <w:r>
        <w:t>6.6.2.1 基础化工简介</w:t>
      </w:r>
    </w:p>
    <w:p>
      <w:pPr>
        <w:rPr>
          <w:color w:val="auto"/>
        </w:rPr>
      </w:pPr>
      <w:r>
        <w:rPr>
          <w:color w:val="auto"/>
        </w:rPr>
        <w:t>基础化工指的是以石油、天然气、煤或其下游产品为主要原料，通过一系列化学反应和加工技术，生产各种基础化学品的过程。这些基础化学品广泛应用于农业、工业、医疗、环保等领域，是国民经济的基础产业之一。</w:t>
      </w:r>
    </w:p>
    <w:p>
      <w:pPr>
        <w:pStyle w:val="5"/>
      </w:pPr>
      <w:r>
        <w:t>6.6.1.2 基础化工现状</w:t>
      </w:r>
    </w:p>
    <w:p>
      <w:pPr>
        <w:rPr>
          <w:color w:val="auto"/>
        </w:rPr>
      </w:pPr>
      <w:r>
        <w:rPr>
          <w:color w:val="auto"/>
        </w:rPr>
        <w:t>目前淮南经开化工园区中属于基础化工产业仅有安徽德邦化工有限公司的年产60万吨纯碱、年产66万吨氯化铵项目。</w:t>
      </w:r>
    </w:p>
    <w:p>
      <w:pPr>
        <w:pStyle w:val="4"/>
        <w:rPr>
          <w:color w:val="auto"/>
        </w:rPr>
      </w:pPr>
      <w:bookmarkStart w:id="135" w:name="_Toc192757702"/>
      <w:r>
        <w:rPr>
          <w:color w:val="auto"/>
        </w:rPr>
        <w:t>6.6.3产业链图</w:t>
      </w:r>
      <w:bookmarkEnd w:id="135"/>
    </w:p>
    <w:p>
      <w:pPr>
        <w:rPr>
          <w:color w:val="auto"/>
        </w:rPr>
      </w:pPr>
      <w:r>
        <w:rPr>
          <w:color w:val="auto"/>
        </w:rPr>
        <w:t>淮南经开化工园区医药相关产业链如下图所述：</w:t>
      </w:r>
    </w:p>
    <w:p>
      <w:pPr>
        <w:pStyle w:val="33"/>
        <w:rPr>
          <w:color w:val="auto"/>
        </w:rPr>
        <w:sectPr>
          <w:pgSz w:w="11906" w:h="16838"/>
          <w:pgMar w:top="1440" w:right="1800" w:bottom="1440" w:left="1800" w:header="851" w:footer="992" w:gutter="0"/>
          <w:cols w:space="425" w:num="1"/>
          <w:docGrid w:type="lines" w:linePitch="312" w:charSpace="0"/>
        </w:sectPr>
      </w:pPr>
    </w:p>
    <w:p>
      <w:pPr>
        <w:pStyle w:val="33"/>
        <w:jc w:val="both"/>
        <w:rPr>
          <w:color w:val="auto"/>
        </w:rPr>
      </w:pPr>
      <w:r>
        <w:rPr>
          <w:color w:val="auto"/>
        </w:rPr>
        <w:drawing>
          <wp:inline distT="0" distB="0" distL="0" distR="0">
            <wp:extent cx="13306425" cy="7809865"/>
            <wp:effectExtent l="0" t="0" r="0" b="0"/>
            <wp:docPr id="13557671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767168" name="图片 4"/>
                    <pic:cNvPicPr>
                      <a:picLocks noChangeAspect="1"/>
                    </pic:cNvPicPr>
                  </pic:nvPicPr>
                  <pic:blipFill>
                    <a:blip r:embed="rId25"/>
                    <a:stretch>
                      <a:fillRect/>
                    </a:stretch>
                  </pic:blipFill>
                  <pic:spPr>
                    <a:xfrm>
                      <a:off x="0" y="0"/>
                      <a:ext cx="13327132" cy="7822297"/>
                    </a:xfrm>
                    <a:prstGeom prst="rect">
                      <a:avLst/>
                    </a:prstGeom>
                  </pic:spPr>
                </pic:pic>
              </a:graphicData>
            </a:graphic>
          </wp:inline>
        </w:drawing>
      </w:r>
    </w:p>
    <w:p>
      <w:pPr>
        <w:ind w:firstLine="0" w:firstLineChars="0"/>
        <w:jc w:val="center"/>
        <w:rPr>
          <w:b/>
          <w:bCs/>
          <w:color w:val="auto"/>
        </w:rPr>
      </w:pPr>
      <w:r>
        <w:rPr>
          <w:b/>
          <w:bCs/>
          <w:color w:val="auto"/>
        </w:rPr>
        <w:t>图6-1 淮南经开化工园区产业链“上中下游”发展图</w:t>
      </w:r>
    </w:p>
    <w:p>
      <w:pPr>
        <w:pStyle w:val="33"/>
        <w:rPr>
          <w:color w:val="auto"/>
        </w:rPr>
        <w:sectPr>
          <w:pgSz w:w="23811" w:h="16838" w:orient="landscape"/>
          <w:pgMar w:top="1800" w:right="1440" w:bottom="1800" w:left="1440" w:header="851" w:footer="992" w:gutter="0"/>
          <w:cols w:space="425" w:num="1"/>
          <w:docGrid w:type="lines" w:linePitch="381" w:charSpace="0"/>
        </w:sectPr>
      </w:pPr>
    </w:p>
    <w:p>
      <w:pPr>
        <w:rPr>
          <w:color w:val="auto"/>
        </w:rPr>
      </w:pPr>
      <w:r>
        <w:rPr>
          <w:color w:val="auto"/>
        </w:rPr>
        <w:t>除医药化工产业外，淮南经开化工园区可以适当延伸精细化工其他版块产业，譬如化工新材料等高附加值精细化学品</w:t>
      </w:r>
      <w:r>
        <w:rPr>
          <w:rFonts w:hint="eastAsia"/>
          <w:color w:val="auto"/>
        </w:rPr>
        <w:t>，形成产业链完整、产业布局明晰的化工园区</w:t>
      </w:r>
      <w:r>
        <w:rPr>
          <w:color w:val="auto"/>
        </w:rPr>
        <w:t>。</w:t>
      </w:r>
    </w:p>
    <w:p>
      <w:pPr>
        <w:pStyle w:val="4"/>
        <w:rPr>
          <w:color w:val="auto"/>
        </w:rPr>
      </w:pPr>
      <w:bookmarkStart w:id="136" w:name="_Toc192757703"/>
      <w:r>
        <w:rPr>
          <w:color w:val="auto"/>
        </w:rPr>
        <w:t>6.6.4 产业衔接</w:t>
      </w:r>
      <w:bookmarkEnd w:id="136"/>
    </w:p>
    <w:p>
      <w:pPr>
        <w:rPr>
          <w:color w:val="auto"/>
        </w:rPr>
      </w:pPr>
      <w:r>
        <w:rPr>
          <w:color w:val="auto"/>
        </w:rPr>
        <w:t>（一）纯碱</w:t>
      </w:r>
    </w:p>
    <w:p>
      <w:pPr>
        <w:rPr>
          <w:color w:val="auto"/>
        </w:rPr>
      </w:pPr>
      <w:r>
        <w:rPr>
          <w:color w:val="auto"/>
        </w:rPr>
        <w:t>纯碱在医药化工领域的应用十分广泛，以下是具体的应用及相关信息：</w:t>
      </w:r>
    </w:p>
    <w:p>
      <w:pPr>
        <w:rPr>
          <w:color w:val="auto"/>
        </w:rPr>
      </w:pPr>
      <w:r>
        <w:rPr>
          <w:color w:val="auto"/>
        </w:rPr>
        <w:t>（1）药物成分</w:t>
      </w:r>
    </w:p>
    <w:p>
      <w:pPr>
        <w:rPr>
          <w:color w:val="auto"/>
        </w:rPr>
      </w:pPr>
      <w:r>
        <w:rPr>
          <w:color w:val="auto"/>
        </w:rPr>
        <w:t>纯碱可以作为抗胃酸药物的成分之一，用于治疗胃溃疡、食管炎等疾病。这一特性使其在医药行业中具有重要的地位。</w:t>
      </w:r>
    </w:p>
    <w:p>
      <w:pPr>
        <w:rPr>
          <w:color w:val="auto"/>
        </w:rPr>
      </w:pPr>
      <w:r>
        <w:rPr>
          <w:color w:val="auto"/>
        </w:rPr>
        <w:t>（2）抗菌作用</w:t>
      </w:r>
    </w:p>
    <w:p>
      <w:pPr>
        <w:rPr>
          <w:color w:val="auto"/>
        </w:rPr>
      </w:pPr>
      <w:r>
        <w:rPr>
          <w:color w:val="auto"/>
        </w:rPr>
        <w:t>纯碱具有抗菌作用，可以作为消毒剂的成分之一，用于清洁和消毒皮肤、手术器械等物品。此外，纯碱还可以用于制造抗生素，如对氨基水杨酸等，为医疗领域提供了有效的抗菌手段。</w:t>
      </w:r>
    </w:p>
    <w:p>
      <w:pPr>
        <w:rPr>
          <w:color w:val="auto"/>
        </w:rPr>
      </w:pPr>
      <w:r>
        <w:rPr>
          <w:color w:val="auto"/>
        </w:rPr>
        <w:t>（3）辅助药成分</w:t>
      </w:r>
    </w:p>
    <w:p>
      <w:pPr>
        <w:rPr>
          <w:color w:val="auto"/>
        </w:rPr>
      </w:pPr>
      <w:r>
        <w:rPr>
          <w:color w:val="auto"/>
        </w:rPr>
        <w:t>纯碱在医药领域的一个重要应用是调节体液平衡。它可以作为利尿剂的成分之一，促进尿液排泄，从而排出多余的水分和电解质。纯碱还可以用于制造渗透性利尿剂，如氯化钠、枸橼酸钠等，进一步体现了其在体液平衡调节方面的作用。</w:t>
      </w:r>
    </w:p>
    <w:p>
      <w:pPr>
        <w:rPr>
          <w:color w:val="auto"/>
        </w:rPr>
      </w:pPr>
      <w:r>
        <w:rPr>
          <w:color w:val="auto"/>
        </w:rPr>
        <w:t>（二）氯化铵</w:t>
      </w:r>
    </w:p>
    <w:p>
      <w:pPr>
        <w:rPr>
          <w:color w:val="auto"/>
        </w:rPr>
      </w:pPr>
      <w:r>
        <w:rPr>
          <w:color w:val="auto"/>
        </w:rPr>
        <w:t>氯化铵在医药化工领域的应用十分广泛，以下是具体的应用及相关信息：</w:t>
      </w:r>
    </w:p>
    <w:p>
      <w:pPr>
        <w:rPr>
          <w:color w:val="auto"/>
        </w:rPr>
      </w:pPr>
      <w:r>
        <w:rPr>
          <w:color w:val="auto"/>
        </w:rPr>
        <w:t>（1）药物成分</w:t>
      </w:r>
    </w:p>
    <w:p>
      <w:pPr>
        <w:rPr>
          <w:color w:val="auto"/>
        </w:rPr>
      </w:pPr>
      <w:r>
        <w:rPr>
          <w:color w:val="auto"/>
        </w:rPr>
        <w:t>氯化铵具有化痰止咳的作用。当氯化铵进入人体内，部分铵离子会迅速由肝脏代谢形成尿素，并由尿排出。因此，药用氯化铵一般用作祛痰药和利尿药的药物成分。</w:t>
      </w:r>
    </w:p>
    <w:p>
      <w:pPr>
        <w:rPr>
          <w:color w:val="auto"/>
        </w:rPr>
      </w:pPr>
      <w:r>
        <w:rPr>
          <w:color w:val="auto"/>
        </w:rPr>
        <w:t>（2）辅助药成分</w:t>
      </w:r>
    </w:p>
    <w:p>
      <w:pPr>
        <w:rPr>
          <w:color w:val="auto"/>
        </w:rPr>
      </w:pPr>
      <w:r>
        <w:rPr>
          <w:color w:val="auto"/>
        </w:rPr>
        <w:t>氯化铵具有刺激性气味，能反射性引起呼吸道腺体分泌增多，进而达到稀释痰液的目的。临床上常用于急慢性咽炎、支气管炎所致的咳嗽。</w:t>
      </w:r>
    </w:p>
    <w:p>
      <w:pPr>
        <w:rPr>
          <w:color w:val="auto"/>
        </w:rPr>
      </w:pPr>
      <w:r>
        <w:rPr>
          <w:color w:val="auto"/>
        </w:rPr>
        <w:t>氯化铵能够降低细胞外液容量，间接地使心脏排出量减少，从而降低血压。对于高血压患者而言，可以起到一定的辅助治疗效果。</w:t>
      </w:r>
    </w:p>
    <w:p>
      <w:pPr>
        <w:rPr>
          <w:color w:val="auto"/>
        </w:rPr>
      </w:pPr>
      <w:r>
        <w:rPr>
          <w:color w:val="auto"/>
        </w:rPr>
        <w:t>氯化铵是一种酸性物质，在进入人体后会刺激胃黏膜产生大量胃酸，胃酸经过食道反流到咽喉部，对局部产生刺激，继而抑制了神经反射性的咳嗽中枢，起到了镇咳的作用。</w:t>
      </w:r>
    </w:p>
    <w:p>
      <w:pPr>
        <w:rPr>
          <w:color w:val="auto"/>
        </w:rPr>
      </w:pPr>
      <w:r>
        <w:rPr>
          <w:color w:val="auto"/>
        </w:rPr>
        <w:t>（3）其他</w:t>
      </w:r>
    </w:p>
    <w:p>
      <w:pPr>
        <w:rPr>
          <w:color w:val="auto"/>
        </w:rPr>
      </w:pPr>
      <w:r>
        <w:rPr>
          <w:color w:val="auto"/>
        </w:rPr>
        <w:t>氯化铵在医药领域还有其他一些应用，如作为在药物合成中作为反应物或催化剂等。这些应用都体现了氯化铵在医药领域的广泛性和重要性。</w:t>
      </w:r>
    </w:p>
    <w:p>
      <w:pPr>
        <w:rPr>
          <w:color w:val="auto"/>
        </w:rPr>
      </w:pPr>
      <w:r>
        <w:rPr>
          <w:color w:val="auto"/>
        </w:rPr>
        <w:t>（三）乙烯</w:t>
      </w:r>
    </w:p>
    <w:p>
      <w:pPr>
        <w:rPr>
          <w:color w:val="auto"/>
        </w:rPr>
      </w:pPr>
      <w:r>
        <w:rPr>
          <w:color w:val="auto"/>
        </w:rPr>
        <w:t>乙烯在医药化工领域的应用十分广泛，以下是具体的应用及相关信息：</w:t>
      </w:r>
    </w:p>
    <w:p>
      <w:pPr>
        <w:rPr>
          <w:color w:val="auto"/>
        </w:rPr>
      </w:pPr>
      <w:r>
        <w:rPr>
          <w:color w:val="auto"/>
        </w:rPr>
        <w:t>（1）合成药物</w:t>
      </w:r>
    </w:p>
    <w:p>
      <w:pPr>
        <w:rPr>
          <w:color w:val="auto"/>
        </w:rPr>
      </w:pPr>
      <w:r>
        <w:rPr>
          <w:color w:val="auto"/>
        </w:rPr>
        <w:t>乙烯是合成药物的重要原料之一。通过合成乙烯，可以得到多种药物原料，如丁胺基和苄氯乙烯等。这些原料在药物合成过程中发挥重要的作用，为制药工业提供了基础原料。</w:t>
      </w:r>
    </w:p>
    <w:p>
      <w:pPr>
        <w:rPr>
          <w:color w:val="auto"/>
        </w:rPr>
      </w:pPr>
      <w:r>
        <w:rPr>
          <w:color w:val="auto"/>
        </w:rPr>
        <w:t>（2）临床麻醉药</w:t>
      </w:r>
    </w:p>
    <w:p>
      <w:pPr>
        <w:rPr>
          <w:color w:val="auto"/>
        </w:rPr>
      </w:pPr>
      <w:r>
        <w:rPr>
          <w:color w:val="auto"/>
        </w:rPr>
        <w:t>乙烯在临床麻醉中也有重要的应用。乙烯具有较好的麻醉效果，可以用于麻醉手术等医疗操作。相比其他常用的麻醉剂，乙烯具有快速麻醉、恢复迅速等特点，对于一些简单的手术和短时间的麻醉操作非常适用。</w:t>
      </w:r>
    </w:p>
    <w:p>
      <w:pPr>
        <w:rPr>
          <w:color w:val="auto"/>
        </w:rPr>
      </w:pPr>
      <w:r>
        <w:rPr>
          <w:color w:val="auto"/>
        </w:rPr>
        <w:t>（3）其他</w:t>
      </w:r>
    </w:p>
    <w:p>
      <w:pPr>
        <w:rPr>
          <w:color w:val="auto"/>
        </w:rPr>
      </w:pPr>
      <w:r>
        <w:rPr>
          <w:color w:val="auto"/>
        </w:rPr>
        <w:t>除了作为麻醉剂外，乙烯在医疗领域还有广泛的应用。例如，乙烯是合成麻醉药物异丙酚的关键原料；同时，乙烯因其轻盈、柔韧且不易变形的特性，在医疗器械制造中如手术手套、输液袋、输液管及血袋等医用塑料制品的制造中发挥着重要作用；此外，乙烯的抗腐蚀性和良好韧性还使其成为制造人工心脏壳体的理想材料。</w:t>
      </w:r>
    </w:p>
    <w:p>
      <w:pPr>
        <w:rPr>
          <w:color w:val="auto"/>
        </w:rPr>
      </w:pPr>
      <w:r>
        <w:rPr>
          <w:color w:val="auto"/>
        </w:rPr>
        <w:t>（四）合成氨</w:t>
      </w:r>
    </w:p>
    <w:p>
      <w:pPr>
        <w:rPr>
          <w:color w:val="auto"/>
        </w:rPr>
      </w:pPr>
      <w:r>
        <w:rPr>
          <w:color w:val="auto"/>
        </w:rPr>
        <w:t>合成氨在医药化工领域的应用十分广泛，以下是具体的应用及相关信息：</w:t>
      </w:r>
    </w:p>
    <w:p>
      <w:pPr>
        <w:rPr>
          <w:color w:val="auto"/>
        </w:rPr>
      </w:pPr>
      <w:r>
        <w:rPr>
          <w:color w:val="auto"/>
        </w:rPr>
        <w:t>（1）药物原料和医药中间体制造</w:t>
      </w:r>
    </w:p>
    <w:p>
      <w:pPr>
        <w:rPr>
          <w:color w:val="auto"/>
        </w:rPr>
      </w:pPr>
      <w:r>
        <w:rPr>
          <w:color w:val="auto"/>
        </w:rPr>
        <w:t>合成氨可用于制造多种药物原料和医药中间体，这些原料和中间体是制药过程中不可或缺的部分，例如合成氨被用于生产磺胺类药物等。</w:t>
      </w:r>
    </w:p>
    <w:p>
      <w:pPr>
        <w:rPr>
          <w:color w:val="auto"/>
        </w:rPr>
      </w:pPr>
      <w:r>
        <w:rPr>
          <w:color w:val="auto"/>
        </w:rPr>
        <w:t>（2）医药产业链支持</w:t>
      </w:r>
    </w:p>
    <w:p>
      <w:pPr>
        <w:rPr>
          <w:color w:val="auto"/>
        </w:rPr>
      </w:pPr>
      <w:r>
        <w:rPr>
          <w:color w:val="auto"/>
        </w:rPr>
        <w:t>合成氨作为基础化工原料，其生产的硝酸、纯碱及各种含氮无机盐等，为医药化工产业链提供了重要的支持。</w:t>
      </w:r>
    </w:p>
    <w:p>
      <w:pPr>
        <w:rPr>
          <w:color w:val="auto"/>
        </w:rPr>
      </w:pPr>
      <w:r>
        <w:rPr>
          <w:color w:val="auto"/>
        </w:rPr>
        <w:t>在医药研究中，合成氨可能作为某些化学合成过程的反应物或催化剂，用于制备新的药物或药物前体。</w:t>
      </w:r>
    </w:p>
    <w:p>
      <w:pPr>
        <w:pStyle w:val="3"/>
        <w:rPr>
          <w:color w:val="auto"/>
        </w:rPr>
      </w:pPr>
      <w:bookmarkStart w:id="137" w:name="_Toc192757704"/>
      <w:r>
        <w:rPr>
          <w:color w:val="auto"/>
        </w:rPr>
        <w:t>6.</w:t>
      </w:r>
      <w:r>
        <w:rPr>
          <w:rFonts w:hint="eastAsia"/>
          <w:color w:val="auto"/>
        </w:rPr>
        <w:t>7</w:t>
      </w:r>
      <w:r>
        <w:rPr>
          <w:color w:val="auto"/>
        </w:rPr>
        <w:t xml:space="preserve"> </w:t>
      </w:r>
      <w:r>
        <w:rPr>
          <w:rFonts w:hint="eastAsia"/>
          <w:color w:val="auto"/>
        </w:rPr>
        <w:t>下一步工作重点</w:t>
      </w:r>
      <w:bookmarkEnd w:id="137"/>
    </w:p>
    <w:p>
      <w:r>
        <w:rPr>
          <w:rFonts w:hint="eastAsia"/>
        </w:rPr>
        <w:t>结合前文分析，</w:t>
      </w:r>
      <w:bookmarkStart w:id="138" w:name="OLE_LINK2"/>
      <w:r>
        <w:rPr>
          <w:rFonts w:hint="eastAsia"/>
        </w:rPr>
        <w:t>园区</w:t>
      </w:r>
      <w:bookmarkEnd w:id="138"/>
      <w:r>
        <w:rPr>
          <w:rFonts w:hint="eastAsia"/>
        </w:rPr>
        <w:t>下一步招商引资工作重点可以侧重于以下几个产业产品。</w:t>
      </w:r>
    </w:p>
    <w:p>
      <w:pPr>
        <w:rPr>
          <w:color w:val="auto"/>
        </w:rPr>
      </w:pPr>
      <w:r>
        <w:rPr>
          <w:rFonts w:hint="eastAsia"/>
          <w:color w:val="auto"/>
        </w:rPr>
        <w:t>（一）药用辅料</w:t>
      </w:r>
    </w:p>
    <w:p>
      <w:bookmarkStart w:id="139" w:name="OLE_LINK7"/>
      <w:r>
        <w:rPr>
          <w:rFonts w:hint="eastAsia"/>
        </w:rPr>
        <w:t>园区内目前药用辅料主要生产企业为</w:t>
      </w:r>
      <w:bookmarkEnd w:id="139"/>
      <w:bookmarkStart w:id="140" w:name="OLE_LINK5"/>
      <w:r>
        <w:rPr>
          <w:color w:val="auto"/>
          <w:szCs w:val="21"/>
        </w:rPr>
        <w:t>安徽山河药用辅料股份有限公司</w:t>
      </w:r>
      <w:bookmarkEnd w:id="140"/>
      <w:r>
        <w:rPr>
          <w:rFonts w:hint="eastAsia"/>
          <w:color w:val="auto"/>
          <w:szCs w:val="21"/>
        </w:rPr>
        <w:t>，其目前产品主要为</w:t>
      </w:r>
      <w:r>
        <w:rPr>
          <w:color w:val="auto"/>
          <w:szCs w:val="21"/>
        </w:rPr>
        <w:t>年产5000吨/年微晶纤维素、年产200吨/年硬脂富马酸钠、年产500吨/年交联羧甲纤维素钠、年产2800吨/年羟丙甲纤维素、年产500吨/年交联聚维酮。</w:t>
      </w:r>
    </w:p>
    <w:p>
      <w:pPr>
        <w:rPr>
          <w:color w:val="auto"/>
          <w:szCs w:val="21"/>
        </w:rPr>
      </w:pPr>
      <w:bookmarkStart w:id="141" w:name="OLE_LINK9"/>
      <w:r>
        <w:rPr>
          <w:rFonts w:hint="eastAsia"/>
        </w:rPr>
        <w:t>下一步可以围绕</w:t>
      </w:r>
      <w:r>
        <w:rPr>
          <w:color w:val="auto"/>
          <w:szCs w:val="21"/>
        </w:rPr>
        <w:t>安徽山河药用辅料股份有限公司</w:t>
      </w:r>
      <w:r>
        <w:rPr>
          <w:rFonts w:hint="eastAsia"/>
          <w:color w:val="auto"/>
          <w:szCs w:val="21"/>
        </w:rPr>
        <w:t>现有产品做产品研发和产业升级，进一步加大淮南经开化工园区</w:t>
      </w:r>
      <w:bookmarkStart w:id="142" w:name="OLE_LINK6"/>
      <w:r>
        <w:rPr>
          <w:rFonts w:hint="eastAsia"/>
          <w:color w:val="auto"/>
          <w:szCs w:val="21"/>
        </w:rPr>
        <w:t>药用辅料</w:t>
      </w:r>
      <w:bookmarkEnd w:id="142"/>
      <w:r>
        <w:rPr>
          <w:rFonts w:hint="eastAsia"/>
          <w:color w:val="auto"/>
          <w:szCs w:val="21"/>
        </w:rPr>
        <w:t>的产业发展。</w:t>
      </w:r>
      <w:bookmarkEnd w:id="141"/>
      <w:bookmarkStart w:id="143" w:name="OLE_LINK12"/>
      <w:r>
        <w:rPr>
          <w:rFonts w:hint="eastAsia"/>
          <w:color w:val="auto"/>
          <w:szCs w:val="21"/>
        </w:rPr>
        <w:t>药用辅料的发展趋势有以下几个方面：</w:t>
      </w:r>
    </w:p>
    <w:bookmarkEnd w:id="143"/>
    <w:p>
      <w:pPr>
        <w:rPr>
          <w:color w:val="auto"/>
          <w:szCs w:val="21"/>
        </w:rPr>
      </w:pPr>
      <w:r>
        <w:rPr>
          <w:rFonts w:hint="eastAsia"/>
          <w:color w:val="auto"/>
          <w:szCs w:val="21"/>
        </w:rPr>
        <w:t>（1）</w:t>
      </w:r>
      <w:r>
        <w:rPr>
          <w:color w:val="auto"/>
          <w:szCs w:val="21"/>
        </w:rPr>
        <w:t>高端化需求持续增长：随着创新药物研发的不断深入，尤其是生物药、靶向药等新型药物的兴起，对药用辅料的质量、性能和安全性提出了更高的要求。具有高纯度、低杂质、良好生物相容性和精准功能性的高端药用辅料将成为市场的主流需求。</w:t>
      </w:r>
    </w:p>
    <w:p>
      <w:pPr>
        <w:rPr>
          <w:color w:val="auto"/>
          <w:szCs w:val="21"/>
        </w:rPr>
      </w:pPr>
      <w:r>
        <w:rPr>
          <w:rFonts w:hint="eastAsia"/>
          <w:color w:val="auto"/>
          <w:szCs w:val="21"/>
        </w:rPr>
        <w:t>（2）</w:t>
      </w:r>
      <w:r>
        <w:rPr>
          <w:color w:val="auto"/>
          <w:szCs w:val="21"/>
        </w:rPr>
        <w:t>绿色环保成为新趋势：在全球倡导可持续发展的背景下，药用辅料产业也面临着绿色环保的压力。开发和使用环境友好型、可降解的药用辅料，减少生产过程中的能源消耗和污染物排放，将成为行业发展的重要方向。</w:t>
      </w:r>
    </w:p>
    <w:p>
      <w:pPr>
        <w:rPr>
          <w:color w:val="auto"/>
          <w:szCs w:val="21"/>
        </w:rPr>
      </w:pPr>
      <w:r>
        <w:rPr>
          <w:rFonts w:hint="eastAsia"/>
          <w:color w:val="auto"/>
          <w:szCs w:val="21"/>
        </w:rPr>
        <w:t>（3）</w:t>
      </w:r>
      <w:r>
        <w:rPr>
          <w:color w:val="auto"/>
          <w:szCs w:val="21"/>
        </w:rPr>
        <w:t>技术创新推动产业升级：先进的制备技术、材料科学和生物技术的不断融合，将为药用辅料产业带来新的技术突破。例如，纳米技术在药用辅料制备中的应用，可以实现药物的精准递送和控释；3D打印技术的发展，为定制化药用辅料的生产提供了可能。</w:t>
      </w:r>
    </w:p>
    <w:p>
      <w:pPr>
        <w:rPr>
          <w:color w:val="auto"/>
          <w:szCs w:val="21"/>
        </w:rPr>
      </w:pPr>
      <w:r>
        <w:rPr>
          <w:rFonts w:hint="eastAsia"/>
          <w:color w:val="auto"/>
          <w:szCs w:val="21"/>
        </w:rPr>
        <w:t>（4）</w:t>
      </w:r>
      <w:r>
        <w:rPr>
          <w:color w:val="auto"/>
          <w:szCs w:val="21"/>
        </w:rPr>
        <w:t>国际化合作日益紧密：随着全球医药市场的一体化进程加速，药用辅料企业之间的国际化合作不断加强。通过技术引进、合资建厂、战略合作等方式，企业可以充分利用全球资源，提升自身的技术水平和市场竞争力，拓展国际市场份额。</w:t>
      </w:r>
    </w:p>
    <w:p>
      <w:pPr>
        <w:rPr>
          <w:color w:val="auto"/>
        </w:rPr>
      </w:pPr>
      <w:r>
        <w:rPr>
          <w:rFonts w:hint="eastAsia"/>
          <w:color w:val="auto"/>
        </w:rPr>
        <w:t>（二）</w:t>
      </w:r>
      <w:bookmarkStart w:id="144" w:name="OLE_LINK8"/>
      <w:bookmarkStart w:id="145" w:name="OLE_LINK11"/>
      <w:r>
        <w:rPr>
          <w:rFonts w:hint="eastAsia"/>
          <w:color w:val="auto"/>
        </w:rPr>
        <w:t>制剂型原料药</w:t>
      </w:r>
      <w:bookmarkEnd w:id="144"/>
    </w:p>
    <w:bookmarkEnd w:id="145"/>
    <w:p>
      <w:pPr>
        <w:rPr>
          <w:color w:val="auto"/>
        </w:rPr>
      </w:pPr>
      <w:r>
        <w:rPr>
          <w:rFonts w:hint="eastAsia"/>
        </w:rPr>
        <w:t>园区内目前</w:t>
      </w:r>
      <w:r>
        <w:rPr>
          <w:rFonts w:hint="eastAsia"/>
          <w:color w:val="auto"/>
        </w:rPr>
        <w:t>制剂型原料药</w:t>
      </w:r>
      <w:r>
        <w:rPr>
          <w:rFonts w:hint="eastAsia"/>
        </w:rPr>
        <w:t>主要生产企业为</w:t>
      </w:r>
      <w:bookmarkStart w:id="146" w:name="OLE_LINK10"/>
      <w:r>
        <w:rPr>
          <w:color w:val="auto"/>
        </w:rPr>
        <w:t>国药集团国瑞药业有限公司</w:t>
      </w:r>
      <w:bookmarkEnd w:id="146"/>
      <w:r>
        <w:rPr>
          <w:rFonts w:hint="eastAsia"/>
          <w:color w:val="auto"/>
        </w:rPr>
        <w:t>，</w:t>
      </w:r>
      <w:r>
        <w:rPr>
          <w:color w:val="auto"/>
        </w:rPr>
        <w:t>国药集团国瑞药业有限公司主要产品为年产冻干粉针制剂14336.5万支、年产粉针制剂9565.54万支、年产口服固体制剂16485.94万粒、年产小容量注射剂8872.23万支、年产原料药547.14kg。</w:t>
      </w:r>
    </w:p>
    <w:p>
      <w:pPr>
        <w:rPr>
          <w:color w:val="auto"/>
          <w:szCs w:val="21"/>
        </w:rPr>
      </w:pPr>
      <w:r>
        <w:rPr>
          <w:rFonts w:hint="eastAsia"/>
          <w:color w:val="auto"/>
        </w:rPr>
        <w:t>下一步可以围绕</w:t>
      </w:r>
      <w:r>
        <w:rPr>
          <w:color w:val="auto"/>
        </w:rPr>
        <w:t>国药集团国瑞药业有限公司</w:t>
      </w:r>
      <w:r>
        <w:rPr>
          <w:rFonts w:hint="eastAsia"/>
          <w:color w:val="auto"/>
        </w:rPr>
        <w:t>现有产品做产品研发和产业升级，进一步加大淮南经开化工园区制剂型原料药的产业发展。</w:t>
      </w:r>
      <w:r>
        <w:rPr>
          <w:rFonts w:hint="eastAsia"/>
          <w:color w:val="auto"/>
          <w:szCs w:val="21"/>
        </w:rPr>
        <w:t>制剂型原料药发展趋势有以下几个方面：</w:t>
      </w:r>
    </w:p>
    <w:p>
      <w:pPr>
        <w:tabs>
          <w:tab w:val="left" w:pos="720"/>
        </w:tabs>
        <w:rPr>
          <w:color w:val="auto"/>
        </w:rPr>
      </w:pPr>
      <w:r>
        <w:rPr>
          <w:rFonts w:hint="eastAsia"/>
          <w:color w:val="auto"/>
        </w:rPr>
        <w:t>（1）</w:t>
      </w:r>
      <w:r>
        <w:rPr>
          <w:color w:val="auto"/>
        </w:rPr>
        <w:t>定制化需求日益凸显：随着药物研发的个性化趋势增强，对制剂型原料药的定制化需求不断上升。制药企业针对特定疾病靶点开发创新药物时，往往需要定制具有特殊结构和性能的原料药。这就要求制剂型原料药生产企业具备强大的研发能力和灵活的生产工艺，能够根据客户需求快速开发和生产定制化产品，提供从工艺研发到商业化生产的一站式解决方案。</w:t>
      </w:r>
    </w:p>
    <w:p>
      <w:pPr>
        <w:tabs>
          <w:tab w:val="left" w:pos="720"/>
        </w:tabs>
        <w:rPr>
          <w:color w:val="auto"/>
        </w:rPr>
      </w:pPr>
      <w:r>
        <w:rPr>
          <w:rFonts w:hint="eastAsia"/>
          <w:color w:val="auto"/>
        </w:rPr>
        <w:t>（2）</w:t>
      </w:r>
      <w:r>
        <w:rPr>
          <w:color w:val="auto"/>
        </w:rPr>
        <w:t>绿色生产成为必然趋势：在全球环保意识不断提高的背景下，制剂型原料药产业面临着绿色生产的压力。传统原料药生产过程中存在高能耗、高污染等问题，而绿色化学工艺的应用成为解决这些问题的关键。例如，采用生物催化技术替代传统化学合成方法，可以减少化学试剂的使用，降低废弃物排放；优化生产流程，实现资源的循环利用，提高能源利用效率。绿色生产不仅有助于企业降低生产成本，还能提升企业的社会形象和市场竞争力。</w:t>
      </w:r>
    </w:p>
    <w:p>
      <w:pPr>
        <w:rPr>
          <w:color w:val="auto"/>
        </w:rPr>
      </w:pPr>
      <w:r>
        <w:rPr>
          <w:rFonts w:hint="eastAsia"/>
          <w:color w:val="auto"/>
        </w:rPr>
        <w:t>（3）</w:t>
      </w:r>
      <w:r>
        <w:rPr>
          <w:color w:val="auto"/>
        </w:rPr>
        <w:t>数字化与智能化加速融合：信息技术的飞速发展为制剂型原料药产业带来了数字化和智能化变革机遇。通过引入自动化控制系统、大数据分析技术和人工智能算法，企业可以实现生产过程的精准控制和优化管理。例如，利用传感器实时监测生产过程中的各项参数，通过数据分析及时调整工艺条件，确保产品质量的稳定性；借助人工智能算法对研发数据进行挖掘和分析，加速新药研发进程。数字化与智能化的融合将大幅提高生产效率，降低人力成本，提升产品质量的一致性。</w:t>
      </w:r>
    </w:p>
    <w:p>
      <w:pPr>
        <w:rPr>
          <w:color w:val="auto"/>
        </w:rPr>
      </w:pPr>
      <w:r>
        <w:rPr>
          <w:rFonts w:hint="eastAsia"/>
          <w:color w:val="auto"/>
        </w:rPr>
        <w:t>（4）</w:t>
      </w:r>
      <w:r>
        <w:rPr>
          <w:color w:val="auto"/>
        </w:rPr>
        <w:t>国际合作持续深化：全球医药市场的一体化进程加速，制剂型原料药产业的国际合作日益紧密。跨国企业通过技术转移、合资建厂、战略合作等方式，整合全球资源，优化产业布局。国内企业也积极参与国际合作，一方面引进国外先进技术和管理经验，提升自身技术水平和管理能力；另一方面，借助国际合作平台，将产品推向国际市场，拓展海外业务。国际合作有助于企业在全球范围内配置资源，提升产业链协同效率，共同应对市场竞争和技术挑战。</w:t>
      </w:r>
    </w:p>
    <w:p>
      <w:pPr>
        <w:rPr>
          <w:color w:val="auto"/>
        </w:rPr>
      </w:pPr>
      <w:r>
        <w:rPr>
          <w:rFonts w:hint="eastAsia"/>
          <w:color w:val="auto"/>
        </w:rPr>
        <w:t>（三）水性</w:t>
      </w:r>
      <w:bookmarkStart w:id="147" w:name="OLE_LINK13"/>
      <w:r>
        <w:rPr>
          <w:rFonts w:hint="eastAsia"/>
          <w:color w:val="auto"/>
        </w:rPr>
        <w:t>氨基酸</w:t>
      </w:r>
      <w:bookmarkEnd w:id="147"/>
    </w:p>
    <w:p>
      <w:pPr>
        <w:rPr>
          <w:color w:val="auto"/>
        </w:rPr>
      </w:pPr>
      <w:r>
        <w:rPr>
          <w:color w:val="auto"/>
        </w:rPr>
        <w:t>水性氨基酸产业作为生物化工领域的重要分支，在多个行业有着广泛应用，其发展动态备受关注。从基础研究到实际应用，水性氨基酸产业在全球范围内呈现出独特的发展态势。</w:t>
      </w:r>
    </w:p>
    <w:p>
      <w:pPr>
        <w:rPr>
          <w:color w:val="auto"/>
        </w:rPr>
      </w:pPr>
      <w:r>
        <w:rPr>
          <w:rFonts w:hint="eastAsia"/>
          <w:color w:val="auto"/>
        </w:rPr>
        <w:t>（1）</w:t>
      </w:r>
      <w:r>
        <w:rPr>
          <w:color w:val="auto"/>
        </w:rPr>
        <w:t>产业现状</w:t>
      </w:r>
    </w:p>
    <w:p>
      <w:pPr>
        <w:tabs>
          <w:tab w:val="left" w:pos="720"/>
        </w:tabs>
        <w:rPr>
          <w:color w:val="auto"/>
        </w:rPr>
      </w:pPr>
      <w:r>
        <w:rPr>
          <w:color w:val="auto"/>
        </w:rPr>
        <w:t>市场规模逐步拓展：随着人们对健康生活的追求以及各应用行业的发展，水性氨基酸的市场需求稳步增长。在食品与饮料行业，水性氨基酸作为营养强化剂、调味剂被广泛添加，用于提升产品的营养价值与风味。在化妆品领域，因其良好的保湿、滋养特性，常被用于护肤品配方。在医药行业，水性氨基酸在输液、营养补充剂等产品中不可或缺。过去几年，全球水性氨基酸市场规模以年均</w:t>
      </w:r>
      <w:r>
        <w:rPr>
          <w:rFonts w:hint="eastAsia"/>
          <w:color w:val="auto"/>
        </w:rPr>
        <w:t>15</w:t>
      </w:r>
      <w:r>
        <w:rPr>
          <w:color w:val="auto"/>
        </w:rPr>
        <w:t>%的速度递增，国内市场同样发展迅速，随着国内消费升级以及相关产业政策的扶持，国内水性氨基酸市场在全球市场中的份额逐年提升。</w:t>
      </w:r>
    </w:p>
    <w:p>
      <w:pPr>
        <w:tabs>
          <w:tab w:val="left" w:pos="720"/>
        </w:tabs>
        <w:rPr>
          <w:color w:val="auto"/>
        </w:rPr>
      </w:pPr>
      <w:r>
        <w:rPr>
          <w:color w:val="auto"/>
        </w:rPr>
        <w:t>生产技术持续革新：目前，水性氨基酸的生产主要采用发酵法、化学合成法以及酶解法等。发酵法凭借其原料来源广泛、反应条件温和等优势，成为主流生产方式。在发酵技术方面，通过对微生物菌株的选育与改良，以及发酵工艺的优化，显著提高了水性氨基酸的产量与纯度。例如，利用基因工程技术构建高效生产特定水性氨基酸的工程菌，可大幅提升生产效率。同时，化学合成法与酶解法也在不断改进，通过新催化剂的研发、反应路径的优化等手段，提高产品质量，降低生产成本。</w:t>
      </w:r>
    </w:p>
    <w:p>
      <w:pPr>
        <w:rPr>
          <w:color w:val="auto"/>
        </w:rPr>
      </w:pPr>
      <w:r>
        <w:rPr>
          <w:color w:val="auto"/>
        </w:rPr>
        <w:t>企业格局逐渐明晰：全球水性氨基酸市场中，大型跨国企业凭借先进的技术、丰富的产品线以及强大的市场推广能力，在高端市场占据主导地位。这些企业通常拥有完善的研发体系与全球销售网络，能够快速响应市场需求。而国内企业数量众多，部分企业在特定水性氨基酸产品上形成了规模优势，通过成本控制与价格策略，在中低端市场具有较强竞争力。但整体而言，国内企业在技术创新、品牌建设方面与国际企业存在差距，在高端产品市场的份额有待进一步提升。</w:t>
      </w:r>
    </w:p>
    <w:p>
      <w:pPr>
        <w:rPr>
          <w:color w:val="auto"/>
        </w:rPr>
      </w:pPr>
      <w:r>
        <w:rPr>
          <w:rFonts w:hint="eastAsia"/>
          <w:color w:val="auto"/>
        </w:rPr>
        <w:t>（2）</w:t>
      </w:r>
      <w:r>
        <w:rPr>
          <w:color w:val="auto"/>
        </w:rPr>
        <w:t>发展趋势</w:t>
      </w:r>
    </w:p>
    <w:p>
      <w:pPr>
        <w:tabs>
          <w:tab w:val="left" w:pos="720"/>
        </w:tabs>
        <w:rPr>
          <w:color w:val="auto"/>
        </w:rPr>
      </w:pPr>
      <w:r>
        <w:rPr>
          <w:color w:val="auto"/>
        </w:rPr>
        <w:t>功能化产品需求增长：随着消费者对产品功能需求的多样化，具有特殊功能的水性氨基酸产品将成为市场新宠。例如，具有抗氧化、抗皱、促进细胞修复等功能的水性氨基酸在化妆品领域的需求日益增长；在医药领域，具备靶向输送、缓释功能的水性氨基酸制剂研发成为热点。这就要求企业加大研发投入，开发出更多功能化、差异化的水性氨基酸产品，满足不同行业的特定需求。</w:t>
      </w:r>
    </w:p>
    <w:p>
      <w:pPr>
        <w:tabs>
          <w:tab w:val="left" w:pos="720"/>
        </w:tabs>
        <w:rPr>
          <w:color w:val="auto"/>
        </w:rPr>
      </w:pPr>
      <w:r>
        <w:rPr>
          <w:color w:val="auto"/>
        </w:rPr>
        <w:t>绿色可持续发展：在环保意识日益增强的大背景下，水性氨基酸产业的绿色可持续发展成为必然趋势。一方面，生产企业将更加注重原料的可持续性，选用可再生、环保型原料进行生产。例如，利用农业废弃物、生物质资源等作为发酵原料，降低对传统化石原料的依赖。另一方面，优化生产工艺，减少生产过程中的能源消耗与污染物排放。如采用清洁生产技术，实现废水、废气的达标排放与资源回收利用，提升企业的环境友好形象。</w:t>
      </w:r>
    </w:p>
    <w:p>
      <w:pPr>
        <w:rPr>
          <w:color w:val="auto"/>
        </w:rPr>
      </w:pPr>
      <w:r>
        <w:rPr>
          <w:color w:val="auto"/>
        </w:rPr>
        <w:t>跨界融合加速：水性氨基酸产业与其他领域的跨界融合将进一步加深。在生物科技领域，与基因编辑、细胞治疗技术相结合，开发用于细胞培养、基因载体的新型水性氨基酸产品。在材料科学领域，与纳米技术、高分子材料技术融合，制备具有特殊性能的氨基酸基材料，应用于生物传感器、药物缓释载体等。跨界融合将为水性氨基酸产业创造新的增长点，拓展更广阔的市场空间。</w:t>
      </w:r>
    </w:p>
    <w:p>
      <w:pPr>
        <w:rPr>
          <w:color w:val="auto"/>
        </w:rPr>
      </w:pPr>
      <w:r>
        <w:rPr>
          <w:color w:val="auto"/>
        </w:rPr>
        <w:t>数字化驱动产业升级：信息技术的发展将为水性氨基酸产业带来数字化变革。通过引入大数据分析技术，企业能够对生产过程中的数据进行实时监测与分析，优化生产参数，提高生产效率与产品质量稳定性。利用人工智能算法，辅助水性氨基酸的分子设计与工艺研发，缩短研发周期。同时，数字化营销手段的应用，有助于企业更精准地把握市场需求，拓展销售渠道，提升市场竞争力。</w:t>
      </w:r>
    </w:p>
    <w:p>
      <w:pPr>
        <w:rPr>
          <w:color w:val="auto"/>
        </w:rPr>
      </w:pPr>
      <w:r>
        <w:rPr>
          <w:rFonts w:hint="eastAsia"/>
          <w:color w:val="auto"/>
        </w:rPr>
        <w:t>（四）</w:t>
      </w:r>
      <w:bookmarkStart w:id="148" w:name="OLE_LINK19"/>
      <w:r>
        <w:rPr>
          <w:rFonts w:hint="eastAsia"/>
          <w:color w:val="auto"/>
        </w:rPr>
        <w:t>维生素类</w:t>
      </w:r>
      <w:bookmarkEnd w:id="148"/>
      <w:r>
        <w:rPr>
          <w:rFonts w:hint="eastAsia"/>
          <w:color w:val="auto"/>
        </w:rPr>
        <w:t>产品</w:t>
      </w:r>
    </w:p>
    <w:p>
      <w:pPr>
        <w:rPr>
          <w:color w:val="auto"/>
        </w:rPr>
      </w:pPr>
      <w:r>
        <w:rPr>
          <w:rFonts w:hint="eastAsia"/>
        </w:rPr>
        <w:t>园区内目前</w:t>
      </w:r>
      <w:bookmarkStart w:id="149" w:name="OLE_LINK17"/>
      <w:r>
        <w:rPr>
          <w:rFonts w:hint="eastAsia"/>
          <w:color w:val="auto"/>
        </w:rPr>
        <w:t>维生素类产品</w:t>
      </w:r>
      <w:bookmarkEnd w:id="149"/>
      <w:r>
        <w:rPr>
          <w:rFonts w:hint="eastAsia"/>
        </w:rPr>
        <w:t>主要生产企业为</w:t>
      </w:r>
      <w:r>
        <w:rPr>
          <w:color w:val="auto"/>
        </w:rPr>
        <w:t>淮南市健坤制药有限公司</w:t>
      </w:r>
      <w:r>
        <w:rPr>
          <w:rFonts w:hint="eastAsia"/>
          <w:color w:val="auto"/>
        </w:rPr>
        <w:t>，</w:t>
      </w:r>
      <w:bookmarkStart w:id="150" w:name="OLE_LINK18"/>
      <w:r>
        <w:rPr>
          <w:color w:val="auto"/>
        </w:rPr>
        <w:t>淮南市健坤制药有限公司</w:t>
      </w:r>
      <w:bookmarkEnd w:id="150"/>
      <w:r>
        <w:rPr>
          <w:color w:val="auto"/>
        </w:rPr>
        <w:t>目前在建500吨/年酵母粉、2吨/年骨化二醇、2吨/年维生素D2、20吨/年去氢孕酮、10吨/年麦角甾醇，属于精细化工（医药）产业。</w:t>
      </w:r>
    </w:p>
    <w:p>
      <w:pPr>
        <w:rPr>
          <w:color w:val="auto"/>
        </w:rPr>
      </w:pPr>
      <w:r>
        <w:rPr>
          <w:rFonts w:hint="eastAsia"/>
          <w:color w:val="auto"/>
        </w:rPr>
        <w:t>下一步可以围绕</w:t>
      </w:r>
      <w:r>
        <w:rPr>
          <w:color w:val="auto"/>
        </w:rPr>
        <w:t>淮南市健坤制药有限公司</w:t>
      </w:r>
      <w:r>
        <w:rPr>
          <w:rFonts w:hint="eastAsia"/>
          <w:color w:val="auto"/>
        </w:rPr>
        <w:t>现有产品做产品研发和产业升级，进一步加大淮南经开化工园区维生素类产品的产业发展。维生素类产品产业发展趋势有以下几个方面：</w:t>
      </w:r>
    </w:p>
    <w:p>
      <w:pPr>
        <w:tabs>
          <w:tab w:val="left" w:pos="720"/>
        </w:tabs>
        <w:rPr>
          <w:color w:val="auto"/>
        </w:rPr>
      </w:pPr>
      <w:bookmarkStart w:id="151" w:name="OLE_LINK20"/>
      <w:r>
        <w:rPr>
          <w:rFonts w:hint="eastAsia"/>
          <w:color w:val="auto"/>
        </w:rPr>
        <w:t>（1）</w:t>
      </w:r>
      <w:bookmarkEnd w:id="151"/>
      <w:r>
        <w:rPr>
          <w:color w:val="auto"/>
        </w:rPr>
        <w:t>高端化、定制化需求凸显：随着消费者对产品品质与功效要求的不断提高，高端化、定制化维生素类产品将成为市场发展的新趋势。在医药领域，针对特定疾病、不同人群（如孕妇、老年人、运动员等）开发的定制化维生素制剂需求增加，这类产品要求更高的纯度、更好的生物利用度以及精准的配方设计。在食品与化妆品行业，消费者对具有特殊功能（如抗糖化、改善睡眠、增强免疫力等）的高端维生素产品兴趣浓厚。这就促使企业加大研发投入，开发具有更高技术含量、个性化的维生素类产品，满足市场多样化需求。</w:t>
      </w:r>
    </w:p>
    <w:p>
      <w:pPr>
        <w:tabs>
          <w:tab w:val="left" w:pos="720"/>
        </w:tabs>
        <w:rPr>
          <w:color w:val="auto"/>
        </w:rPr>
      </w:pPr>
      <w:bookmarkStart w:id="152" w:name="OLE_LINK21"/>
      <w:r>
        <w:rPr>
          <w:rFonts w:hint="eastAsia"/>
          <w:color w:val="auto"/>
        </w:rPr>
        <w:t>（2）</w:t>
      </w:r>
      <w:bookmarkEnd w:id="152"/>
      <w:r>
        <w:rPr>
          <w:color w:val="auto"/>
        </w:rPr>
        <w:t>绿色环保生产成为主流：在全球环保意识日益增强的背景下，维生素类产品产业朝着绿色环保生产方向发展。一方面，企业将更多采用可再生原料、清洁能源进行生产，减少对环境的负面影响。例如，利用生物质资源替代传统化石原料作为发酵底物，降低碳排放量。另一方面，优化生产工艺，提高资源利用率，减少废弃物排放。通过采用绿色化学工艺、循环生产技术等，实现生产过程的节能减排，提升企业的可持续发展能力，符合社会对绿色产品的需求趋势。</w:t>
      </w:r>
    </w:p>
    <w:p>
      <w:pPr>
        <w:rPr>
          <w:color w:val="auto"/>
        </w:rPr>
      </w:pPr>
      <w:bookmarkStart w:id="153" w:name="OLE_LINK22"/>
      <w:r>
        <w:rPr>
          <w:rFonts w:hint="eastAsia"/>
          <w:color w:val="auto"/>
        </w:rPr>
        <w:t>（3）</w:t>
      </w:r>
      <w:bookmarkEnd w:id="153"/>
      <w:r>
        <w:rPr>
          <w:color w:val="auto"/>
        </w:rPr>
        <w:t>跨界融合创新加速：维生素类产品产业与其他领域的跨界融合将进一步加速。在生物科技领域，与基因检测、精准营养技术相结合，开发基于个体基因特征的定制化维生素产品，实现精准营养干预。在材料科学领域，与纳米技术、微胶囊技术融合，制备具有缓释、靶向输送功能的维生素载体，提高维生素的稳定性与生物利用度，拓展其在医药、食品等行业的应用范围。跨界融合将为维生素类产品产业带来新的技术突破与市场机遇，创造更多高附加值产品。</w:t>
      </w:r>
    </w:p>
    <w:p>
      <w:pPr>
        <w:rPr>
          <w:color w:val="auto"/>
        </w:rPr>
      </w:pPr>
      <w:r>
        <w:rPr>
          <w:rFonts w:hint="eastAsia"/>
          <w:color w:val="auto"/>
        </w:rPr>
        <w:t>（4）</w:t>
      </w:r>
      <w:r>
        <w:rPr>
          <w:color w:val="auto"/>
        </w:rPr>
        <w:t>数字化推动产业升级：信息技术的发展将助力维生素类产品产业实现数字化升级。通过引入大数据分析技术，企业能够实时监测市场需求、生产过程以及产品质量数据，优化生产计划与供应链管理，提高生产效率与产品质量稳定性。利用人工智能算法辅助维生素的分子设计与工艺研发，缩短研发周期，降低研发成本。同时，数字化营销手段的应用，有助于企业更精准地触达消费者，拓展销售渠道，提升品牌影响力与市场竞争力。</w:t>
      </w:r>
    </w:p>
    <w:p>
      <w:pPr>
        <w:rPr>
          <w:color w:val="auto"/>
        </w:rPr>
      </w:pPr>
    </w:p>
    <w:p>
      <w:pPr>
        <w:pStyle w:val="33"/>
        <w:rPr>
          <w:color w:val="auto"/>
        </w:rPr>
        <w:sectPr>
          <w:pgSz w:w="11906" w:h="16838"/>
          <w:pgMar w:top="1440" w:right="1800" w:bottom="1440" w:left="1800" w:header="851" w:footer="992" w:gutter="0"/>
          <w:cols w:space="425" w:num="1"/>
          <w:docGrid w:type="lines" w:linePitch="312" w:charSpace="0"/>
        </w:sectPr>
      </w:pPr>
    </w:p>
    <w:p>
      <w:pPr>
        <w:pStyle w:val="2"/>
        <w:rPr>
          <w:rFonts w:ascii="Times New Roman" w:hAnsi="Times New Roman" w:eastAsia="仿宋_GB2312" w:cs="Times New Roman"/>
          <w:b/>
          <w:bCs/>
          <w:color w:val="auto"/>
          <w:kern w:val="36"/>
        </w:rPr>
      </w:pPr>
      <w:bookmarkStart w:id="154" w:name="_Toc192757705"/>
      <w:bookmarkStart w:id="155" w:name="_Toc28471"/>
      <w:bookmarkStart w:id="156" w:name="_Toc24583"/>
      <w:r>
        <w:rPr>
          <w:rFonts w:ascii="Times New Roman" w:hAnsi="Times New Roman" w:eastAsia="仿宋_GB2312" w:cs="Times New Roman"/>
          <w:b/>
          <w:bCs/>
          <w:color w:val="auto"/>
          <w:kern w:val="36"/>
        </w:rPr>
        <w:t>第七章  规划项目效果分析</w:t>
      </w:r>
      <w:bookmarkEnd w:id="154"/>
      <w:bookmarkEnd w:id="155"/>
      <w:bookmarkEnd w:id="156"/>
    </w:p>
    <w:p>
      <w:pPr>
        <w:pStyle w:val="3"/>
        <w:rPr>
          <w:color w:val="auto"/>
        </w:rPr>
      </w:pPr>
      <w:bookmarkStart w:id="157" w:name="_Toc19699"/>
      <w:bookmarkStart w:id="158" w:name="_Toc15017"/>
      <w:bookmarkStart w:id="159" w:name="_Toc192757706"/>
      <w:r>
        <w:rPr>
          <w:color w:val="auto"/>
        </w:rPr>
        <w:t>7.1</w:t>
      </w:r>
      <w:bookmarkEnd w:id="157"/>
      <w:r>
        <w:rPr>
          <w:color w:val="auto"/>
        </w:rPr>
        <w:t xml:space="preserve"> 经济效益分析</w:t>
      </w:r>
      <w:bookmarkEnd w:id="158"/>
      <w:bookmarkEnd w:id="159"/>
    </w:p>
    <w:p>
      <w:pPr>
        <w:pStyle w:val="4"/>
        <w:rPr>
          <w:color w:val="auto"/>
        </w:rPr>
      </w:pPr>
      <w:bookmarkStart w:id="160" w:name="_Toc192757707"/>
      <w:bookmarkStart w:id="161" w:name="OLE_LINK23"/>
      <w:r>
        <w:rPr>
          <w:color w:val="auto"/>
        </w:rPr>
        <w:t>7.</w:t>
      </w:r>
      <w:r>
        <w:rPr>
          <w:rFonts w:hint="eastAsia"/>
          <w:color w:val="auto"/>
        </w:rPr>
        <w:t>1</w:t>
      </w:r>
      <w:r>
        <w:rPr>
          <w:color w:val="auto"/>
        </w:rPr>
        <w:t xml:space="preserve">.1 </w:t>
      </w:r>
      <w:r>
        <w:rPr>
          <w:rFonts w:hint="eastAsia"/>
          <w:color w:val="auto"/>
        </w:rPr>
        <w:t>规划范围内预测</w:t>
      </w:r>
      <w:bookmarkEnd w:id="160"/>
    </w:p>
    <w:bookmarkEnd w:id="161"/>
    <w:p>
      <w:pPr>
        <w:rPr>
          <w:color w:val="auto"/>
        </w:rPr>
      </w:pPr>
      <w:r>
        <w:rPr>
          <w:color w:val="auto"/>
        </w:rPr>
        <w:t>规划至2030年，预计淮南经开化工园区实现总产值144.5亿元。提高了淮南经开化工园区在区域经济中的地位，积极推动了当地经济发展，提升淮南市的经济整体实力。</w:t>
      </w:r>
    </w:p>
    <w:p>
      <w:pPr>
        <w:ind w:firstLine="0" w:firstLineChars="0"/>
        <w:jc w:val="center"/>
        <w:rPr>
          <w:b/>
          <w:bCs/>
          <w:color w:val="auto"/>
        </w:rPr>
      </w:pPr>
      <w:r>
        <w:rPr>
          <w:b/>
          <w:bCs/>
          <w:color w:val="auto"/>
        </w:rPr>
        <w:t>表7-1  园区产值预估表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1"/>
        <w:gridCol w:w="4063"/>
        <w:gridCol w:w="2042"/>
        <w:gridCol w:w="1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347"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序号</w:t>
            </w:r>
          </w:p>
        </w:tc>
        <w:tc>
          <w:tcPr>
            <w:tcW w:w="2384" w:type="pct"/>
            <w:shd w:val="clear" w:color="auto" w:fill="auto"/>
            <w:vAlign w:val="center"/>
          </w:tcPr>
          <w:p>
            <w:pPr>
              <w:spacing w:line="240" w:lineRule="auto"/>
              <w:ind w:firstLine="0" w:firstLineChars="0"/>
              <w:jc w:val="center"/>
              <w:rPr>
                <w:b/>
                <w:bCs/>
                <w:color w:val="auto"/>
                <w:sz w:val="24"/>
                <w:szCs w:val="24"/>
                <w:lang w:bidi="ar-SA"/>
              </w:rPr>
            </w:pPr>
            <w:r>
              <w:rPr>
                <w:b/>
                <w:bCs/>
                <w:color w:val="auto"/>
                <w:sz w:val="24"/>
                <w:szCs w:val="24"/>
                <w:lang w:bidi="ar-SA"/>
              </w:rPr>
              <w:t>企业名称</w:t>
            </w:r>
          </w:p>
        </w:tc>
        <w:tc>
          <w:tcPr>
            <w:tcW w:w="1198" w:type="pct"/>
            <w:shd w:val="clear" w:color="auto" w:fill="auto"/>
            <w:vAlign w:val="center"/>
          </w:tcPr>
          <w:p>
            <w:pPr>
              <w:spacing w:line="240" w:lineRule="auto"/>
              <w:ind w:firstLine="0" w:firstLineChars="0"/>
              <w:jc w:val="center"/>
              <w:rPr>
                <w:b/>
                <w:bCs/>
                <w:color w:val="auto"/>
                <w:sz w:val="24"/>
                <w:szCs w:val="24"/>
                <w:lang w:bidi="ar-SA"/>
              </w:rPr>
            </w:pPr>
            <w:r>
              <w:rPr>
                <w:rFonts w:hint="eastAsia"/>
                <w:b/>
                <w:bCs/>
                <w:color w:val="auto"/>
                <w:sz w:val="24"/>
                <w:szCs w:val="24"/>
                <w:lang w:bidi="ar-SA"/>
              </w:rPr>
              <w:t>达产年</w:t>
            </w:r>
            <w:r>
              <w:rPr>
                <w:b/>
                <w:bCs/>
                <w:color w:val="auto"/>
                <w:sz w:val="24"/>
                <w:szCs w:val="24"/>
                <w:lang w:bidi="ar-SA"/>
              </w:rPr>
              <w:t>预估产值</w:t>
            </w:r>
          </w:p>
          <w:p>
            <w:pPr>
              <w:spacing w:line="240" w:lineRule="auto"/>
              <w:ind w:firstLine="0" w:firstLineChars="0"/>
              <w:jc w:val="center"/>
              <w:rPr>
                <w:b/>
                <w:bCs/>
                <w:color w:val="auto"/>
                <w:sz w:val="24"/>
                <w:szCs w:val="24"/>
                <w:lang w:bidi="ar-SA"/>
              </w:rPr>
            </w:pPr>
            <w:r>
              <w:rPr>
                <w:b/>
                <w:bCs/>
                <w:color w:val="auto"/>
                <w:sz w:val="24"/>
                <w:szCs w:val="24"/>
                <w:lang w:bidi="ar-SA"/>
              </w:rPr>
              <w:t>（亿元）</w:t>
            </w:r>
          </w:p>
        </w:tc>
        <w:tc>
          <w:tcPr>
            <w:tcW w:w="1071" w:type="pct"/>
            <w:shd w:val="clear" w:color="auto" w:fill="auto"/>
            <w:vAlign w:val="center"/>
          </w:tcPr>
          <w:p>
            <w:pPr>
              <w:spacing w:line="240" w:lineRule="auto"/>
              <w:ind w:firstLine="0" w:firstLineChars="0"/>
              <w:jc w:val="center"/>
              <w:rPr>
                <w:color w:val="auto"/>
              </w:rPr>
            </w:pPr>
            <w:r>
              <w:rPr>
                <w:b/>
                <w:bCs/>
                <w:color w:val="auto"/>
                <w:sz w:val="24"/>
                <w:szCs w:val="24"/>
                <w:lang w:bidi="ar-SA"/>
              </w:rPr>
              <w:t>2030年预估产值（亿元）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347"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w:t>
            </w:r>
          </w:p>
        </w:tc>
        <w:tc>
          <w:tcPr>
            <w:tcW w:w="2384"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rPr>
              <w:t>安徽德邦化工有限公司</w:t>
            </w:r>
          </w:p>
        </w:tc>
        <w:tc>
          <w:tcPr>
            <w:tcW w:w="1198"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20</w:t>
            </w:r>
          </w:p>
        </w:tc>
        <w:tc>
          <w:tcPr>
            <w:tcW w:w="1071"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347"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2</w:t>
            </w:r>
          </w:p>
        </w:tc>
        <w:tc>
          <w:tcPr>
            <w:tcW w:w="2384"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rPr>
              <w:t>国药集团国瑞药业有限公司</w:t>
            </w:r>
          </w:p>
        </w:tc>
        <w:tc>
          <w:tcPr>
            <w:tcW w:w="1198"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20</w:t>
            </w:r>
          </w:p>
        </w:tc>
        <w:tc>
          <w:tcPr>
            <w:tcW w:w="1071"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347"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3</w:t>
            </w:r>
          </w:p>
        </w:tc>
        <w:tc>
          <w:tcPr>
            <w:tcW w:w="2384"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rPr>
              <w:t>恒诚制药集团淮南有限公司</w:t>
            </w:r>
          </w:p>
        </w:tc>
        <w:tc>
          <w:tcPr>
            <w:tcW w:w="1198"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w:t>
            </w:r>
          </w:p>
        </w:tc>
        <w:tc>
          <w:tcPr>
            <w:tcW w:w="1071"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347"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4</w:t>
            </w:r>
          </w:p>
        </w:tc>
        <w:tc>
          <w:tcPr>
            <w:tcW w:w="2384"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rPr>
              <w:t>安徽森吉制药有限公司</w:t>
            </w:r>
          </w:p>
        </w:tc>
        <w:tc>
          <w:tcPr>
            <w:tcW w:w="1198"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1.5</w:t>
            </w:r>
          </w:p>
        </w:tc>
        <w:tc>
          <w:tcPr>
            <w:tcW w:w="1071"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347"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5</w:t>
            </w:r>
          </w:p>
        </w:tc>
        <w:tc>
          <w:tcPr>
            <w:tcW w:w="2384" w:type="pct"/>
            <w:shd w:val="clear" w:color="auto" w:fill="auto"/>
            <w:vAlign w:val="center"/>
          </w:tcPr>
          <w:p>
            <w:pPr>
              <w:spacing w:line="240" w:lineRule="auto"/>
              <w:ind w:firstLine="0" w:firstLineChars="0"/>
              <w:jc w:val="center"/>
              <w:rPr>
                <w:color w:val="auto"/>
                <w:sz w:val="24"/>
                <w:szCs w:val="24"/>
              </w:rPr>
            </w:pPr>
            <w:r>
              <w:rPr>
                <w:color w:val="auto"/>
                <w:sz w:val="24"/>
                <w:szCs w:val="24"/>
              </w:rPr>
              <w:t>安徽山河药用辅料股份有限公司</w:t>
            </w:r>
          </w:p>
        </w:tc>
        <w:tc>
          <w:tcPr>
            <w:tcW w:w="1198"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10</w:t>
            </w:r>
          </w:p>
        </w:tc>
        <w:tc>
          <w:tcPr>
            <w:tcW w:w="1071"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347"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6</w:t>
            </w:r>
          </w:p>
        </w:tc>
        <w:tc>
          <w:tcPr>
            <w:tcW w:w="2384" w:type="pct"/>
            <w:shd w:val="clear" w:color="auto" w:fill="auto"/>
            <w:vAlign w:val="center"/>
          </w:tcPr>
          <w:p>
            <w:pPr>
              <w:spacing w:line="240" w:lineRule="auto"/>
              <w:ind w:firstLine="0" w:firstLineChars="0"/>
              <w:jc w:val="center"/>
              <w:rPr>
                <w:color w:val="auto"/>
                <w:sz w:val="24"/>
                <w:szCs w:val="24"/>
              </w:rPr>
            </w:pPr>
            <w:r>
              <w:rPr>
                <w:color w:val="auto"/>
                <w:sz w:val="24"/>
                <w:szCs w:val="24"/>
              </w:rPr>
              <w:t>安徽水卫士环保科技有限公司</w:t>
            </w:r>
          </w:p>
        </w:tc>
        <w:tc>
          <w:tcPr>
            <w:tcW w:w="1198"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0.3</w:t>
            </w:r>
          </w:p>
        </w:tc>
        <w:tc>
          <w:tcPr>
            <w:tcW w:w="1071"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347"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7</w:t>
            </w:r>
          </w:p>
        </w:tc>
        <w:tc>
          <w:tcPr>
            <w:tcW w:w="2384" w:type="pct"/>
            <w:shd w:val="clear" w:color="auto" w:fill="auto"/>
            <w:vAlign w:val="center"/>
          </w:tcPr>
          <w:p>
            <w:pPr>
              <w:spacing w:line="240" w:lineRule="auto"/>
              <w:ind w:firstLine="0" w:firstLineChars="0"/>
              <w:jc w:val="center"/>
              <w:rPr>
                <w:color w:val="auto"/>
                <w:sz w:val="24"/>
                <w:szCs w:val="24"/>
              </w:rPr>
            </w:pPr>
            <w:r>
              <w:rPr>
                <w:color w:val="auto"/>
                <w:sz w:val="24"/>
                <w:szCs w:val="24"/>
              </w:rPr>
              <w:t>淮南锦德生物科技有限公司</w:t>
            </w:r>
          </w:p>
        </w:tc>
        <w:tc>
          <w:tcPr>
            <w:tcW w:w="1198"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5</w:t>
            </w:r>
          </w:p>
        </w:tc>
        <w:tc>
          <w:tcPr>
            <w:tcW w:w="1071"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347"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8</w:t>
            </w:r>
          </w:p>
        </w:tc>
        <w:tc>
          <w:tcPr>
            <w:tcW w:w="2384" w:type="pct"/>
            <w:shd w:val="clear" w:color="auto" w:fill="auto"/>
            <w:vAlign w:val="center"/>
          </w:tcPr>
          <w:p>
            <w:pPr>
              <w:spacing w:line="240" w:lineRule="auto"/>
              <w:ind w:firstLine="0" w:firstLineChars="0"/>
              <w:jc w:val="center"/>
              <w:rPr>
                <w:color w:val="auto"/>
                <w:sz w:val="24"/>
                <w:szCs w:val="24"/>
              </w:rPr>
            </w:pPr>
            <w:r>
              <w:rPr>
                <w:color w:val="auto"/>
                <w:sz w:val="24"/>
                <w:szCs w:val="24"/>
              </w:rPr>
              <w:t>淮南市健坤制药有限公司</w:t>
            </w:r>
          </w:p>
        </w:tc>
        <w:tc>
          <w:tcPr>
            <w:tcW w:w="1198"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12</w:t>
            </w:r>
          </w:p>
        </w:tc>
        <w:tc>
          <w:tcPr>
            <w:tcW w:w="1071"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347"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9</w:t>
            </w:r>
          </w:p>
        </w:tc>
        <w:tc>
          <w:tcPr>
            <w:tcW w:w="2384" w:type="pct"/>
            <w:shd w:val="clear" w:color="auto" w:fill="auto"/>
            <w:vAlign w:val="center"/>
          </w:tcPr>
          <w:p>
            <w:pPr>
              <w:spacing w:line="240" w:lineRule="auto"/>
              <w:ind w:firstLine="0" w:firstLineChars="0"/>
              <w:jc w:val="center"/>
              <w:rPr>
                <w:color w:val="auto"/>
                <w:sz w:val="24"/>
                <w:szCs w:val="24"/>
              </w:rPr>
            </w:pPr>
            <w:r>
              <w:rPr>
                <w:color w:val="auto"/>
                <w:sz w:val="24"/>
                <w:szCs w:val="24"/>
              </w:rPr>
              <w:t>安徽永银科技发展有限公司</w:t>
            </w:r>
          </w:p>
        </w:tc>
        <w:tc>
          <w:tcPr>
            <w:tcW w:w="1198"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w:t>
            </w:r>
          </w:p>
        </w:tc>
        <w:tc>
          <w:tcPr>
            <w:tcW w:w="1071"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347"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10</w:t>
            </w:r>
          </w:p>
        </w:tc>
        <w:tc>
          <w:tcPr>
            <w:tcW w:w="2384" w:type="pct"/>
            <w:shd w:val="clear" w:color="auto" w:fill="auto"/>
            <w:vAlign w:val="center"/>
          </w:tcPr>
          <w:p>
            <w:pPr>
              <w:spacing w:line="240" w:lineRule="auto"/>
              <w:ind w:firstLine="0" w:firstLineChars="0"/>
              <w:jc w:val="center"/>
              <w:rPr>
                <w:color w:val="auto"/>
                <w:sz w:val="24"/>
                <w:szCs w:val="24"/>
              </w:rPr>
            </w:pPr>
            <w:r>
              <w:rPr>
                <w:color w:val="auto"/>
                <w:sz w:val="24"/>
                <w:szCs w:val="24"/>
              </w:rPr>
              <w:t>淮南市新城建设投资有限公司</w:t>
            </w:r>
          </w:p>
        </w:tc>
        <w:tc>
          <w:tcPr>
            <w:tcW w:w="1198"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10</w:t>
            </w:r>
          </w:p>
        </w:tc>
        <w:tc>
          <w:tcPr>
            <w:tcW w:w="1071"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347"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11</w:t>
            </w:r>
          </w:p>
        </w:tc>
        <w:tc>
          <w:tcPr>
            <w:tcW w:w="2384" w:type="pct"/>
            <w:shd w:val="clear" w:color="auto" w:fill="auto"/>
            <w:vAlign w:val="center"/>
          </w:tcPr>
          <w:p>
            <w:pPr>
              <w:spacing w:line="240" w:lineRule="auto"/>
              <w:ind w:firstLine="0" w:firstLineChars="0"/>
              <w:jc w:val="center"/>
              <w:rPr>
                <w:color w:val="auto"/>
                <w:sz w:val="24"/>
                <w:szCs w:val="24"/>
              </w:rPr>
            </w:pPr>
            <w:r>
              <w:rPr>
                <w:color w:val="auto"/>
                <w:sz w:val="24"/>
                <w:szCs w:val="24"/>
              </w:rPr>
              <w:t>淮南美泰医疗用品有限公司</w:t>
            </w:r>
          </w:p>
        </w:tc>
        <w:tc>
          <w:tcPr>
            <w:tcW w:w="1198"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10</w:t>
            </w:r>
          </w:p>
        </w:tc>
        <w:tc>
          <w:tcPr>
            <w:tcW w:w="1071" w:type="pct"/>
            <w:shd w:val="clear" w:color="auto" w:fill="auto"/>
            <w:vAlign w:val="center"/>
          </w:tcPr>
          <w:p>
            <w:pPr>
              <w:spacing w:line="240" w:lineRule="auto"/>
              <w:ind w:firstLine="0" w:firstLineChars="0"/>
              <w:jc w:val="center"/>
              <w:rPr>
                <w:color w:val="auto"/>
                <w:sz w:val="24"/>
                <w:szCs w:val="24"/>
                <w:lang w:bidi="ar-SA"/>
              </w:rPr>
            </w:pPr>
            <w:r>
              <w:rPr>
                <w:color w:val="auto"/>
                <w:sz w:val="24"/>
                <w:szCs w:val="24"/>
                <w:lang w:bidi="ar-S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347" w:type="pct"/>
            <w:shd w:val="clear" w:color="auto" w:fill="auto"/>
            <w:vAlign w:val="center"/>
          </w:tcPr>
          <w:p>
            <w:pPr>
              <w:spacing w:line="240" w:lineRule="auto"/>
              <w:ind w:firstLine="0" w:firstLineChars="0"/>
              <w:jc w:val="center"/>
              <w:rPr>
                <w:color w:val="auto"/>
                <w:sz w:val="24"/>
                <w:szCs w:val="24"/>
              </w:rPr>
            </w:pPr>
            <w:r>
              <w:rPr>
                <w:color w:val="auto"/>
                <w:sz w:val="24"/>
                <w:szCs w:val="24"/>
              </w:rPr>
              <w:t>12</w:t>
            </w:r>
          </w:p>
        </w:tc>
        <w:tc>
          <w:tcPr>
            <w:tcW w:w="2384" w:type="pct"/>
            <w:shd w:val="clear" w:color="auto" w:fill="auto"/>
            <w:vAlign w:val="center"/>
          </w:tcPr>
          <w:p>
            <w:pPr>
              <w:spacing w:line="240" w:lineRule="auto"/>
              <w:ind w:firstLine="0" w:firstLineChars="0"/>
              <w:jc w:val="center"/>
              <w:rPr>
                <w:color w:val="auto"/>
                <w:sz w:val="24"/>
                <w:szCs w:val="24"/>
              </w:rPr>
            </w:pPr>
            <w:r>
              <w:rPr>
                <w:color w:val="auto"/>
                <w:sz w:val="24"/>
                <w:szCs w:val="24"/>
              </w:rPr>
              <w:t>淮南市欧洁环保科技有限公司</w:t>
            </w:r>
          </w:p>
        </w:tc>
        <w:tc>
          <w:tcPr>
            <w:tcW w:w="1198" w:type="pct"/>
            <w:shd w:val="clear" w:color="auto" w:fill="auto"/>
            <w:vAlign w:val="center"/>
          </w:tcPr>
          <w:p>
            <w:pPr>
              <w:spacing w:line="240" w:lineRule="auto"/>
              <w:ind w:firstLine="0" w:firstLineChars="0"/>
              <w:jc w:val="center"/>
              <w:rPr>
                <w:color w:val="auto"/>
                <w:sz w:val="24"/>
                <w:szCs w:val="24"/>
              </w:rPr>
            </w:pPr>
            <w:r>
              <w:rPr>
                <w:color w:val="auto"/>
                <w:sz w:val="24"/>
                <w:szCs w:val="24"/>
              </w:rPr>
              <w:t>0.2</w:t>
            </w:r>
          </w:p>
        </w:tc>
        <w:tc>
          <w:tcPr>
            <w:tcW w:w="1071" w:type="pct"/>
            <w:shd w:val="clear" w:color="auto" w:fill="auto"/>
            <w:vAlign w:val="center"/>
          </w:tcPr>
          <w:p>
            <w:pPr>
              <w:spacing w:line="240" w:lineRule="auto"/>
              <w:ind w:firstLine="0" w:firstLineChars="0"/>
              <w:jc w:val="center"/>
              <w:rPr>
                <w:color w:val="auto"/>
                <w:sz w:val="24"/>
                <w:szCs w:val="24"/>
              </w:rPr>
            </w:pPr>
            <w:r>
              <w:rPr>
                <w:color w:val="auto"/>
                <w:sz w:val="24"/>
                <w:szCs w:val="24"/>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 w:hRule="atLeast"/>
          <w:jc w:val="center"/>
        </w:trPr>
        <w:tc>
          <w:tcPr>
            <w:tcW w:w="347" w:type="pct"/>
            <w:shd w:val="clear" w:color="auto" w:fill="auto"/>
            <w:vAlign w:val="center"/>
          </w:tcPr>
          <w:p>
            <w:pPr>
              <w:spacing w:line="240" w:lineRule="auto"/>
              <w:ind w:firstLine="0" w:firstLineChars="0"/>
              <w:jc w:val="center"/>
              <w:rPr>
                <w:color w:val="auto"/>
                <w:sz w:val="24"/>
                <w:szCs w:val="24"/>
              </w:rPr>
            </w:pPr>
            <w:r>
              <w:rPr>
                <w:color w:val="auto"/>
                <w:sz w:val="24"/>
                <w:szCs w:val="24"/>
              </w:rPr>
              <w:t>13</w:t>
            </w:r>
          </w:p>
        </w:tc>
        <w:tc>
          <w:tcPr>
            <w:tcW w:w="2384" w:type="pct"/>
            <w:shd w:val="clear" w:color="auto" w:fill="auto"/>
            <w:vAlign w:val="center"/>
          </w:tcPr>
          <w:p>
            <w:pPr>
              <w:spacing w:line="240" w:lineRule="auto"/>
              <w:ind w:firstLine="0" w:firstLineChars="0"/>
              <w:rPr>
                <w:color w:val="auto"/>
                <w:sz w:val="24"/>
                <w:szCs w:val="24"/>
              </w:rPr>
            </w:pPr>
            <w:r>
              <w:rPr>
                <w:color w:val="auto"/>
                <w:sz w:val="24"/>
                <w:szCs w:val="24"/>
              </w:rPr>
              <w:t>东盛友邦（淮南）生物制药有限公司</w:t>
            </w:r>
          </w:p>
        </w:tc>
        <w:tc>
          <w:tcPr>
            <w:tcW w:w="1198" w:type="pct"/>
            <w:shd w:val="clear" w:color="auto" w:fill="auto"/>
            <w:vAlign w:val="center"/>
          </w:tcPr>
          <w:p>
            <w:pPr>
              <w:spacing w:line="240" w:lineRule="auto"/>
              <w:ind w:firstLine="0" w:firstLineChars="0"/>
              <w:jc w:val="center"/>
              <w:rPr>
                <w:color w:val="auto"/>
                <w:sz w:val="24"/>
                <w:szCs w:val="24"/>
              </w:rPr>
            </w:pPr>
            <w:r>
              <w:rPr>
                <w:color w:val="auto"/>
                <w:sz w:val="24"/>
                <w:szCs w:val="24"/>
              </w:rPr>
              <w:t>10</w:t>
            </w:r>
          </w:p>
        </w:tc>
        <w:tc>
          <w:tcPr>
            <w:tcW w:w="1071" w:type="pct"/>
            <w:shd w:val="clear" w:color="auto" w:fill="auto"/>
            <w:vAlign w:val="center"/>
          </w:tcPr>
          <w:p>
            <w:pPr>
              <w:spacing w:line="240" w:lineRule="auto"/>
              <w:ind w:firstLine="0" w:firstLineChars="0"/>
              <w:jc w:val="center"/>
              <w:rPr>
                <w:color w:val="auto"/>
                <w:sz w:val="24"/>
                <w:szCs w:val="24"/>
              </w:rPr>
            </w:pPr>
            <w:r>
              <w:rPr>
                <w:color w:val="auto"/>
                <w:sz w:val="24"/>
                <w:szCs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5000" w:type="pct"/>
            <w:gridSpan w:val="4"/>
            <w:shd w:val="clear" w:color="auto" w:fill="auto"/>
            <w:vAlign w:val="center"/>
          </w:tcPr>
          <w:p>
            <w:pPr>
              <w:spacing w:line="240" w:lineRule="auto"/>
              <w:ind w:firstLine="0" w:firstLineChars="0"/>
              <w:rPr>
                <w:color w:val="auto"/>
                <w:sz w:val="24"/>
                <w:szCs w:val="24"/>
                <w:lang w:bidi="ar-SA"/>
              </w:rPr>
            </w:pPr>
            <w:bookmarkStart w:id="162" w:name="_Toc16995"/>
            <w:r>
              <w:rPr>
                <w:color w:val="auto"/>
                <w:sz w:val="24"/>
                <w:szCs w:val="24"/>
                <w:lang w:bidi="ar-SA"/>
              </w:rPr>
              <w:t>其他未建设用地到规划期末产值约为20亿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5000" w:type="pct"/>
            <w:gridSpan w:val="4"/>
            <w:shd w:val="clear" w:color="auto" w:fill="auto"/>
            <w:vAlign w:val="center"/>
          </w:tcPr>
          <w:p>
            <w:pPr>
              <w:spacing w:line="240" w:lineRule="auto"/>
              <w:ind w:firstLine="0" w:firstLineChars="0"/>
              <w:rPr>
                <w:color w:val="auto"/>
                <w:sz w:val="24"/>
                <w:szCs w:val="24"/>
                <w:lang w:bidi="ar-SA"/>
              </w:rPr>
            </w:pPr>
            <w:r>
              <w:rPr>
                <w:color w:val="auto"/>
                <w:sz w:val="24"/>
                <w:szCs w:val="24"/>
                <w:lang w:bidi="ar-SA"/>
              </w:rPr>
              <w:t>综上，到规划期末，化工园区产值可达</w:t>
            </w:r>
            <w:bookmarkStart w:id="163" w:name="OLE_LINK25"/>
            <w:r>
              <w:rPr>
                <w:color w:val="auto"/>
                <w:sz w:val="24"/>
                <w:szCs w:val="24"/>
                <w:lang w:bidi="ar-SA"/>
              </w:rPr>
              <w:t>144.5</w:t>
            </w:r>
            <w:bookmarkEnd w:id="163"/>
            <w:r>
              <w:rPr>
                <w:color w:val="auto"/>
                <w:sz w:val="24"/>
                <w:szCs w:val="24"/>
                <w:lang w:bidi="ar-SA"/>
              </w:rPr>
              <w:t>亿元</w:t>
            </w:r>
          </w:p>
        </w:tc>
      </w:tr>
    </w:tbl>
    <w:p>
      <w:pPr>
        <w:pStyle w:val="4"/>
        <w:rPr>
          <w:color w:val="auto"/>
        </w:rPr>
      </w:pPr>
      <w:bookmarkStart w:id="164" w:name="_Toc192757708"/>
      <w:bookmarkStart w:id="165" w:name="_Toc9526"/>
      <w:r>
        <w:rPr>
          <w:color w:val="auto"/>
        </w:rPr>
        <w:t>7.</w:t>
      </w:r>
      <w:r>
        <w:rPr>
          <w:rFonts w:hint="eastAsia"/>
          <w:color w:val="auto"/>
        </w:rPr>
        <w:t>1</w:t>
      </w:r>
      <w:r>
        <w:rPr>
          <w:color w:val="auto"/>
        </w:rPr>
        <w:t>.</w:t>
      </w:r>
      <w:r>
        <w:rPr>
          <w:rFonts w:hint="eastAsia"/>
          <w:color w:val="auto"/>
        </w:rPr>
        <w:t>2</w:t>
      </w:r>
      <w:r>
        <w:rPr>
          <w:color w:val="auto"/>
        </w:rPr>
        <w:t xml:space="preserve"> </w:t>
      </w:r>
      <w:r>
        <w:rPr>
          <w:rFonts w:hint="eastAsia"/>
          <w:color w:val="auto"/>
        </w:rPr>
        <w:t>规划范围外预测</w:t>
      </w:r>
      <w:bookmarkEnd w:id="164"/>
    </w:p>
    <w:p>
      <w:pPr>
        <w:rPr>
          <w:color w:val="auto"/>
        </w:rPr>
      </w:pPr>
      <w:r>
        <w:rPr>
          <w:rFonts w:hint="eastAsia"/>
          <w:color w:val="auto"/>
        </w:rPr>
        <w:t>依据淮南经开化工园区扩区意向，</w:t>
      </w:r>
      <w:r>
        <w:rPr>
          <w:color w:val="auto"/>
        </w:rPr>
        <w:t>拟扩区区域规划面积为</w:t>
      </w:r>
      <w:bookmarkStart w:id="166" w:name="OLE_LINK26"/>
      <w:r>
        <w:rPr>
          <w:color w:val="auto"/>
        </w:rPr>
        <w:t>283.83公顷</w:t>
      </w:r>
      <w:bookmarkEnd w:id="166"/>
      <w:r>
        <w:rPr>
          <w:color w:val="auto"/>
        </w:rPr>
        <w:t>，四至范围为：东至规划中的高速公路西100米、南至高纬六路北150米、西至高经一路、北至高纬一路。</w:t>
      </w:r>
    </w:p>
    <w:p>
      <w:pPr>
        <w:rPr>
          <w:color w:val="auto"/>
        </w:rPr>
      </w:pPr>
      <w:bookmarkStart w:id="167" w:name="OLE_LINK24"/>
      <w:r>
        <w:rPr>
          <w:rFonts w:hint="eastAsia"/>
          <w:color w:val="auto"/>
        </w:rPr>
        <w:t>（一）扩区的必要性</w:t>
      </w:r>
    </w:p>
    <w:bookmarkEnd w:id="167"/>
    <w:p>
      <w:pPr>
        <w:rPr>
          <w:color w:val="auto"/>
        </w:rPr>
      </w:pPr>
      <w:r>
        <w:rPr>
          <w:rFonts w:hint="eastAsia"/>
          <w:color w:val="auto"/>
        </w:rPr>
        <w:t>（1）</w:t>
      </w:r>
      <w:r>
        <w:rPr>
          <w:color w:val="auto"/>
        </w:rPr>
        <w:t>化工园区（区块一、区块二）两个区块现状面积为144.33公顷，企业已基本布满，现有许多入驻意向企业无 法落地，化工园区扩区势在必行。</w:t>
      </w:r>
    </w:p>
    <w:p>
      <w:pPr>
        <w:rPr>
          <w:color w:val="auto"/>
        </w:rPr>
      </w:pPr>
      <w:r>
        <w:rPr>
          <w:rFonts w:hint="eastAsia"/>
          <w:color w:val="auto"/>
        </w:rPr>
        <w:t>（2）</w:t>
      </w:r>
      <w:r>
        <w:rPr>
          <w:color w:val="auto"/>
        </w:rPr>
        <w:t>为贯彻落实《安徽省安全生产委员会关于印发的通知》（皖安[2020]2号），进一步优化化工园区布局，提升化工产业本质安全水平，促进高质量发展，因此 化工园区扩区势在必行。</w:t>
      </w:r>
    </w:p>
    <w:p>
      <w:pPr>
        <w:rPr>
          <w:color w:val="auto"/>
        </w:rPr>
      </w:pPr>
      <w:r>
        <w:rPr>
          <w:rFonts w:hint="eastAsia"/>
          <w:color w:val="auto"/>
        </w:rPr>
        <w:t>（3）</w:t>
      </w:r>
      <w:r>
        <w:rPr>
          <w:color w:val="auto"/>
        </w:rPr>
        <w:t>根据应急管理部发布的《“十四五”危险化学品安全生产规划方案》的要求：2022年底A、B级清零；2025年90%以上达到D级，实现“两集一低”。因此，扩区是实现认定达标、“两集一低”（集中布局、集群发展、降低风险）的需要。</w:t>
      </w:r>
    </w:p>
    <w:p>
      <w:pPr>
        <w:rPr>
          <w:color w:val="auto"/>
        </w:rPr>
      </w:pPr>
      <w:r>
        <w:rPr>
          <w:rFonts w:hint="eastAsia"/>
          <w:color w:val="auto"/>
        </w:rPr>
        <w:t>（二）扩区后产值预测</w:t>
      </w:r>
    </w:p>
    <w:p>
      <w:pPr>
        <w:rPr>
          <w:color w:val="auto"/>
        </w:rPr>
      </w:pPr>
      <w:r>
        <w:rPr>
          <w:rFonts w:hint="eastAsia"/>
          <w:color w:val="auto"/>
        </w:rPr>
        <w:t>根据现有化工园区范围153.14公顷规划期末</w:t>
      </w:r>
      <w:r>
        <w:rPr>
          <w:color w:val="auto"/>
        </w:rPr>
        <w:t>144.5</w:t>
      </w:r>
      <w:r>
        <w:rPr>
          <w:rFonts w:hint="eastAsia"/>
          <w:color w:val="auto"/>
        </w:rPr>
        <w:t>亿元产值估算，扩区后总规划面积可达到约436.97</w:t>
      </w:r>
      <w:r>
        <w:rPr>
          <w:color w:val="auto"/>
        </w:rPr>
        <w:t>公顷</w:t>
      </w:r>
      <w:r>
        <w:rPr>
          <w:rFonts w:hint="eastAsia"/>
          <w:color w:val="auto"/>
        </w:rPr>
        <w:t>，扩区后化工园区总产值预测可达412.3亿元。</w:t>
      </w:r>
    </w:p>
    <w:p>
      <w:pPr>
        <w:pStyle w:val="3"/>
        <w:rPr>
          <w:color w:val="auto"/>
        </w:rPr>
      </w:pPr>
      <w:bookmarkStart w:id="168" w:name="_Toc192757709"/>
      <w:r>
        <w:rPr>
          <w:color w:val="auto"/>
        </w:rPr>
        <w:t>7.2 社会效益</w:t>
      </w:r>
      <w:bookmarkEnd w:id="162"/>
      <w:r>
        <w:rPr>
          <w:color w:val="auto"/>
        </w:rPr>
        <w:t>分析</w:t>
      </w:r>
      <w:bookmarkEnd w:id="165"/>
      <w:bookmarkEnd w:id="168"/>
    </w:p>
    <w:p>
      <w:pPr>
        <w:pStyle w:val="4"/>
        <w:rPr>
          <w:color w:val="auto"/>
        </w:rPr>
      </w:pPr>
      <w:bookmarkStart w:id="169" w:name="_Toc192757710"/>
      <w:bookmarkStart w:id="170" w:name="_Toc118100508"/>
      <w:bookmarkStart w:id="171" w:name="_Toc18248"/>
      <w:bookmarkStart w:id="172" w:name="_Toc4710"/>
      <w:r>
        <w:rPr>
          <w:color w:val="auto"/>
        </w:rPr>
        <w:t>7.2.1 是长江三角洲区域一体化发展的重要实践</w:t>
      </w:r>
      <w:bookmarkEnd w:id="169"/>
      <w:bookmarkEnd w:id="170"/>
      <w:bookmarkEnd w:id="171"/>
    </w:p>
    <w:p>
      <w:pPr>
        <w:rPr>
          <w:color w:val="auto"/>
        </w:rPr>
      </w:pPr>
      <w:r>
        <w:rPr>
          <w:color w:val="auto"/>
        </w:rPr>
        <w:t>淮南经开化工园区紧抓“长江三角洲区域一体化发展”过程中产业转移机遇，主动对接沪苏浙优势资源要素，借梯登道，借势发展，带动产业链向全球价值链高端跃升；加强园区间合作共建，瞄准长三角区域新兴产业，积极承接产业转移，强化招大引强，发挥其独特优势和潜力空间，努力在长三角一体化发展国家战略中展现淮南新作为。</w:t>
      </w:r>
    </w:p>
    <w:p>
      <w:pPr>
        <w:pStyle w:val="4"/>
        <w:rPr>
          <w:color w:val="auto"/>
        </w:rPr>
      </w:pPr>
      <w:bookmarkStart w:id="173" w:name="_Toc23960"/>
      <w:bookmarkStart w:id="174" w:name="_Toc192757711"/>
      <w:bookmarkStart w:id="175" w:name="_Toc118100509"/>
      <w:r>
        <w:rPr>
          <w:color w:val="auto"/>
        </w:rPr>
        <w:t>7.2.2 推动区域经济发展，促进区域经济结构调整</w:t>
      </w:r>
      <w:bookmarkEnd w:id="172"/>
      <w:bookmarkEnd w:id="173"/>
      <w:bookmarkEnd w:id="174"/>
      <w:bookmarkEnd w:id="175"/>
    </w:p>
    <w:p>
      <w:pPr>
        <w:rPr>
          <w:color w:val="auto"/>
        </w:rPr>
      </w:pPr>
      <w:r>
        <w:rPr>
          <w:color w:val="auto"/>
        </w:rPr>
        <w:t>目前淮南经开化工园区产业链已经初具规模。本规划的实施将使化工园区产业链更完善、更循环化，提高化工园区的产业耦合度、纵向配套、横向综合利用，完成经济转型腾飞。</w:t>
      </w:r>
    </w:p>
    <w:p>
      <w:pPr>
        <w:rPr>
          <w:color w:val="auto"/>
        </w:rPr>
      </w:pPr>
      <w:r>
        <w:rPr>
          <w:color w:val="auto"/>
        </w:rPr>
        <w:t>同时，规划的实施将进一步发挥化工园区的产业辐射功能，有效带动周边地区的经济发展。随着化工园区的发展，配套的各项服务需求也进一步提升，可带动淮南市物流仓储、商业贸易、金融、信息服务、科技等行业的发展。</w:t>
      </w:r>
    </w:p>
    <w:p>
      <w:pPr>
        <w:pStyle w:val="4"/>
        <w:rPr>
          <w:color w:val="auto"/>
        </w:rPr>
      </w:pPr>
      <w:bookmarkStart w:id="176" w:name="_Toc8854"/>
      <w:bookmarkStart w:id="177" w:name="_Toc23158"/>
      <w:bookmarkStart w:id="178" w:name="_Toc118100510"/>
      <w:bookmarkStart w:id="179" w:name="_Toc192757712"/>
      <w:r>
        <w:rPr>
          <w:color w:val="auto"/>
        </w:rPr>
        <w:t>7.2.3 促进就业，提高淮南化工专业技术人才水平</w:t>
      </w:r>
      <w:bookmarkEnd w:id="176"/>
      <w:bookmarkEnd w:id="177"/>
      <w:bookmarkEnd w:id="178"/>
      <w:bookmarkEnd w:id="179"/>
    </w:p>
    <w:p>
      <w:pPr>
        <w:rPr>
          <w:color w:val="auto"/>
        </w:rPr>
      </w:pPr>
      <w:r>
        <w:rPr>
          <w:color w:val="auto"/>
        </w:rPr>
        <w:t>随着淮南经开化工园区产业的规划建设，通过招商引资和产业转移，长三角地区优势化工企业的投资入驻，他们带来资金、就业机会、增加当地的纳税和财政收入的同时，也会带来一些前沿的观念、理念和技术，这都将促进当地就业，提高淮南的化工专业人才的技术水平。</w:t>
      </w:r>
    </w:p>
    <w:p>
      <w:pPr>
        <w:pStyle w:val="4"/>
        <w:rPr>
          <w:color w:val="auto"/>
        </w:rPr>
      </w:pPr>
      <w:bookmarkStart w:id="180" w:name="_Toc192757713"/>
      <w:bookmarkStart w:id="181" w:name="_Toc21665"/>
      <w:bookmarkStart w:id="182" w:name="_Toc118100511"/>
      <w:bookmarkStart w:id="183" w:name="_Toc32204"/>
      <w:r>
        <w:rPr>
          <w:color w:val="auto"/>
        </w:rPr>
        <w:t>7.2.4 有利于改善投资环境</w:t>
      </w:r>
      <w:bookmarkEnd w:id="180"/>
      <w:bookmarkEnd w:id="181"/>
      <w:bookmarkEnd w:id="182"/>
      <w:bookmarkEnd w:id="183"/>
    </w:p>
    <w:p>
      <w:pPr>
        <w:rPr>
          <w:color w:val="auto"/>
        </w:rPr>
      </w:pPr>
      <w:r>
        <w:rPr>
          <w:color w:val="auto"/>
        </w:rPr>
        <w:t>在淮南经开化工园区规划实施过程中，坚持高端材料和高端应用的方针，坚持循环经济和可持续发展原则，环境保护与项目建设和经济发展同步，为园区周边人民的生存和发展创造更好的环境。园区规划建设还将有效地改善投资环境，提高引进境内外资金的水平和质量，为入驻企业提供更广阔的发展空间和平台，吸引优质项目落户。</w:t>
      </w:r>
    </w:p>
    <w:p>
      <w:pPr>
        <w:pStyle w:val="3"/>
        <w:rPr>
          <w:color w:val="auto"/>
        </w:rPr>
      </w:pPr>
      <w:bookmarkStart w:id="184" w:name="_Toc27863"/>
      <w:bookmarkStart w:id="185" w:name="_Toc192757714"/>
      <w:r>
        <w:rPr>
          <w:color w:val="auto"/>
        </w:rPr>
        <w:t>7.3 安全效益分析</w:t>
      </w:r>
      <w:bookmarkEnd w:id="184"/>
      <w:bookmarkEnd w:id="185"/>
    </w:p>
    <w:p>
      <w:pPr>
        <w:rPr>
          <w:color w:val="auto"/>
        </w:rPr>
      </w:pPr>
      <w:r>
        <w:rPr>
          <w:color w:val="auto"/>
        </w:rPr>
        <w:t>淮南经开化工园区产业发展在保障本质安全的情况下投入工业互联网+安全生产模式，合理布置企业信息化平台、园区信息化平台、在线监控设施、园区封闭化管理等措施，大幅度提升安全生产水平，减少事故的发生。</w:t>
      </w:r>
    </w:p>
    <w:p>
      <w:pPr>
        <w:pStyle w:val="4"/>
        <w:rPr>
          <w:color w:val="auto"/>
        </w:rPr>
      </w:pPr>
      <w:bookmarkStart w:id="186" w:name="_Toc192757715"/>
      <w:r>
        <w:rPr>
          <w:color w:val="auto"/>
        </w:rPr>
        <w:t>7.3.1 安全生产+信息化</w:t>
      </w:r>
      <w:bookmarkEnd w:id="186"/>
    </w:p>
    <w:p>
      <w:pPr>
        <w:rPr>
          <w:color w:val="auto"/>
        </w:rPr>
      </w:pPr>
      <w:r>
        <w:rPr>
          <w:color w:val="auto"/>
        </w:rPr>
        <w:t>安全生产加信息化，是一种结合了安全生产管理和信息化技术的综合性方法。通过将信息化技术应用于安全生产管理，可以提高生产效率、减少事故发生、保障员工安全和企业资产。淮南经开化工园区产业发展过程中安全生产加信息化效益主要体现在以下方面。</w:t>
      </w:r>
    </w:p>
    <w:p>
      <w:pPr>
        <w:rPr>
          <w:color w:val="auto"/>
        </w:rPr>
      </w:pPr>
      <w:r>
        <w:rPr>
          <w:color w:val="auto"/>
        </w:rPr>
        <w:t>信息数据集成：利用信息化技术，可以实现安全生产的各类信息数据的集成和整合，包括设备运行状态、人员操作、危险源监控等。这有助于园区实时掌握生产情况，及时发现和解决潜在问题。</w:t>
      </w:r>
    </w:p>
    <w:p>
      <w:pPr>
        <w:rPr>
          <w:color w:val="auto"/>
        </w:rPr>
      </w:pPr>
      <w:r>
        <w:rPr>
          <w:color w:val="auto"/>
        </w:rPr>
        <w:t>预防性维护与管理：通过数据分析，可以预测设备维修和更换的时间，实现预防性维护，减少因设备故障导致的生产中断和安全事故。</w:t>
      </w:r>
    </w:p>
    <w:p>
      <w:pPr>
        <w:rPr>
          <w:color w:val="auto"/>
        </w:rPr>
      </w:pPr>
      <w:r>
        <w:rPr>
          <w:color w:val="auto"/>
        </w:rPr>
        <w:t>实时监控与预警：借助传感器、监控系统和数据分析工具，园区可以实时监控生产过程中的关键环节和危险源，及时发出预警，采取应对措施。</w:t>
      </w:r>
    </w:p>
    <w:p>
      <w:pPr>
        <w:rPr>
          <w:color w:val="auto"/>
        </w:rPr>
      </w:pPr>
      <w:r>
        <w:rPr>
          <w:color w:val="auto"/>
        </w:rPr>
        <w:t>培训与模拟演练：利用虚拟现实和模拟软件，可以进行安全培训和模拟演练，提高员工的安全意识和应对突发事件的能力。</w:t>
      </w:r>
    </w:p>
    <w:p>
      <w:pPr>
        <w:rPr>
          <w:color w:val="auto"/>
        </w:rPr>
      </w:pPr>
      <w:r>
        <w:rPr>
          <w:color w:val="auto"/>
        </w:rPr>
        <w:t>远程协作与管理：通过云计算、物联网和移动应用等技术，园区可以实现远程的协作和管理，不论是在办公室还是在外地，都可以实时参与到安全生产的过程中。</w:t>
      </w:r>
    </w:p>
    <w:p>
      <w:pPr>
        <w:rPr>
          <w:color w:val="auto"/>
        </w:rPr>
      </w:pPr>
      <w:r>
        <w:rPr>
          <w:color w:val="auto"/>
        </w:rPr>
        <w:t>事故调查与追溯：利用信息化的手段，园区可以更高效地进行事故调查和追溯，找出事故原因，采取改进措施，避免事故再次发生。</w:t>
      </w:r>
    </w:p>
    <w:p>
      <w:pPr>
        <w:rPr>
          <w:color w:val="auto"/>
        </w:rPr>
      </w:pPr>
      <w:r>
        <w:rPr>
          <w:color w:val="auto"/>
        </w:rPr>
        <w:t>决策支持与智能化：通过大数据和人工智能技术，园区可以对安全生产数据进行深度分析和挖掘，为决策者提供智能化、科学化的支持，提高决策效率和准确性。</w:t>
      </w:r>
    </w:p>
    <w:p>
      <w:pPr>
        <w:rPr>
          <w:color w:val="auto"/>
        </w:rPr>
      </w:pPr>
      <w:r>
        <w:rPr>
          <w:color w:val="auto"/>
        </w:rPr>
        <w:t>合规与标准化：借助信息化手段，园区可以更方便地管理安全生产的合规和标准化工作，确保各项制度和措施得到有效执行。</w:t>
      </w:r>
    </w:p>
    <w:p>
      <w:pPr>
        <w:rPr>
          <w:color w:val="auto"/>
        </w:rPr>
      </w:pPr>
      <w:r>
        <w:rPr>
          <w:color w:val="auto"/>
        </w:rPr>
        <w:t>信息共享与沟通：通过园区内部的信息平台和外部的信息共享，企业可以加强与政府、供应商、客户等各方的沟通和协作，共同推动安全生产的进步。</w:t>
      </w:r>
    </w:p>
    <w:p>
      <w:pPr>
        <w:rPr>
          <w:color w:val="auto"/>
        </w:rPr>
      </w:pPr>
      <w:r>
        <w:rPr>
          <w:color w:val="auto"/>
        </w:rPr>
        <w:t>持续改进与创新：借助信息化手段，可以不断优化安全生产的流程和管理模式，推动持续改进和创新，提高竞争力和市场地位。</w:t>
      </w:r>
    </w:p>
    <w:p>
      <w:pPr>
        <w:rPr>
          <w:color w:val="auto"/>
        </w:rPr>
      </w:pPr>
      <w:r>
        <w:rPr>
          <w:color w:val="auto"/>
        </w:rPr>
        <w:t>综上，安全生产加信息化是一种先进的管理模式和方法。园区通过将信息化技术应用于安全生产管理，可以提高园区企业的生产效率、保障员工安全和企业资产。</w:t>
      </w:r>
    </w:p>
    <w:p>
      <w:pPr>
        <w:pStyle w:val="4"/>
        <w:rPr>
          <w:color w:val="auto"/>
        </w:rPr>
      </w:pPr>
      <w:bookmarkStart w:id="187" w:name="_Toc192757716"/>
      <w:r>
        <w:rPr>
          <w:color w:val="auto"/>
        </w:rPr>
        <w:t>7.3.2 安全管理投资</w:t>
      </w:r>
      <w:bookmarkEnd w:id="187"/>
    </w:p>
    <w:p>
      <w:pPr>
        <w:rPr>
          <w:color w:val="auto"/>
        </w:rPr>
      </w:pPr>
      <w:r>
        <w:rPr>
          <w:color w:val="auto"/>
        </w:rPr>
        <w:t>园区企业可以在安全设施、培训和监管上投入大量资金。通过有效的安全管理制度和流程，企业可以减少事故发生的频率和严重性，从而减少潜在的损失。这种回报可以通过对比安全投入前后的经济效益来进行衡量。</w:t>
      </w:r>
    </w:p>
    <w:p>
      <w:pPr>
        <w:pStyle w:val="4"/>
        <w:rPr>
          <w:color w:val="auto"/>
        </w:rPr>
      </w:pPr>
      <w:bookmarkStart w:id="188" w:name="_Toc192757717"/>
      <w:r>
        <w:rPr>
          <w:color w:val="auto"/>
        </w:rPr>
        <w:t>7.3.</w:t>
      </w:r>
      <w:r>
        <w:rPr>
          <w:rFonts w:hint="eastAsia"/>
          <w:color w:val="auto"/>
        </w:rPr>
        <w:t>3</w:t>
      </w:r>
      <w:r>
        <w:rPr>
          <w:color w:val="auto"/>
        </w:rPr>
        <w:t xml:space="preserve"> </w:t>
      </w:r>
      <w:r>
        <w:rPr>
          <w:rFonts w:hint="eastAsia"/>
          <w:color w:val="auto"/>
        </w:rPr>
        <w:t>特种设备安全</w:t>
      </w:r>
      <w:bookmarkEnd w:id="188"/>
    </w:p>
    <w:p>
      <w:pPr>
        <w:tabs>
          <w:tab w:val="left" w:pos="720"/>
        </w:tabs>
        <w:rPr>
          <w:color w:val="auto"/>
        </w:rPr>
      </w:pPr>
      <w:r>
        <w:rPr>
          <w:rFonts w:hint="eastAsia"/>
          <w:color w:val="auto"/>
        </w:rPr>
        <w:t>（1）</w:t>
      </w:r>
      <w:r>
        <w:rPr>
          <w:color w:val="auto"/>
        </w:rPr>
        <w:t>法律法规与标准：</w:t>
      </w:r>
    </w:p>
    <w:p>
      <w:pPr>
        <w:tabs>
          <w:tab w:val="left" w:pos="1440"/>
        </w:tabs>
        <w:rPr>
          <w:color w:val="auto"/>
        </w:rPr>
      </w:pPr>
      <w:r>
        <w:rPr>
          <w:color w:val="auto"/>
        </w:rPr>
        <w:t>遵守国家和地方的相关法律法规，如《</w:t>
      </w:r>
      <w:r>
        <w:rPr>
          <w:rFonts w:hint="eastAsia"/>
          <w:color w:val="auto"/>
          <w:lang w:eastAsia="zh-CN"/>
        </w:rPr>
        <w:t>中华人民共和国</w:t>
      </w:r>
      <w:bookmarkStart w:id="283" w:name="_GoBack"/>
      <w:bookmarkEnd w:id="283"/>
      <w:r>
        <w:rPr>
          <w:color w:val="auto"/>
        </w:rPr>
        <w:t>特种设备安全法》。</w:t>
      </w:r>
    </w:p>
    <w:p>
      <w:pPr>
        <w:tabs>
          <w:tab w:val="left" w:pos="1440"/>
        </w:tabs>
        <w:rPr>
          <w:color w:val="auto"/>
        </w:rPr>
      </w:pPr>
      <w:r>
        <w:rPr>
          <w:color w:val="auto"/>
        </w:rPr>
        <w:t>执行国家和行业标准，确保设备设计、制造、安装、使用、检验、维修等环节符合规范。</w:t>
      </w:r>
    </w:p>
    <w:p>
      <w:pPr>
        <w:tabs>
          <w:tab w:val="left" w:pos="720"/>
        </w:tabs>
        <w:rPr>
          <w:color w:val="auto"/>
        </w:rPr>
      </w:pPr>
      <w:r>
        <w:rPr>
          <w:rFonts w:hint="eastAsia"/>
          <w:color w:val="auto"/>
        </w:rPr>
        <w:t>（2）</w:t>
      </w:r>
      <w:r>
        <w:rPr>
          <w:color w:val="auto"/>
        </w:rPr>
        <w:t>设备登记与备案：</w:t>
      </w:r>
    </w:p>
    <w:p>
      <w:pPr>
        <w:tabs>
          <w:tab w:val="left" w:pos="1440"/>
        </w:tabs>
        <w:rPr>
          <w:color w:val="auto"/>
        </w:rPr>
      </w:pPr>
      <w:r>
        <w:rPr>
          <w:color w:val="auto"/>
        </w:rPr>
        <w:t>新购置的特种设备需在相关部门进行登记备案。</w:t>
      </w:r>
    </w:p>
    <w:p>
      <w:pPr>
        <w:tabs>
          <w:tab w:val="left" w:pos="1440"/>
        </w:tabs>
        <w:rPr>
          <w:color w:val="auto"/>
        </w:rPr>
      </w:pPr>
      <w:r>
        <w:rPr>
          <w:color w:val="auto"/>
        </w:rPr>
        <w:t>设备变更、停用、报废等也需及时办理相关手续。</w:t>
      </w:r>
    </w:p>
    <w:p>
      <w:pPr>
        <w:tabs>
          <w:tab w:val="left" w:pos="720"/>
        </w:tabs>
        <w:rPr>
          <w:color w:val="auto"/>
        </w:rPr>
      </w:pPr>
      <w:r>
        <w:rPr>
          <w:rFonts w:hint="eastAsia"/>
          <w:color w:val="auto"/>
        </w:rPr>
        <w:t>（3）</w:t>
      </w:r>
      <w:r>
        <w:rPr>
          <w:color w:val="auto"/>
        </w:rPr>
        <w:t>人员培训与资质：</w:t>
      </w:r>
    </w:p>
    <w:p>
      <w:pPr>
        <w:tabs>
          <w:tab w:val="left" w:pos="1440"/>
        </w:tabs>
        <w:rPr>
          <w:color w:val="auto"/>
        </w:rPr>
      </w:pPr>
      <w:r>
        <w:rPr>
          <w:color w:val="auto"/>
        </w:rPr>
        <w:t>操作人员、管理人员需经过专业培训，并取得相应的资格证书。</w:t>
      </w:r>
    </w:p>
    <w:p>
      <w:pPr>
        <w:tabs>
          <w:tab w:val="left" w:pos="1440"/>
        </w:tabs>
        <w:rPr>
          <w:color w:val="auto"/>
        </w:rPr>
      </w:pPr>
      <w:r>
        <w:rPr>
          <w:color w:val="auto"/>
        </w:rPr>
        <w:t>定期进行安全教育和技能培训，提高安全意识和操作水平。</w:t>
      </w:r>
    </w:p>
    <w:p>
      <w:pPr>
        <w:tabs>
          <w:tab w:val="left" w:pos="720"/>
        </w:tabs>
        <w:rPr>
          <w:color w:val="auto"/>
        </w:rPr>
      </w:pPr>
      <w:r>
        <w:rPr>
          <w:rFonts w:hint="eastAsia"/>
          <w:color w:val="auto"/>
        </w:rPr>
        <w:t>（4）</w:t>
      </w:r>
      <w:r>
        <w:rPr>
          <w:color w:val="auto"/>
        </w:rPr>
        <w:t>日常检查与维护：</w:t>
      </w:r>
    </w:p>
    <w:p>
      <w:pPr>
        <w:tabs>
          <w:tab w:val="left" w:pos="1440"/>
        </w:tabs>
        <w:rPr>
          <w:color w:val="auto"/>
        </w:rPr>
      </w:pPr>
      <w:r>
        <w:rPr>
          <w:color w:val="auto"/>
        </w:rPr>
        <w:t>制定并执行设备的日常检查、定期维护和保养计划。</w:t>
      </w:r>
    </w:p>
    <w:p>
      <w:pPr>
        <w:tabs>
          <w:tab w:val="left" w:pos="1440"/>
        </w:tabs>
        <w:rPr>
          <w:color w:val="auto"/>
        </w:rPr>
      </w:pPr>
      <w:r>
        <w:rPr>
          <w:color w:val="auto"/>
        </w:rPr>
        <w:t>及时发现并处理设备存在的隐患，确保设备处于良好状态。</w:t>
      </w:r>
    </w:p>
    <w:p>
      <w:pPr>
        <w:tabs>
          <w:tab w:val="left" w:pos="720"/>
        </w:tabs>
        <w:rPr>
          <w:color w:val="auto"/>
        </w:rPr>
      </w:pPr>
      <w:r>
        <w:rPr>
          <w:rFonts w:hint="eastAsia"/>
          <w:color w:val="auto"/>
        </w:rPr>
        <w:t>（5）</w:t>
      </w:r>
      <w:r>
        <w:rPr>
          <w:color w:val="auto"/>
        </w:rPr>
        <w:t>定期检验与检测：</w:t>
      </w:r>
    </w:p>
    <w:p>
      <w:pPr>
        <w:tabs>
          <w:tab w:val="left" w:pos="1440"/>
        </w:tabs>
        <w:rPr>
          <w:color w:val="auto"/>
        </w:rPr>
      </w:pPr>
      <w:r>
        <w:rPr>
          <w:color w:val="auto"/>
        </w:rPr>
        <w:t>按照规定的周期，委托有资质的检验机构对设备进行定期检验。</w:t>
      </w:r>
    </w:p>
    <w:p>
      <w:pPr>
        <w:tabs>
          <w:tab w:val="left" w:pos="1440"/>
        </w:tabs>
        <w:rPr>
          <w:color w:val="auto"/>
        </w:rPr>
      </w:pPr>
      <w:r>
        <w:rPr>
          <w:color w:val="auto"/>
        </w:rPr>
        <w:t>检验不合格的设备需立即停用并进行整改。</w:t>
      </w:r>
    </w:p>
    <w:p>
      <w:pPr>
        <w:tabs>
          <w:tab w:val="left" w:pos="720"/>
        </w:tabs>
        <w:rPr>
          <w:color w:val="auto"/>
        </w:rPr>
      </w:pPr>
      <w:r>
        <w:rPr>
          <w:rFonts w:hint="eastAsia"/>
          <w:color w:val="auto"/>
        </w:rPr>
        <w:t>（6）</w:t>
      </w:r>
      <w:r>
        <w:rPr>
          <w:color w:val="auto"/>
        </w:rPr>
        <w:t>应急预案与演练：</w:t>
      </w:r>
    </w:p>
    <w:p>
      <w:pPr>
        <w:tabs>
          <w:tab w:val="left" w:pos="1440"/>
        </w:tabs>
        <w:rPr>
          <w:color w:val="auto"/>
        </w:rPr>
      </w:pPr>
      <w:r>
        <w:rPr>
          <w:color w:val="auto"/>
        </w:rPr>
        <w:t>制定特种设备事故应急预案，明确应急处置程序和责任分工。</w:t>
      </w:r>
    </w:p>
    <w:p>
      <w:pPr>
        <w:tabs>
          <w:tab w:val="left" w:pos="1440"/>
        </w:tabs>
        <w:rPr>
          <w:color w:val="auto"/>
        </w:rPr>
      </w:pPr>
      <w:r>
        <w:rPr>
          <w:color w:val="auto"/>
        </w:rPr>
        <w:t>定期组织应急演练，提高应对突发事件的能力。</w:t>
      </w:r>
    </w:p>
    <w:p>
      <w:pPr>
        <w:tabs>
          <w:tab w:val="left" w:pos="720"/>
        </w:tabs>
        <w:rPr>
          <w:color w:val="auto"/>
        </w:rPr>
      </w:pPr>
      <w:r>
        <w:rPr>
          <w:rFonts w:hint="eastAsia"/>
          <w:color w:val="auto"/>
        </w:rPr>
        <w:t>（7）</w:t>
      </w:r>
      <w:r>
        <w:rPr>
          <w:color w:val="auto"/>
        </w:rPr>
        <w:t>事故报告与处理：</w:t>
      </w:r>
    </w:p>
    <w:p>
      <w:pPr>
        <w:tabs>
          <w:tab w:val="left" w:pos="1440"/>
        </w:tabs>
        <w:rPr>
          <w:color w:val="auto"/>
        </w:rPr>
      </w:pPr>
      <w:r>
        <w:rPr>
          <w:color w:val="auto"/>
        </w:rPr>
        <w:t>发生特种设备事故时，需立即报告相关部门，并采取有效措施防止事故扩大。</w:t>
      </w:r>
    </w:p>
    <w:p>
      <w:pPr>
        <w:tabs>
          <w:tab w:val="left" w:pos="1440"/>
        </w:tabs>
        <w:rPr>
          <w:color w:val="auto"/>
        </w:rPr>
      </w:pPr>
      <w:r>
        <w:rPr>
          <w:color w:val="auto"/>
        </w:rPr>
        <w:t>配合事故调查，分析原因，落实整改措施。</w:t>
      </w:r>
    </w:p>
    <w:p>
      <w:pPr>
        <w:tabs>
          <w:tab w:val="left" w:pos="720"/>
        </w:tabs>
        <w:rPr>
          <w:color w:val="auto"/>
        </w:rPr>
      </w:pPr>
      <w:r>
        <w:rPr>
          <w:rFonts w:hint="eastAsia"/>
          <w:color w:val="auto"/>
        </w:rPr>
        <w:t>（8）</w:t>
      </w:r>
      <w:r>
        <w:rPr>
          <w:color w:val="auto"/>
        </w:rPr>
        <w:t>档案管理：</w:t>
      </w:r>
    </w:p>
    <w:p>
      <w:pPr>
        <w:tabs>
          <w:tab w:val="left" w:pos="1440"/>
        </w:tabs>
        <w:rPr>
          <w:color w:val="auto"/>
        </w:rPr>
      </w:pPr>
      <w:r>
        <w:rPr>
          <w:color w:val="auto"/>
        </w:rPr>
        <w:t>建立特种设备安全技术档案，包括设备设计文件、制造单位、产品质量合格证明、使用维护说明、定期检验报告等。</w:t>
      </w:r>
    </w:p>
    <w:p>
      <w:pPr>
        <w:tabs>
          <w:tab w:val="left" w:pos="1440"/>
        </w:tabs>
        <w:rPr>
          <w:color w:val="auto"/>
        </w:rPr>
      </w:pPr>
      <w:r>
        <w:rPr>
          <w:color w:val="auto"/>
        </w:rPr>
        <w:t>档案应妥善保管，便于查阅和追溯。</w:t>
      </w:r>
    </w:p>
    <w:p>
      <w:pPr>
        <w:pStyle w:val="3"/>
        <w:rPr>
          <w:color w:val="auto"/>
        </w:rPr>
      </w:pPr>
      <w:bookmarkStart w:id="189" w:name="_Toc192757718"/>
      <w:bookmarkStart w:id="190" w:name="_Toc30283"/>
      <w:r>
        <w:rPr>
          <w:color w:val="auto"/>
        </w:rPr>
        <w:t>7.4 生态效益分析</w:t>
      </w:r>
      <w:bookmarkEnd w:id="189"/>
      <w:bookmarkEnd w:id="190"/>
    </w:p>
    <w:p>
      <w:pPr>
        <w:rPr>
          <w:color w:val="auto"/>
        </w:rPr>
      </w:pPr>
      <w:r>
        <w:rPr>
          <w:color w:val="auto"/>
        </w:rPr>
        <w:t>淮南经开化工园区项目落地实施过程中要采取先进绿色工艺、从源头上减少“三废”产生，同时转变环境治理理念，从末端治理向源头控制改变。通过以下一些途径得到良好的生态效益。</w:t>
      </w:r>
    </w:p>
    <w:p>
      <w:pPr>
        <w:pStyle w:val="4"/>
        <w:rPr>
          <w:color w:val="auto"/>
        </w:rPr>
      </w:pPr>
      <w:bookmarkStart w:id="191" w:name="_Toc4531"/>
      <w:bookmarkStart w:id="192" w:name="_Toc118100513"/>
      <w:bookmarkStart w:id="193" w:name="_Toc192757719"/>
      <w:r>
        <w:rPr>
          <w:color w:val="auto"/>
        </w:rPr>
        <w:t>7.4.1 推行清洁生产，从源头上</w:t>
      </w:r>
      <w:bookmarkEnd w:id="191"/>
      <w:bookmarkEnd w:id="192"/>
      <w:r>
        <w:rPr>
          <w:color w:val="auto"/>
        </w:rPr>
        <w:t>控制污染物产生</w:t>
      </w:r>
      <w:bookmarkEnd w:id="193"/>
    </w:p>
    <w:p>
      <w:pPr>
        <w:rPr>
          <w:color w:val="auto"/>
        </w:rPr>
      </w:pPr>
      <w:r>
        <w:rPr>
          <w:color w:val="auto"/>
        </w:rPr>
        <w:t>长期以来，“三废”治理，采取先污染，后治理的末端治理路线，消耗大量资源，并且效果差。随着技术进步，需要改变这种落后的治理路线。本化工园区引进项目坚持高起点，积极引进先进技术与清洁工艺，从根本上实现环境保护。</w:t>
      </w:r>
    </w:p>
    <w:p>
      <w:pPr>
        <w:pStyle w:val="4"/>
        <w:rPr>
          <w:color w:val="auto"/>
        </w:rPr>
      </w:pPr>
      <w:bookmarkStart w:id="194" w:name="_Toc604"/>
      <w:bookmarkStart w:id="195" w:name="_Toc118100514"/>
      <w:bookmarkStart w:id="196" w:name="_Toc192757720"/>
      <w:r>
        <w:rPr>
          <w:color w:val="auto"/>
        </w:rPr>
        <w:t>7.4.2 采用先进末端治理工艺，削减污染物排放</w:t>
      </w:r>
      <w:bookmarkEnd w:id="194"/>
      <w:bookmarkEnd w:id="195"/>
      <w:r>
        <w:rPr>
          <w:color w:val="auto"/>
        </w:rPr>
        <w:t>总量</w:t>
      </w:r>
      <w:bookmarkEnd w:id="196"/>
    </w:p>
    <w:p>
      <w:pPr>
        <w:rPr>
          <w:color w:val="auto"/>
        </w:rPr>
      </w:pPr>
      <w:r>
        <w:rPr>
          <w:color w:val="auto"/>
        </w:rPr>
        <w:t>在“三废”治理时，优先选用先进的绿色治理工艺，可循环使用的必须循环利用，最大程度上降低“三废”对环境影响。</w:t>
      </w:r>
    </w:p>
    <w:p>
      <w:pPr>
        <w:rPr>
          <w:color w:val="auto"/>
        </w:rPr>
      </w:pPr>
      <w:r>
        <w:rPr>
          <w:color w:val="auto"/>
        </w:rPr>
        <w:t>园区对不同性质的装置、设施，根据环保要求在地域上进行合理的安排。化工园区的“三废”治理充分体现了环境保护进入了一个新阶段，从局部治理发展到区域整体治理，从单项治理发展到综合治理，对区域进行综合考虑。</w:t>
      </w:r>
    </w:p>
    <w:p>
      <w:pPr>
        <w:pStyle w:val="4"/>
        <w:rPr>
          <w:color w:val="auto"/>
        </w:rPr>
      </w:pPr>
      <w:bookmarkStart w:id="197" w:name="_Toc192757721"/>
      <w:r>
        <w:rPr>
          <w:color w:val="auto"/>
        </w:rPr>
        <w:t>7.4.3 全面推进碳达峰与碳中和</w:t>
      </w:r>
      <w:bookmarkEnd w:id="197"/>
    </w:p>
    <w:p>
      <w:pPr>
        <w:rPr>
          <w:color w:val="auto"/>
        </w:rPr>
      </w:pPr>
      <w:r>
        <w:rPr>
          <w:color w:val="auto"/>
        </w:rPr>
        <w:t>推进碳达峰与碳中和行动以能源绿色低碳发展为关键，加快形成节约资源和保护环境的产业结构、生产方式、空间格局。加强能源“双控”和用能低碳化，深入挖掘在建、存量项目节能减排降碳潜力。引导和推动企业加快应用光电催化、变频电机等先进工艺技术装备，鼓励企业建设智慧化工能源管理中心，利用数字化技术实现精准用能控碳。推进生产过程节能清洁化和能源利用高效低碳化改造。推动企业废物综合利用、能量梯级利用、水资源循环使用，提高余热和废热应用。</w:t>
      </w:r>
    </w:p>
    <w:p>
      <w:pPr>
        <w:pStyle w:val="4"/>
        <w:rPr>
          <w:color w:val="auto"/>
        </w:rPr>
      </w:pPr>
      <w:bookmarkStart w:id="198" w:name="_Toc192757722"/>
      <w:r>
        <w:rPr>
          <w:color w:val="auto"/>
        </w:rPr>
        <w:t>7.4.</w:t>
      </w:r>
      <w:r>
        <w:rPr>
          <w:rFonts w:hint="eastAsia"/>
          <w:color w:val="auto"/>
        </w:rPr>
        <w:t>4</w:t>
      </w:r>
      <w:r>
        <w:rPr>
          <w:color w:val="auto"/>
        </w:rPr>
        <w:t xml:space="preserve"> </w:t>
      </w:r>
      <w:r>
        <w:rPr>
          <w:rFonts w:hint="eastAsia"/>
          <w:color w:val="auto"/>
        </w:rPr>
        <w:t>产业园区环境管理</w:t>
      </w:r>
      <w:bookmarkEnd w:id="198"/>
    </w:p>
    <w:p>
      <w:pPr>
        <w:rPr>
          <w:color w:val="auto"/>
        </w:rPr>
      </w:pPr>
      <w:r>
        <w:rPr>
          <w:rFonts w:hint="eastAsia"/>
          <w:color w:val="auto"/>
        </w:rPr>
        <w:t>化工园区</w:t>
      </w:r>
      <w:r>
        <w:rPr>
          <w:color w:val="auto"/>
        </w:rPr>
        <w:t>有关部门依据职责负责开发区相关管理工作。发展改革、工业和信息化部门依据职责负责园区产业规划、入园项目核准或备案、园区产业转型升级和高质量发展工作，生态环境部门负责园区环境保护监管、指导环境应急管理工作，安全应急管理部门负责依职责指导园区内相关企业安全生产监管和安全应急（含消防）管理工作。</w:t>
      </w:r>
    </w:p>
    <w:p>
      <w:pPr>
        <w:rPr>
          <w:color w:val="auto"/>
        </w:rPr>
      </w:pPr>
      <w:r>
        <w:rPr>
          <w:rFonts w:hint="eastAsia"/>
          <w:color w:val="auto"/>
        </w:rPr>
        <w:t>（1）总体目标</w:t>
      </w:r>
    </w:p>
    <w:p>
      <w:pPr>
        <w:rPr>
          <w:color w:val="auto"/>
        </w:rPr>
      </w:pPr>
      <w:r>
        <w:rPr>
          <w:color w:val="auto"/>
        </w:rPr>
        <w:t>以习近平生态文明思想为指导，全面贯彻党的</w:t>
      </w:r>
      <w:r>
        <w:rPr>
          <w:rFonts w:hint="eastAsia"/>
          <w:color w:val="auto"/>
        </w:rPr>
        <w:t>二十大</w:t>
      </w:r>
      <w:r>
        <w:rPr>
          <w:color w:val="auto"/>
        </w:rPr>
        <w:t>精神，认真落实省委省政府决策部署，深入持续打好污染防治攻坚战，坚持严格准入源头管控、分类施策精准治理、问题导向系统推进、激励约束机制并重的原则，严控高能耗高排放、严禁高污染不安全项目落地，完善园区主要污染物排放总量控制措施，实现主要污染物排放浓度和总量“双管控”，确保园区及其周边环境质量持续改善。</w:t>
      </w:r>
    </w:p>
    <w:p>
      <w:pPr>
        <w:rPr>
          <w:color w:val="auto"/>
        </w:rPr>
      </w:pPr>
      <w:r>
        <w:rPr>
          <w:rFonts w:hint="eastAsia"/>
          <w:color w:val="auto"/>
        </w:rPr>
        <w:t>（2）管理体系</w:t>
      </w:r>
    </w:p>
    <w:p>
      <w:pPr>
        <w:rPr>
          <w:color w:val="auto"/>
        </w:rPr>
      </w:pPr>
      <w:r>
        <w:rPr>
          <w:color w:val="auto"/>
        </w:rPr>
        <w:t>环境管理体系应包括以下具体内容：</w:t>
      </w:r>
    </w:p>
    <w:p>
      <w:pPr>
        <w:rPr>
          <w:color w:val="auto"/>
        </w:rPr>
      </w:pPr>
      <w:r>
        <w:rPr>
          <w:color w:val="auto"/>
        </w:rPr>
        <w:t>1）制定</w:t>
      </w:r>
      <w:r>
        <w:rPr>
          <w:rFonts w:hint="eastAsia"/>
          <w:color w:val="auto"/>
        </w:rPr>
        <w:t>化工园区</w:t>
      </w:r>
      <w:r>
        <w:rPr>
          <w:color w:val="auto"/>
        </w:rPr>
        <w:t>环保管理办法</w:t>
      </w:r>
    </w:p>
    <w:p>
      <w:pPr>
        <w:rPr>
          <w:color w:val="auto"/>
        </w:rPr>
      </w:pPr>
      <w:r>
        <w:rPr>
          <w:color w:val="auto"/>
        </w:rPr>
        <w:t>为确保</w:t>
      </w:r>
      <w:r>
        <w:rPr>
          <w:rFonts w:hint="eastAsia"/>
          <w:color w:val="auto"/>
        </w:rPr>
        <w:t>化工园区</w:t>
      </w:r>
      <w:r>
        <w:rPr>
          <w:color w:val="auto"/>
        </w:rPr>
        <w:t>的可持续发展，建议管委会根据国家和省现行的环保法律法规、政策、制度，结合产业园实际情况及未来发展趋势，制定适合本</w:t>
      </w:r>
      <w:r>
        <w:rPr>
          <w:rFonts w:hint="eastAsia"/>
          <w:color w:val="auto"/>
        </w:rPr>
        <w:t>化工园区</w:t>
      </w:r>
      <w:r>
        <w:rPr>
          <w:color w:val="auto"/>
        </w:rPr>
        <w:t>经济发展和环境管理需要的“环保管理办法”，对入区项目提出严格限制要求，规范企业在保护环境、防治污染等方面的行为。</w:t>
      </w:r>
    </w:p>
    <w:p>
      <w:pPr>
        <w:rPr>
          <w:color w:val="auto"/>
        </w:rPr>
      </w:pPr>
      <w:r>
        <w:rPr>
          <w:color w:val="auto"/>
        </w:rPr>
        <w:t>2）实行严格的项目审批制度</w:t>
      </w:r>
    </w:p>
    <w:p>
      <w:pPr>
        <w:rPr>
          <w:color w:val="auto"/>
        </w:rPr>
      </w:pPr>
      <w:r>
        <w:rPr>
          <w:rFonts w:hint="eastAsia"/>
          <w:color w:val="auto"/>
        </w:rPr>
        <w:t>化工园区</w:t>
      </w:r>
      <w:r>
        <w:rPr>
          <w:color w:val="auto"/>
        </w:rPr>
        <w:t>应制定相应的项目审批、审核制度。对不符合国家产业政策和区域产业发展方向的项目一律不引进，同时以所有行业排放总量“只减不增”，SO</w:t>
      </w:r>
      <w:r>
        <w:rPr>
          <w:color w:val="auto"/>
          <w:vertAlign w:val="subscript"/>
        </w:rPr>
        <w:t>2</w:t>
      </w:r>
      <w:r>
        <w:rPr>
          <w:color w:val="auto"/>
        </w:rPr>
        <w:t>、NO</w:t>
      </w:r>
      <w:r>
        <w:rPr>
          <w:color w:val="auto"/>
          <w:vertAlign w:val="subscript"/>
        </w:rPr>
        <w:t>x</w:t>
      </w:r>
      <w:r>
        <w:rPr>
          <w:color w:val="auto"/>
        </w:rPr>
        <w:t>、颗粒物和VOCs排放“倍量替代”为原则，将是否符合总量控制要求作为建设项目环境影响评价审批的前置条件。</w:t>
      </w:r>
    </w:p>
    <w:p>
      <w:pPr>
        <w:rPr>
          <w:color w:val="auto"/>
        </w:rPr>
      </w:pPr>
      <w:r>
        <w:rPr>
          <w:rFonts w:hint="eastAsia"/>
          <w:color w:val="auto"/>
        </w:rPr>
        <w:t>化工园区</w:t>
      </w:r>
      <w:r>
        <w:rPr>
          <w:color w:val="auto"/>
        </w:rPr>
        <w:t>应严格执行建设项目环境影响评价制度和“三同时”制度，实行项目的环保“一票否决”制，通过严格控制污染源，以达到从源头控制的目的。</w:t>
      </w:r>
    </w:p>
    <w:p>
      <w:pPr>
        <w:rPr>
          <w:color w:val="auto"/>
        </w:rPr>
      </w:pPr>
      <w:r>
        <w:rPr>
          <w:color w:val="auto"/>
        </w:rPr>
        <w:t>3）切实落实环境保护目标责任制</w:t>
      </w:r>
    </w:p>
    <w:p>
      <w:pPr>
        <w:rPr>
          <w:color w:val="auto"/>
        </w:rPr>
      </w:pPr>
      <w:r>
        <w:rPr>
          <w:color w:val="auto"/>
        </w:rPr>
        <w:t>实行生产者环境责任制，要求生产企业对其使用的原料、包装物、产品生产、消费过程及消费后的剩余物对环境的影响负责。根据污染物总量控制计划，按单位或企业层层分解，建立以企业及主管部门领导为核心的管理体系，明确各自的环境责任，以签订责任状的形式，将责任落实给企业领导者，达到目标管理的目的。</w:t>
      </w:r>
    </w:p>
    <w:p>
      <w:pPr>
        <w:rPr>
          <w:color w:val="auto"/>
        </w:rPr>
      </w:pPr>
      <w:r>
        <w:rPr>
          <w:color w:val="auto"/>
        </w:rPr>
        <w:t>4）健全污染治理设施管理制度</w:t>
      </w:r>
    </w:p>
    <w:p>
      <w:pPr>
        <w:rPr>
          <w:color w:val="auto"/>
        </w:rPr>
      </w:pPr>
      <w:r>
        <w:rPr>
          <w:color w:val="auto"/>
        </w:rPr>
        <w:t>强化企业污染治理设施的管理，制定各级岗位责任制，编制设备及工艺的操作规程，建立相应的管理台帐。不得擅自拆除或闲置已有的污染处理设施，严禁故意不正常使用污染处理设施。</w:t>
      </w:r>
    </w:p>
    <w:p>
      <w:pPr>
        <w:rPr>
          <w:color w:val="auto"/>
        </w:rPr>
      </w:pPr>
      <w:r>
        <w:rPr>
          <w:color w:val="auto"/>
        </w:rPr>
        <w:t>5）严格落实各项环保制度</w:t>
      </w:r>
    </w:p>
    <w:p>
      <w:pPr>
        <w:rPr>
          <w:color w:val="auto"/>
        </w:rPr>
      </w:pPr>
      <w:r>
        <w:rPr>
          <w:color w:val="auto"/>
        </w:rPr>
        <w:t>在项目筹备、实施、建设阶段，应严格执行“三同时”，确保污染处理设施能够和生产工艺“同时设计”、和项目一道“同时施工”、与项目生产做到同时验收运行，保证环境规划的落实。对企业的“三废”排放的“双达标”实行严格的控制和监督。</w:t>
      </w:r>
    </w:p>
    <w:p>
      <w:pPr>
        <w:rPr>
          <w:color w:val="auto"/>
        </w:rPr>
      </w:pPr>
      <w:r>
        <w:rPr>
          <w:color w:val="auto"/>
        </w:rPr>
        <w:t>6）建立报告制度</w:t>
      </w:r>
    </w:p>
    <w:p>
      <w:pPr>
        <w:rPr>
          <w:color w:val="auto"/>
        </w:rPr>
      </w:pPr>
      <w:r>
        <w:rPr>
          <w:rFonts w:hint="eastAsia"/>
          <w:color w:val="auto"/>
        </w:rPr>
        <w:t>化工园区内</w:t>
      </w:r>
      <w:r>
        <w:rPr>
          <w:color w:val="auto"/>
        </w:rPr>
        <w:t>所有排污企业均实行排污许可证制度，并按照有关规定要求填写排污月报表，上报当地环保部门。</w:t>
      </w:r>
    </w:p>
    <w:p>
      <w:pPr>
        <w:rPr>
          <w:color w:val="auto"/>
        </w:rPr>
      </w:pPr>
      <w:r>
        <w:rPr>
          <w:color w:val="auto"/>
        </w:rPr>
        <w:t>在排污发生重大变化、污染治理设施发生改变或者拟实施新、改、扩建项目计划时，都必须向环保主管部门申报。</w:t>
      </w:r>
    </w:p>
    <w:p>
      <w:pPr>
        <w:rPr>
          <w:color w:val="auto"/>
        </w:rPr>
      </w:pPr>
      <w:r>
        <w:rPr>
          <w:color w:val="auto"/>
        </w:rPr>
        <w:t>7）制定环保奖惩制度</w:t>
      </w:r>
    </w:p>
    <w:p>
      <w:pPr>
        <w:rPr>
          <w:color w:val="auto"/>
        </w:rPr>
      </w:pPr>
      <w:r>
        <w:rPr>
          <w:color w:val="auto"/>
        </w:rPr>
        <w:t>制定环保奖惩条例，鼓励清洁生产，限制和规范企业的环境行为。</w:t>
      </w:r>
    </w:p>
    <w:p>
      <w:pPr>
        <w:rPr>
          <w:color w:val="auto"/>
        </w:rPr>
      </w:pPr>
      <w:r>
        <w:rPr>
          <w:color w:val="auto"/>
        </w:rPr>
        <w:t>对于重视环境管理、节能降耗、减少污染物排放，污染治理效果好等利于环境改善的企业，采取一定的奖励措施，对环保观念淡薄、浪费能源与资源的企业则予以重罚。</w:t>
      </w:r>
    </w:p>
    <w:p>
      <w:pPr>
        <w:rPr>
          <w:color w:val="auto"/>
        </w:rPr>
      </w:pPr>
      <w:r>
        <w:rPr>
          <w:color w:val="auto"/>
        </w:rPr>
        <w:t>8）环境信息公开化</w:t>
      </w:r>
    </w:p>
    <w:p>
      <w:pPr>
        <w:rPr>
          <w:color w:val="auto"/>
        </w:rPr>
      </w:pPr>
      <w:r>
        <w:rPr>
          <w:color w:val="auto"/>
        </w:rPr>
        <w:t>环境信息公开与公众参与是提倡政府与企业在环境保护方面建立伙伴关系，将信息公开和公众参与逐渐融入和扩展到环境管理的各个层面，是一种新型的环境管理手段。信息公开的主要内容包括环境质量状况、污染损失、管理目标、企业环境行为、企业污染削减成本等；环境信息公开的重点是重点污染源的主要污染物排放情况的信息公开化；信息公开特别注意公开的公正性和信息公开的透明度。公众参与是在充分尊重公众环境知情权，实施信息公开的基础上，发挥公众参与包括来自社区和市场的力量，收集和整理社会各方面的反馈意见，在管理过程中体现公众意见和要求。</w:t>
      </w:r>
      <w:r>
        <w:rPr>
          <w:rFonts w:hint="eastAsia"/>
          <w:color w:val="auto"/>
        </w:rPr>
        <w:t>化工园区</w:t>
      </w:r>
      <w:r>
        <w:rPr>
          <w:color w:val="auto"/>
        </w:rPr>
        <w:t>内应专门设立环境安全管理机构，负责区域内环境保护监督和安全生产的管理工作。</w:t>
      </w:r>
    </w:p>
    <w:p>
      <w:pPr>
        <w:pStyle w:val="3"/>
        <w:rPr>
          <w:color w:val="auto"/>
        </w:rPr>
      </w:pPr>
      <w:bookmarkStart w:id="199" w:name="_Toc192757723"/>
      <w:r>
        <w:rPr>
          <w:color w:val="auto"/>
        </w:rPr>
        <w:t>7.</w:t>
      </w:r>
      <w:r>
        <w:rPr>
          <w:rFonts w:hint="eastAsia"/>
          <w:color w:val="auto"/>
        </w:rPr>
        <w:t>5</w:t>
      </w:r>
      <w:r>
        <w:rPr>
          <w:color w:val="auto"/>
        </w:rPr>
        <w:t xml:space="preserve"> </w:t>
      </w:r>
      <w:r>
        <w:rPr>
          <w:rFonts w:hint="eastAsia"/>
          <w:color w:val="auto"/>
        </w:rPr>
        <w:t>产业规划效果</w:t>
      </w:r>
      <w:bookmarkEnd w:id="199"/>
    </w:p>
    <w:p>
      <w:pPr>
        <w:pStyle w:val="4"/>
        <w:rPr>
          <w:color w:val="auto"/>
        </w:rPr>
      </w:pPr>
      <w:bookmarkStart w:id="200" w:name="_Toc192757724"/>
      <w:r>
        <w:rPr>
          <w:color w:val="auto"/>
        </w:rPr>
        <w:t>7.</w:t>
      </w:r>
      <w:r>
        <w:rPr>
          <w:rFonts w:hint="eastAsia"/>
          <w:color w:val="auto"/>
        </w:rPr>
        <w:t>5</w:t>
      </w:r>
      <w:r>
        <w:rPr>
          <w:color w:val="auto"/>
        </w:rPr>
        <w:t>.</w:t>
      </w:r>
      <w:r>
        <w:rPr>
          <w:rFonts w:hint="eastAsia"/>
          <w:color w:val="auto"/>
        </w:rPr>
        <w:t>1</w:t>
      </w:r>
      <w:r>
        <w:rPr>
          <w:color w:val="auto"/>
        </w:rPr>
        <w:t xml:space="preserve"> </w:t>
      </w:r>
      <w:r>
        <w:rPr>
          <w:rFonts w:hint="eastAsia"/>
          <w:color w:val="auto"/>
        </w:rPr>
        <w:t>产业目标</w:t>
      </w:r>
      <w:bookmarkEnd w:id="200"/>
    </w:p>
    <w:p>
      <w:pPr>
        <w:rPr>
          <w:color w:val="auto"/>
        </w:rPr>
      </w:pPr>
      <w:r>
        <w:rPr>
          <w:color w:val="auto"/>
        </w:rPr>
        <w:t>淮南经开化工园区着力提升改造传统化工产业，加快培育生物医药、化工新材料等高端精细化学品产业，并形成功能布局合理、主导产业明晰、资源利用高效、基础设施完善，具有核心竞争力的现代化化工产业园区。</w:t>
      </w:r>
    </w:p>
    <w:p>
      <w:pPr>
        <w:pStyle w:val="4"/>
        <w:rPr>
          <w:color w:val="auto"/>
        </w:rPr>
      </w:pPr>
      <w:bookmarkStart w:id="201" w:name="_Toc192757725"/>
      <w:r>
        <w:rPr>
          <w:color w:val="auto"/>
        </w:rPr>
        <w:t>7.</w:t>
      </w:r>
      <w:r>
        <w:rPr>
          <w:rFonts w:hint="eastAsia"/>
          <w:color w:val="auto"/>
        </w:rPr>
        <w:t>5</w:t>
      </w:r>
      <w:r>
        <w:rPr>
          <w:color w:val="auto"/>
        </w:rPr>
        <w:t>.</w:t>
      </w:r>
      <w:r>
        <w:rPr>
          <w:rFonts w:hint="eastAsia"/>
          <w:color w:val="auto"/>
        </w:rPr>
        <w:t>2 规划工作重点</w:t>
      </w:r>
      <w:bookmarkEnd w:id="201"/>
    </w:p>
    <w:p>
      <w:pPr>
        <w:rPr>
          <w:color w:val="auto"/>
        </w:rPr>
      </w:pPr>
      <w:r>
        <w:rPr>
          <w:rFonts w:hint="eastAsia"/>
          <w:color w:val="auto"/>
        </w:rPr>
        <w:t>（1）项目方面</w:t>
      </w:r>
    </w:p>
    <w:p>
      <w:pPr>
        <w:rPr>
          <w:color w:val="auto"/>
        </w:rPr>
      </w:pPr>
      <w:r>
        <w:rPr>
          <w:color w:val="auto"/>
        </w:rPr>
        <w:t>淮南经开化工园区</w:t>
      </w:r>
      <w:r>
        <w:rPr>
          <w:rFonts w:hint="eastAsia"/>
          <w:color w:val="auto"/>
        </w:rPr>
        <w:t>下一步工作重点是在维持现有产业现状的基础上，进一步引进生物医药产品多品种，譬如氨基酸类产品、核酸类产品、胰岛素类产品；加强化学类药品规模，譬如解热镇痛药中的扑热息痛、安替比林等药物；麻醉剂方面，国瑞药业可以适时引入麻醉剂的生产项目。</w:t>
      </w:r>
    </w:p>
    <w:p>
      <w:pPr>
        <w:rPr>
          <w:color w:val="auto"/>
        </w:rPr>
      </w:pPr>
      <w:r>
        <w:rPr>
          <w:rFonts w:hint="eastAsia"/>
          <w:color w:val="auto"/>
        </w:rPr>
        <w:t>园区外可以配套发展中药材种植、中药材萃取、制药辅助药、药用包装材料、加工辅料等非化工产业的聚集发展，为产业园区配套做出贡献。</w:t>
      </w:r>
    </w:p>
    <w:p>
      <w:pPr>
        <w:rPr>
          <w:color w:val="auto"/>
        </w:rPr>
      </w:pPr>
      <w:r>
        <w:rPr>
          <w:rFonts w:hint="eastAsia"/>
          <w:color w:val="auto"/>
        </w:rPr>
        <w:t>（2）研发服务</w:t>
      </w:r>
    </w:p>
    <w:p>
      <w:r>
        <w:rPr>
          <w:color w:val="auto"/>
        </w:rPr>
        <w:t>淮南经开化工园区</w:t>
      </w:r>
      <w:r>
        <w:rPr>
          <w:rFonts w:hint="eastAsia"/>
          <w:color w:val="auto"/>
        </w:rPr>
        <w:t>主导产业</w:t>
      </w:r>
      <w:r>
        <w:rPr>
          <w:color w:val="auto"/>
        </w:rPr>
        <w:t>生物医药、化工新材料等高端精细化学品</w:t>
      </w:r>
      <w:r>
        <w:rPr>
          <w:rFonts w:hint="eastAsia"/>
          <w:color w:val="auto"/>
        </w:rPr>
        <w:t>产业需要极强的研发服务，规划期限内化工园区因加强中试基地研发外包服务，服务内容可涵盖但不限于发酵工程、基因工程、细胞工程、抗体工程、蛋白质工程、其他生物技术工程等。</w:t>
      </w:r>
    </w:p>
    <w:p>
      <w:pPr>
        <w:pStyle w:val="22"/>
        <w:ind w:firstLine="480"/>
        <w:rPr>
          <w:rFonts w:hint="default" w:ascii="Times New Roman" w:hAnsi="Times New Roman" w:eastAsia="仿宋_GB2312"/>
          <w:color w:val="auto"/>
        </w:rPr>
        <w:sectPr>
          <w:pgSz w:w="11906" w:h="16838"/>
          <w:pgMar w:top="1440" w:right="1800" w:bottom="1440" w:left="1800" w:header="851" w:footer="992" w:gutter="0"/>
          <w:cols w:space="425" w:num="1"/>
          <w:docGrid w:type="lines" w:linePitch="312" w:charSpace="0"/>
        </w:sectPr>
      </w:pPr>
    </w:p>
    <w:p>
      <w:pPr>
        <w:pStyle w:val="2"/>
        <w:rPr>
          <w:rFonts w:ascii="Times New Roman" w:hAnsi="Times New Roman" w:eastAsia="仿宋_GB2312" w:cs="Times New Roman"/>
          <w:b/>
          <w:bCs/>
          <w:color w:val="auto"/>
        </w:rPr>
      </w:pPr>
      <w:bookmarkStart w:id="202" w:name="_Toc5718"/>
      <w:bookmarkStart w:id="203" w:name="_Toc192757726"/>
      <w:r>
        <w:rPr>
          <w:rFonts w:ascii="Times New Roman" w:hAnsi="Times New Roman" w:eastAsia="仿宋_GB2312" w:cs="Times New Roman"/>
          <w:b/>
          <w:bCs/>
          <w:color w:val="auto"/>
        </w:rPr>
        <w:t>第八章 产业安全发展</w:t>
      </w:r>
      <w:bookmarkEnd w:id="202"/>
      <w:bookmarkEnd w:id="203"/>
    </w:p>
    <w:p>
      <w:pPr>
        <w:rPr>
          <w:color w:val="auto"/>
        </w:rPr>
      </w:pPr>
      <w:r>
        <w:rPr>
          <w:color w:val="auto"/>
        </w:rPr>
        <w:t>淮南经开化工园区在产业快速发展的同时，应高度关注信息化平台在安全生产方面的运用，保障产业安全发展。</w:t>
      </w:r>
    </w:p>
    <w:p>
      <w:pPr>
        <w:rPr>
          <w:color w:val="auto"/>
        </w:rPr>
      </w:pPr>
      <w:r>
        <w:rPr>
          <w:color w:val="auto"/>
        </w:rPr>
        <w:t>目前工业互联网+安全生产模式已经成为化工园区安全发展的主流趋势，园区可以通过建设园区信息化平台、企业信息化平台、公用工程系统信息化平台、工业物联网的布局、在线监控设施设备、行为识别系统等信息化设施设备对园区安全风险进行全方位防控。通过信息化的手段为安全监管工作提供抓手，掌握园区内企业安全生产情况，因此急需完善建设智慧化工园区信息化平台，为园区的安全监管工作提供信息化的辅助支撑。平台应按照“集约共享、适度超前”原则，配套功能先进、设备齐全、技术领先的一体化场所和装备，建立园区信息系统，全面提升园区安全管理精细化、环境监测智能化、应急处置专业化的水平，打造数字化、智能化和智慧化的智慧型园区，有效保护人民生命财产安全。</w:t>
      </w:r>
    </w:p>
    <w:p>
      <w:pPr>
        <w:pStyle w:val="3"/>
        <w:rPr>
          <w:color w:val="auto"/>
        </w:rPr>
      </w:pPr>
      <w:bookmarkStart w:id="204" w:name="_Toc192757727"/>
      <w:bookmarkStart w:id="205" w:name="_Toc10418"/>
      <w:r>
        <w:rPr>
          <w:color w:val="auto"/>
        </w:rPr>
        <w:t>8.1 国家政策推动</w:t>
      </w:r>
      <w:bookmarkEnd w:id="204"/>
      <w:bookmarkEnd w:id="205"/>
    </w:p>
    <w:p>
      <w:pPr>
        <w:rPr>
          <w:color w:val="auto"/>
        </w:rPr>
      </w:pPr>
      <w:r>
        <w:rPr>
          <w:color w:val="auto"/>
        </w:rPr>
        <w:t>为有效指导化工园区和危险化学品企业建平台、用平台，推动危险化学品安全风险管控数字化转型智能化升级，应急管理部出台了《化工园区安全风险智能化管控平台建设指南（试行）》和《危险化学品企业安全风险智能化管控平台建设指南（试行）》文件，文件指出化工园区安全风险智能化管控平台建设要坚持以有效防范化解重大安全风险为目标，突出安全基础管理、重大危险源安全管理、安全风险分级管控和隐患排查治理双重预防机制、特殊作业管理、封闭化管理和敏捷应急等基本功能，强化感知、网络、安全等基础设施建设，推进信息共享、上下贯通，推动科技创新、工业互联网产业生态、安全生产在园区内外的渗透及融合发展，实现不同企业、不同部门、不同层级之间的协同联动，助力化工园区安全、高质量发展。</w:t>
      </w:r>
    </w:p>
    <w:p>
      <w:pPr>
        <w:pStyle w:val="3"/>
        <w:rPr>
          <w:color w:val="auto"/>
        </w:rPr>
      </w:pPr>
      <w:bookmarkStart w:id="206" w:name="_Toc25366"/>
      <w:bookmarkStart w:id="207" w:name="_Toc192757728"/>
      <w:r>
        <w:rPr>
          <w:color w:val="auto"/>
        </w:rPr>
        <w:t>8.2 园区自身需求</w:t>
      </w:r>
      <w:bookmarkEnd w:id="206"/>
      <w:bookmarkEnd w:id="207"/>
    </w:p>
    <w:p>
      <w:pPr>
        <w:rPr>
          <w:color w:val="auto"/>
        </w:rPr>
      </w:pPr>
      <w:r>
        <w:rPr>
          <w:color w:val="auto"/>
        </w:rPr>
        <w:t>化工园区安全风险智能化管控平台建设是园区履行社会责任、助力化工行业安全发展的样板性工程。淮南经开化工园区安全风险智能化管控平台建设的必要性主要体现在以下几个方面：</w:t>
      </w:r>
    </w:p>
    <w:p>
      <w:pPr>
        <w:rPr>
          <w:color w:val="auto"/>
        </w:rPr>
      </w:pPr>
      <w:r>
        <w:rPr>
          <w:color w:val="auto"/>
        </w:rPr>
        <w:t>提高安全管理水平：通过智能化管控平台，可以实时监测化工园区的安全风险，及时发现并解决安全隐患，提高安全管理效率。</w:t>
      </w:r>
    </w:p>
    <w:p>
      <w:pPr>
        <w:rPr>
          <w:color w:val="auto"/>
        </w:rPr>
      </w:pPr>
      <w:r>
        <w:rPr>
          <w:color w:val="auto"/>
        </w:rPr>
        <w:t>提升应急响应能力：智能化管控平台可以实时监测和分析各种安全风险，一旦发生事故，可以迅速启动应急响应机制，有效控制事故的影响范围。</w:t>
      </w:r>
    </w:p>
    <w:p>
      <w:pPr>
        <w:rPr>
          <w:color w:val="auto"/>
        </w:rPr>
      </w:pPr>
      <w:r>
        <w:rPr>
          <w:color w:val="auto"/>
        </w:rPr>
        <w:t>促进信息共享和协同作战：智能化管控平台可以实现信息共享和协同作战，加强各部门之间的协作配合，提高整体应急响应能力。</w:t>
      </w:r>
    </w:p>
    <w:p>
      <w:pPr>
        <w:rPr>
          <w:color w:val="auto"/>
        </w:rPr>
      </w:pPr>
      <w:r>
        <w:rPr>
          <w:color w:val="auto"/>
        </w:rPr>
        <w:t>推动化工产业升级：智能化管控平台的建设可以推动化工产业升级，提高生产效率和安全性，促进化工产业的可持续发展。</w:t>
      </w:r>
    </w:p>
    <w:p>
      <w:pPr>
        <w:rPr>
          <w:color w:val="auto"/>
        </w:rPr>
      </w:pPr>
      <w:r>
        <w:rPr>
          <w:color w:val="auto"/>
        </w:rPr>
        <w:t>保障人员生命安全：智能化管控平台可以有效降低化工园区的安全风险，减少事故发生的概率，从而保障人员的生命安全。</w:t>
      </w:r>
    </w:p>
    <w:p>
      <w:pPr>
        <w:pStyle w:val="3"/>
        <w:rPr>
          <w:color w:val="auto"/>
        </w:rPr>
      </w:pPr>
      <w:bookmarkStart w:id="208" w:name="_Toc192757729"/>
      <w:bookmarkStart w:id="209" w:name="_Toc17588"/>
      <w:r>
        <w:rPr>
          <w:color w:val="auto"/>
        </w:rPr>
        <w:t>8.3 安全管理目标</w:t>
      </w:r>
      <w:bookmarkEnd w:id="208"/>
      <w:bookmarkEnd w:id="209"/>
    </w:p>
    <w:p>
      <w:pPr>
        <w:rPr>
          <w:color w:val="auto"/>
        </w:rPr>
      </w:pPr>
      <w:r>
        <w:rPr>
          <w:color w:val="auto"/>
        </w:rPr>
        <w:t>信息基础设施现代化：通过5G、物联感知网等网络规模化部署，感知资源的汇聚整合，构建天地一体、立体覆盖的信息基础设施，为园区智能运营、智能服务、精细治理夯实基础。</w:t>
      </w:r>
    </w:p>
    <w:p>
      <w:pPr>
        <w:rPr>
          <w:color w:val="auto"/>
        </w:rPr>
      </w:pPr>
      <w:r>
        <w:rPr>
          <w:color w:val="auto"/>
        </w:rPr>
        <w:t>园区管理智能化：通过加强物联网、云计算、大数据等技术手段在园区管理中的应用，实现智慧园区运行监测和智能调度。</w:t>
      </w:r>
    </w:p>
    <w:p>
      <w:pPr>
        <w:rPr>
          <w:color w:val="auto"/>
        </w:rPr>
      </w:pPr>
      <w:r>
        <w:rPr>
          <w:color w:val="auto"/>
        </w:rPr>
        <w:t>企业服务主动化：围绕入驻企业人才、金融、科技、商务等需求，为企业提供全面、精准、专业、高效的一站式、主动化服务。</w:t>
      </w:r>
    </w:p>
    <w:p>
      <w:pPr>
        <w:rPr>
          <w:color w:val="auto"/>
        </w:rPr>
      </w:pPr>
      <w:r>
        <w:rPr>
          <w:color w:val="auto"/>
        </w:rPr>
        <w:t>社会治理精细化：采用数字化手段改善民生体验、提升政务效能、改变公共服务模式，增强居民幸福感。</w:t>
      </w:r>
    </w:p>
    <w:p>
      <w:pPr>
        <w:rPr>
          <w:color w:val="auto"/>
        </w:rPr>
      </w:pPr>
      <w:r>
        <w:rPr>
          <w:color w:val="auto"/>
        </w:rPr>
        <w:t>生活服务多样化：通过通行服务、办公服务、生活服务、社群服务等一系列智慧应用，提供多样生活服务，有效提高居民、员工的满意度。</w:t>
      </w:r>
    </w:p>
    <w:p>
      <w:pPr>
        <w:pStyle w:val="3"/>
        <w:rPr>
          <w:color w:val="auto"/>
        </w:rPr>
      </w:pPr>
      <w:bookmarkStart w:id="210" w:name="_Toc192757730"/>
      <w:bookmarkStart w:id="211" w:name="_Toc32236"/>
      <w:r>
        <w:rPr>
          <w:color w:val="auto"/>
        </w:rPr>
        <w:t>8.4 管理体系建立</w:t>
      </w:r>
      <w:bookmarkEnd w:id="210"/>
      <w:bookmarkEnd w:id="211"/>
    </w:p>
    <w:p>
      <w:pPr>
        <w:rPr>
          <w:color w:val="auto"/>
        </w:rPr>
      </w:pPr>
      <w:r>
        <w:rPr>
          <w:color w:val="auto"/>
        </w:rPr>
        <w:t>淮南经开化工园区应制定一整套完善的重大风险防控安全管理体系，体系包括以下方面：</w:t>
      </w:r>
    </w:p>
    <w:p>
      <w:pPr>
        <w:rPr>
          <w:color w:val="auto"/>
        </w:rPr>
      </w:pPr>
      <w:r>
        <w:rPr>
          <w:color w:val="auto"/>
        </w:rPr>
        <w:t>建立安全管理制度：制定和完善化工园区安全生产规章制度，明确各级管理人员和从业人员的安全职责和义务，规范安全生产行为。</w:t>
      </w:r>
    </w:p>
    <w:p>
      <w:pPr>
        <w:rPr>
          <w:color w:val="auto"/>
        </w:rPr>
      </w:pPr>
      <w:r>
        <w:rPr>
          <w:color w:val="auto"/>
        </w:rPr>
        <w:t>完善安全监测与预警系统：建立全方位的安全监测和预警系统，通过实时监测和数据分析，及时发现和预警安全隐患，提高安全管理的科学性和有效性。</w:t>
      </w:r>
    </w:p>
    <w:p>
      <w:pPr>
        <w:rPr>
          <w:color w:val="auto"/>
        </w:rPr>
      </w:pPr>
      <w:r>
        <w:rPr>
          <w:color w:val="auto"/>
        </w:rPr>
        <w:t>加强安全风险评估和控制：对化工园区内的企业进行定期的安全风险评估，识别和评估潜在的安全隐患，采取有效的措施进行控制和防范。</w:t>
      </w:r>
    </w:p>
    <w:p>
      <w:pPr>
        <w:rPr>
          <w:color w:val="auto"/>
        </w:rPr>
      </w:pPr>
      <w:r>
        <w:rPr>
          <w:color w:val="auto"/>
        </w:rPr>
        <w:t>建立应急救援体系：建立完善的应急救援体系，包括应急预案、救援队伍、救援装备和物资等，提高应急响应能力和救援效率。</w:t>
      </w:r>
    </w:p>
    <w:p>
      <w:pPr>
        <w:rPr>
          <w:color w:val="auto"/>
        </w:rPr>
      </w:pPr>
      <w:r>
        <w:rPr>
          <w:color w:val="auto"/>
        </w:rPr>
        <w:t>强化人员培训与教育：加强从业人员的安全培训和教育，提高其安全意识和应急处置能力，确保在发生事故时能够正确应对。</w:t>
      </w:r>
    </w:p>
    <w:p>
      <w:pPr>
        <w:rPr>
          <w:color w:val="auto"/>
        </w:rPr>
      </w:pPr>
      <w:r>
        <w:rPr>
          <w:color w:val="auto"/>
        </w:rPr>
        <w:t>实施安全检查与评估：定期开展安全检查和评估工作，及时发现和整改安全隐患，确保化工园区安全生产持续稳定。</w:t>
      </w:r>
    </w:p>
    <w:p>
      <w:pPr>
        <w:pStyle w:val="33"/>
        <w:rPr>
          <w:color w:val="auto"/>
        </w:rPr>
      </w:pPr>
    </w:p>
    <w:p>
      <w:pPr>
        <w:pStyle w:val="33"/>
        <w:rPr>
          <w:color w:val="auto"/>
        </w:rPr>
      </w:pPr>
    </w:p>
    <w:p>
      <w:pPr>
        <w:pStyle w:val="33"/>
        <w:rPr>
          <w:color w:val="auto"/>
        </w:rPr>
      </w:pPr>
    </w:p>
    <w:p>
      <w:pPr>
        <w:pStyle w:val="33"/>
        <w:jc w:val="both"/>
        <w:rPr>
          <w:color w:val="auto"/>
        </w:rPr>
      </w:pPr>
    </w:p>
    <w:p>
      <w:pPr>
        <w:pStyle w:val="2"/>
        <w:rPr>
          <w:rFonts w:ascii="Times New Roman" w:hAnsi="Times New Roman" w:eastAsia="仿宋_GB2312" w:cs="Times New Roman"/>
          <w:b/>
          <w:bCs/>
          <w:color w:val="auto"/>
        </w:rPr>
      </w:pPr>
      <w:bookmarkStart w:id="212" w:name="_Toc18105"/>
      <w:bookmarkStart w:id="213" w:name="_Toc25479"/>
      <w:bookmarkStart w:id="214" w:name="_Toc192757731"/>
      <w:r>
        <w:rPr>
          <w:rFonts w:ascii="Times New Roman" w:hAnsi="Times New Roman" w:eastAsia="仿宋_GB2312" w:cs="Times New Roman"/>
          <w:b/>
          <w:bCs/>
          <w:color w:val="auto"/>
        </w:rPr>
        <w:t>第九章 保障措施</w:t>
      </w:r>
      <w:bookmarkEnd w:id="212"/>
      <w:bookmarkEnd w:id="213"/>
      <w:bookmarkEnd w:id="214"/>
    </w:p>
    <w:p>
      <w:pPr>
        <w:pStyle w:val="3"/>
        <w:rPr>
          <w:color w:val="auto"/>
        </w:rPr>
      </w:pPr>
      <w:bookmarkStart w:id="215" w:name="7.1规划实施步骤"/>
      <w:bookmarkEnd w:id="215"/>
      <w:bookmarkStart w:id="216" w:name="_bookmark57"/>
      <w:bookmarkEnd w:id="216"/>
      <w:bookmarkStart w:id="217" w:name="_Toc7702"/>
      <w:bookmarkStart w:id="218" w:name="_Toc118100518"/>
      <w:bookmarkStart w:id="219" w:name="_Toc8933"/>
      <w:bookmarkStart w:id="220" w:name="_Toc192757732"/>
      <w:bookmarkStart w:id="221" w:name="_Toc8898"/>
      <w:bookmarkStart w:id="222" w:name="_Toc439269659"/>
      <w:bookmarkStart w:id="223" w:name="_Toc344133559"/>
      <w:bookmarkStart w:id="224" w:name="_Toc450486475"/>
      <w:bookmarkStart w:id="225" w:name="_Toc357869263"/>
      <w:bookmarkStart w:id="226" w:name="_Toc15411"/>
      <w:r>
        <w:rPr>
          <w:color w:val="auto"/>
        </w:rPr>
        <w:t>9.</w:t>
      </w:r>
      <w:bookmarkEnd w:id="217"/>
      <w:bookmarkEnd w:id="218"/>
      <w:r>
        <w:rPr>
          <w:color w:val="auto"/>
        </w:rPr>
        <w:t>1 强化组织协调机制</w:t>
      </w:r>
      <w:bookmarkEnd w:id="219"/>
      <w:bookmarkEnd w:id="220"/>
    </w:p>
    <w:p>
      <w:pPr>
        <w:rPr>
          <w:color w:val="auto"/>
        </w:rPr>
      </w:pPr>
      <w:r>
        <w:rPr>
          <w:color w:val="auto"/>
        </w:rPr>
        <w:t>加强组织领导。一是把产业发展纳入目标责任制考核体系，明确责任和考核办法，建立奖惩机制，保证目标完成。二是建立有效的推进机制，结合实际，制定切实可行的产业规划推进方案，实行专题推进。要深入实际调查研究，及时协调解决工作中出现的重大问题。要注意发现典型，及时总结推广，推动循环经济产业发展。</w:t>
      </w:r>
    </w:p>
    <w:p>
      <w:pPr>
        <w:rPr>
          <w:color w:val="auto"/>
        </w:rPr>
      </w:pPr>
      <w:r>
        <w:rPr>
          <w:color w:val="auto"/>
        </w:rPr>
        <w:t>创建良好的政务环境，积极转变政府职能。加强效能建设，建立科学决策、高效执行的行政管理体制，优化创新环境。加速推进服务全程化、制度化、规范化建设。推进电子政务建设，提高行政运行效率。</w:t>
      </w:r>
    </w:p>
    <w:p>
      <w:pPr>
        <w:rPr>
          <w:color w:val="auto"/>
        </w:rPr>
      </w:pPr>
      <w:r>
        <w:rPr>
          <w:color w:val="auto"/>
        </w:rPr>
        <w:t>建立统筹协调机制。实施园区联动、政企联动、部门联动，形成产业发展的整体合力。建立重大招商项目协调制度，及时协调解决重大问题和难点问题，防止过度竞争和恶性竞争。</w:t>
      </w:r>
    </w:p>
    <w:p>
      <w:pPr>
        <w:rPr>
          <w:color w:val="auto"/>
        </w:rPr>
      </w:pPr>
      <w:r>
        <w:rPr>
          <w:color w:val="auto"/>
        </w:rPr>
        <w:t>实施规划目标的考核机制。出台相关文件引导园区有关部门把园区产业发展和产业转移工作纳入经济社会发展规划和年度计划，并作为政绩考核的重要内容。实行领导负责制，建立目标责任考评制度，逐级落实目标管理，进行专项督查与考核，加强调查统计与研究分析。</w:t>
      </w:r>
    </w:p>
    <w:p>
      <w:pPr>
        <w:rPr>
          <w:color w:val="auto"/>
        </w:rPr>
      </w:pPr>
      <w:r>
        <w:rPr>
          <w:color w:val="auto"/>
        </w:rPr>
        <w:t>完善社会参与和监督机制。通过一定的程序使公众能够参与和监督园区的规划实施，园区工作应面向社会、面向大众广泛宣传，使大众了解园区规划建设情况，形成关心和参与规划实施的浓烈氛围。</w:t>
      </w:r>
    </w:p>
    <w:p>
      <w:pPr>
        <w:rPr>
          <w:color w:val="auto"/>
        </w:rPr>
      </w:pPr>
      <w:r>
        <w:rPr>
          <w:color w:val="auto"/>
        </w:rPr>
        <w:t>建立动态跟踪机制。为了及时了解和掌握规划实施情况，顺利实现和完成实施规划确定的主要目标和任务，组织对园区的实施情况进行中期评估，找出存在问题，提出对策建议，形成中期评估报告；同时在实施期间，如遇国内外环境发生重大变化或其他重要原因导致实际运行与规划目标发生较大偏离，园区会同各有关方面提出调整方案，报上级相关部门审议批准。</w:t>
      </w:r>
    </w:p>
    <w:p>
      <w:pPr>
        <w:pStyle w:val="3"/>
        <w:rPr>
          <w:color w:val="auto"/>
        </w:rPr>
      </w:pPr>
      <w:bookmarkStart w:id="227" w:name="_Toc192757733"/>
      <w:bookmarkStart w:id="228" w:name="_Toc28375"/>
      <w:r>
        <w:rPr>
          <w:color w:val="auto"/>
        </w:rPr>
        <w:t>9.2 推行智慧安全管理</w:t>
      </w:r>
      <w:bookmarkEnd w:id="227"/>
      <w:bookmarkEnd w:id="228"/>
    </w:p>
    <w:p>
      <w:pPr>
        <w:rPr>
          <w:color w:val="auto"/>
        </w:rPr>
      </w:pPr>
      <w:r>
        <w:rPr>
          <w:color w:val="auto"/>
        </w:rPr>
        <w:t>化工园区智慧安全管理是一种基于信息化、智能化技术的安全管理平台的方式，通过运用大数据、物联网、人工智能等技术手段，实现对园区内各种安全风险和隐患的实时监测、预警、分析和处理，提高园区的安全性和管理效率。</w:t>
      </w:r>
    </w:p>
    <w:p>
      <w:pPr>
        <w:rPr>
          <w:color w:val="auto"/>
        </w:rPr>
      </w:pPr>
      <w:r>
        <w:rPr>
          <w:color w:val="auto"/>
        </w:rPr>
        <w:t>化工园区安全风险智能化管控平台可以实时收集和处理各种安全数据，包括设备运行状态、环境监测数据、人员操作行为等，通过数据分析发现潜在的安全风险和隐患，及时发出预警和警报，提醒相关人员采取应对措施。同时，平台还可以对历史数据进行分析，发现规律和趋势，为预防性维护和管理提供科学依据。</w:t>
      </w:r>
    </w:p>
    <w:p>
      <w:pPr>
        <w:rPr>
          <w:color w:val="auto"/>
        </w:rPr>
      </w:pPr>
      <w:r>
        <w:rPr>
          <w:color w:val="auto"/>
        </w:rPr>
        <w:t>此外，化工园区安全风险智能化管控平台还可以与其他系统进行集成，实现数据的整合和共享。例如，可以将视频监控系统、门禁系统、消防系统等集成到一个平台上，方便管理人员进行统一管理和调度。平台还可以通过智能化设备实现自动化监控和预警。例如，可以利用智能传感器、智能仪表等设备对危险源进行实时监测和预警，减少人工巡检的频率和风险。</w:t>
      </w:r>
    </w:p>
    <w:p>
      <w:pPr>
        <w:rPr>
          <w:color w:val="auto"/>
        </w:rPr>
      </w:pPr>
      <w:r>
        <w:rPr>
          <w:color w:val="auto"/>
        </w:rPr>
        <w:t>总之，化工园区安全风险智能化管控平台是提高园区安全性和管理效率的重要手段。通过运用先进的技术手段和智能化设备，可以实现对园区内各种安全风险的实时监测、预警、分析和处理，保障园区内的生产安全和人员安全。</w:t>
      </w:r>
    </w:p>
    <w:p>
      <w:pPr>
        <w:pStyle w:val="3"/>
        <w:rPr>
          <w:color w:val="auto"/>
        </w:rPr>
      </w:pPr>
      <w:bookmarkStart w:id="229" w:name="_Toc20915"/>
      <w:bookmarkStart w:id="230" w:name="_Toc118100519"/>
      <w:bookmarkStart w:id="231" w:name="_Toc192757734"/>
      <w:bookmarkStart w:id="232" w:name="_Toc7439"/>
      <w:r>
        <w:rPr>
          <w:color w:val="auto"/>
        </w:rPr>
        <w:t>9.</w:t>
      </w:r>
      <w:bookmarkEnd w:id="229"/>
      <w:bookmarkEnd w:id="230"/>
      <w:r>
        <w:rPr>
          <w:color w:val="auto"/>
        </w:rPr>
        <w:t>3 提升环境承载能力</w:t>
      </w:r>
      <w:bookmarkEnd w:id="231"/>
      <w:bookmarkEnd w:id="232"/>
    </w:p>
    <w:p>
      <w:pPr>
        <w:rPr>
          <w:color w:val="auto"/>
        </w:rPr>
      </w:pPr>
      <w:r>
        <w:rPr>
          <w:color w:val="auto"/>
        </w:rPr>
        <w:t>制定差别化产业政策。从行业类别、投资强度、环保节能等方面制定差别化的产业政策，积极引进产业关联度高、对经济发展带动大及技术水平高、附加值高、环境污染低的企业。根据园区发展情况，及时调整本化工园区建设项目“禁限控”目录，提出鼓励、限制、退出的产业类别，逐步提高工业用地的投资强度和产出效益标准。</w:t>
      </w:r>
    </w:p>
    <w:p>
      <w:pPr>
        <w:rPr>
          <w:color w:val="auto"/>
        </w:rPr>
      </w:pPr>
      <w:r>
        <w:rPr>
          <w:color w:val="auto"/>
        </w:rPr>
        <w:t>建立产业发展绩效评价体系。根据各片区生态基础、开发强度、产业布局优化程度等评价产业发展绩效，评价指标主要包括生态保护与优化要求、各片区功能定位要求、土地集约利用要求、化工产业导向要求、投资产业关联度和附加值要求等，对评价分值较低的产业实施转型优化、升级改造或全面清退政策。</w:t>
      </w:r>
    </w:p>
    <w:p>
      <w:pPr>
        <w:rPr>
          <w:color w:val="auto"/>
        </w:rPr>
      </w:pPr>
      <w:r>
        <w:rPr>
          <w:color w:val="auto"/>
        </w:rPr>
        <w:t>建立环境准入负面清单。本产业发展规划执行淮南经开化工园区环境准入负面清单，涉及环境准入负面清单中的项目不得进入化工园区。</w:t>
      </w:r>
    </w:p>
    <w:p>
      <w:pPr>
        <w:rPr>
          <w:color w:val="auto"/>
        </w:rPr>
      </w:pPr>
      <w:r>
        <w:rPr>
          <w:color w:val="auto"/>
        </w:rPr>
        <w:t>严格执行产业准入标准。把区域资源承载力和生态环境容量作为入园的重要依据。严格资源节约和环保准入门槛，进入项目必须符合国家产业政策、资源节约和污染物排放强度要求，避免资源浪费和污染扩散，严格落后生产能力的进入。严格执行项目节能评估审查和环境影响评价制度。鼓励采用新技术、新工艺和科学管理，提升企业清洁生产水平。</w:t>
      </w:r>
    </w:p>
    <w:p>
      <w:pPr>
        <w:rPr>
          <w:color w:val="auto"/>
        </w:rPr>
      </w:pPr>
      <w:r>
        <w:rPr>
          <w:color w:val="auto"/>
        </w:rPr>
        <w:t>推进资源节约集约利用。正确处理当前发展与长远发展的关系，为长远发展留有空间，合理确定建设用地规模。加强项目用地预审，实行项目供地准入制，严格执行国家工业建设用地投资强度和容积率等标准。加强对闲置土地的清理，积极盘活存量建设用地。建立科学合理的土地集约利用评估考核体系，提高土地配置效率。</w:t>
      </w:r>
    </w:p>
    <w:p>
      <w:pPr>
        <w:rPr>
          <w:color w:val="auto"/>
        </w:rPr>
      </w:pPr>
      <w:r>
        <w:rPr>
          <w:color w:val="auto"/>
        </w:rPr>
        <w:t>大力发展循环经济。鼓励企业梳理生产流程，优化生产工艺，延长产业链，提高能源、资源综合利用水平。合理规划园区内企业结构和布局，鼓励企业通过资源共享、废弃物利用等途径发展循环经济。</w:t>
      </w:r>
    </w:p>
    <w:p>
      <w:pPr>
        <w:rPr>
          <w:color w:val="auto"/>
        </w:rPr>
      </w:pPr>
      <w:r>
        <w:rPr>
          <w:color w:val="auto"/>
        </w:rPr>
        <w:t>加强节能降耗管理。在园区和企业间组织实施节煤、节电、节汽、节水等综合利用示范工程，鼓励企业实施电机系统节能和能量系统优化、绿色照明等节能工程建设，应用高新技术和先进适用技术，加强先进节能技术、工艺和产品的研发，淘汰高耗能设备，降低产业能耗水平。强化节能监督管理，落实固定资产投资项目节能评估和审查制度。</w:t>
      </w:r>
    </w:p>
    <w:p>
      <w:pPr>
        <w:pStyle w:val="3"/>
        <w:rPr>
          <w:color w:val="auto"/>
        </w:rPr>
      </w:pPr>
      <w:bookmarkStart w:id="233" w:name="_Toc118100520"/>
      <w:bookmarkStart w:id="234" w:name="_Toc9395"/>
      <w:bookmarkStart w:id="235" w:name="_Toc494"/>
      <w:bookmarkStart w:id="236" w:name="_Toc192757735"/>
      <w:r>
        <w:rPr>
          <w:color w:val="auto"/>
        </w:rPr>
        <w:t>9.</w:t>
      </w:r>
      <w:bookmarkEnd w:id="221"/>
      <w:bookmarkEnd w:id="233"/>
      <w:bookmarkEnd w:id="234"/>
      <w:r>
        <w:rPr>
          <w:color w:val="auto"/>
        </w:rPr>
        <w:t>4 加强技术支撑作用</w:t>
      </w:r>
      <w:bookmarkEnd w:id="235"/>
      <w:bookmarkEnd w:id="236"/>
      <w:bookmarkStart w:id="237" w:name="_Toc21351"/>
      <w:bookmarkStart w:id="238" w:name="_Toc20954"/>
      <w:bookmarkStart w:id="239" w:name="_Toc118100521"/>
    </w:p>
    <w:p>
      <w:pPr>
        <w:rPr>
          <w:color w:val="auto"/>
        </w:rPr>
      </w:pPr>
      <w:r>
        <w:rPr>
          <w:color w:val="auto"/>
        </w:rPr>
        <w:t>加强对各类科研机构的政策支持。政府要制定一系列优惠政策和扶持措施，积极发挥组织、协调和引导作用，推进各类科研机构的建成和发展。依托化工园区优势产业、主导产业及大型骨干企业，与国内知名高等院校及科研机构合作，建设国家级工程技术研究中心、企业技术中心、博士后流动站等研发机构，构建技术高地。着力建设国家级重点实验室，鼓励企业加大技术研发的投入，对企业设立研发中心给予政策扶持。支持研发机构和企业申报国家及省重大科技创新项目，对所取得重大科技创新成果的单位和个人给予表彰和物质奖励。</w:t>
      </w:r>
    </w:p>
    <w:p>
      <w:pPr>
        <w:rPr>
          <w:color w:val="auto"/>
        </w:rPr>
      </w:pPr>
      <w:r>
        <w:rPr>
          <w:color w:val="auto"/>
        </w:rPr>
        <w:t>加强对在职人员的培训，鼓励和支持园区选派技术骨干到国内外知名大学进修学习，选派园区在职及后备干部到经济发达地区进行挂职锻炼。鼓励和支持在职人员参加自学考试、攻读在职硕士、博士学位，对于完成学业、取得相应学位者给予奖励并安排相应岗位。</w:t>
      </w:r>
    </w:p>
    <w:p>
      <w:pPr>
        <w:pStyle w:val="3"/>
        <w:rPr>
          <w:color w:val="auto"/>
        </w:rPr>
      </w:pPr>
      <w:bookmarkStart w:id="240" w:name="_Toc99716478"/>
      <w:bookmarkStart w:id="241" w:name="_Toc192757736"/>
      <w:bookmarkStart w:id="242" w:name="_Toc21419"/>
      <w:r>
        <w:rPr>
          <w:color w:val="auto"/>
        </w:rPr>
        <w:t>9.5 加快人才</w:t>
      </w:r>
      <w:bookmarkEnd w:id="240"/>
      <w:r>
        <w:rPr>
          <w:color w:val="auto"/>
        </w:rPr>
        <w:t>队伍建设</w:t>
      </w:r>
      <w:bookmarkEnd w:id="241"/>
      <w:bookmarkEnd w:id="242"/>
    </w:p>
    <w:p>
      <w:pPr>
        <w:rPr>
          <w:color w:val="auto"/>
        </w:rPr>
      </w:pPr>
      <w:r>
        <w:rPr>
          <w:color w:val="auto"/>
        </w:rPr>
        <w:t>加强人才引进。加快各类资源研发平台建设，积极推动企业与科研院所共建“产学研”实践基地。牢固树立人才资源是第一资源的理念，围绕园区重点企业、重大项目、主要研发机构，引进和集聚一批创新型人才。参照广东、江苏、浙江等地引进人才的先进做法，加大资金向创新创业人才的倾斜力度，为引进的创新人才提供安家补助、生活补贴、培训资助等。围绕产业引进和承接产业转移，培养和引进金融、管理、法律等方面的专业人才，注重国外专业人才的引进。建立和完善以政府奖励为导向、企业和社会奖励为主的激励新机制。</w:t>
      </w:r>
    </w:p>
    <w:p>
      <w:pPr>
        <w:rPr>
          <w:color w:val="auto"/>
        </w:rPr>
      </w:pPr>
      <w:r>
        <w:rPr>
          <w:color w:val="auto"/>
        </w:rPr>
        <w:t>加强农村劳动力的就业培训。加强职业技能培训，与各类教育培训机构横向联合，开展农村劳动力技能培训，提高工作能力，实行联合培训，定向就业，提高培训水平。</w:t>
      </w:r>
    </w:p>
    <w:p>
      <w:pPr>
        <w:pStyle w:val="3"/>
        <w:rPr>
          <w:color w:val="auto"/>
        </w:rPr>
      </w:pPr>
      <w:bookmarkStart w:id="243" w:name="_Toc192757737"/>
      <w:bookmarkStart w:id="244" w:name="_Toc12435"/>
      <w:r>
        <w:rPr>
          <w:color w:val="auto"/>
        </w:rPr>
        <w:t>9.</w:t>
      </w:r>
      <w:bookmarkEnd w:id="237"/>
      <w:r>
        <w:rPr>
          <w:color w:val="auto"/>
        </w:rPr>
        <w:t>6 拓展对外合作</w:t>
      </w:r>
      <w:bookmarkEnd w:id="238"/>
      <w:bookmarkEnd w:id="239"/>
      <w:r>
        <w:rPr>
          <w:color w:val="auto"/>
        </w:rPr>
        <w:t>机会</w:t>
      </w:r>
      <w:bookmarkEnd w:id="243"/>
      <w:bookmarkEnd w:id="244"/>
      <w:bookmarkStart w:id="245" w:name="_Toc3214"/>
    </w:p>
    <w:p>
      <w:pPr>
        <w:rPr>
          <w:color w:val="auto"/>
        </w:rPr>
      </w:pPr>
      <w:r>
        <w:rPr>
          <w:color w:val="auto"/>
        </w:rPr>
        <w:t>加强与国内外及周边地区组织的联系，建立稳定的合作渠道，实现与周边地区科技、资源互补共享。学习国内先进化学产业管理的经验和技术，借鉴和引进国内基础条件管理方面成熟的制度及标准规范。同时加强与国内周边地区相关化工园区的联系，如上海化工园区、苏州经济产业园区、南京化工园区等国内开发较早、较成功的化学产业园区，学习他们成功的经验，借鉴他们管理方面的先进经验。</w:t>
      </w:r>
    </w:p>
    <w:bookmarkEnd w:id="245"/>
    <w:p>
      <w:pPr>
        <w:pStyle w:val="3"/>
        <w:rPr>
          <w:color w:val="auto"/>
        </w:rPr>
      </w:pPr>
      <w:bookmarkStart w:id="246" w:name="_Toc4166"/>
      <w:bookmarkStart w:id="247" w:name="_Toc118100523"/>
      <w:bookmarkStart w:id="248" w:name="_Toc21911"/>
      <w:bookmarkStart w:id="249" w:name="_Toc192757738"/>
      <w:bookmarkStart w:id="250" w:name="_Toc27118"/>
      <w:r>
        <w:rPr>
          <w:color w:val="auto"/>
        </w:rPr>
        <w:t>9.</w:t>
      </w:r>
      <w:bookmarkEnd w:id="246"/>
      <w:bookmarkEnd w:id="247"/>
      <w:bookmarkEnd w:id="248"/>
      <w:r>
        <w:rPr>
          <w:color w:val="auto"/>
        </w:rPr>
        <w:t>7 加大招商引资力度</w:t>
      </w:r>
      <w:bookmarkEnd w:id="249"/>
      <w:bookmarkEnd w:id="250"/>
    </w:p>
    <w:p>
      <w:pPr>
        <w:rPr>
          <w:color w:val="auto"/>
        </w:rPr>
      </w:pPr>
      <w:r>
        <w:rPr>
          <w:color w:val="auto"/>
        </w:rPr>
        <w:t>根据产业布局及发展需要，围绕主导产业精准开展“双招双引”，对规划重大关键项目做好前期论证并形成预案，坚持重点推动，定向引进，确保落实，实现以点带面，辐射全局；应着重加快循环化改造、核心原料填平补齐等领域龙头项目招商及实施，抢占市场机遇；根据国内外产业环境变化及技术、政策进展，适时调整优化方案，实现效果最优。</w:t>
      </w:r>
      <w:bookmarkEnd w:id="222"/>
      <w:bookmarkEnd w:id="223"/>
      <w:bookmarkEnd w:id="224"/>
      <w:bookmarkEnd w:id="225"/>
      <w:bookmarkEnd w:id="226"/>
      <w:bookmarkStart w:id="251" w:name="_bookmark61"/>
      <w:bookmarkEnd w:id="251"/>
      <w:bookmarkStart w:id="252" w:name="7.2.1不遗余力吸引人才"/>
      <w:bookmarkEnd w:id="252"/>
    </w:p>
    <w:p>
      <w:pPr>
        <w:pStyle w:val="3"/>
        <w:rPr>
          <w:color w:val="auto"/>
        </w:rPr>
      </w:pPr>
      <w:bookmarkStart w:id="253" w:name="_Toc192757739"/>
      <w:r>
        <w:rPr>
          <w:color w:val="auto"/>
        </w:rPr>
        <w:t>9.8 产学研及中试基地</w:t>
      </w:r>
      <w:bookmarkEnd w:id="253"/>
    </w:p>
    <w:p>
      <w:pPr>
        <w:rPr>
          <w:color w:val="auto"/>
        </w:rPr>
      </w:pPr>
      <w:r>
        <w:rPr>
          <w:color w:val="auto"/>
        </w:rPr>
        <w:t>建设高质量化工创新平台。依托北京大学生命科学院华东产研院（淮南）中试基地，引导龙头企业联合相关企业、高校、院所等组建产学研用创新联合体，协同创新，加快新技术、新产品协同攻关、验证和应用。加强精细化工领域重点实验室和制造业创新中心建设，推动产学研用深入融合，重点围绕精细化工低危化工艺、推动连续化、微通道等关键共性技术及产品"应用示范″。推进中试项目落地。制定化工中试装置建设管理规范，强化产业、应急、环保等政策协同，基于专业化评价进一步优化化工中试装置安评、环评工作，建设规范的中试车间、标准厂房，积极开展关键工序和新工艺中试，推动研发成果加快转化为生产力。</w:t>
      </w:r>
    </w:p>
    <w:p>
      <w:pPr>
        <w:pStyle w:val="3"/>
        <w:rPr>
          <w:color w:val="auto"/>
        </w:rPr>
      </w:pPr>
      <w:bookmarkStart w:id="254" w:name="_Toc192757740"/>
      <w:bookmarkStart w:id="255" w:name="_Toc14932"/>
      <w:r>
        <w:rPr>
          <w:color w:val="auto"/>
        </w:rPr>
        <w:t>9.9 入园项目论证制度</w:t>
      </w:r>
      <w:bookmarkEnd w:id="254"/>
      <w:bookmarkEnd w:id="255"/>
    </w:p>
    <w:p>
      <w:pPr>
        <w:rPr>
          <w:color w:val="auto"/>
        </w:rPr>
      </w:pPr>
      <w:r>
        <w:rPr>
          <w:color w:val="auto"/>
        </w:rPr>
        <w:t>为了保障淮南经开化工园区安全稳定发展，保障产业链逐步延伸，淮南经开化工园区实施了入园项目论证制度，意向入园的项目必须经过论证，论证主要从产业政策符合性、安全风险、环境保护、节能、禁限控目录符合性、产值税收、投资强度等方面进行全方面分析。凡是符合论证要求的企业才可以进一步商讨入园工作，凡不符合条件的企业，一律不允许入园。</w:t>
      </w:r>
    </w:p>
    <w:p>
      <w:pPr>
        <w:pStyle w:val="3"/>
        <w:rPr>
          <w:color w:val="auto"/>
        </w:rPr>
      </w:pPr>
      <w:bookmarkStart w:id="256" w:name="_Toc192757741"/>
      <w:r>
        <w:rPr>
          <w:color w:val="auto"/>
        </w:rPr>
        <w:t>9.</w:t>
      </w:r>
      <w:r>
        <w:rPr>
          <w:rFonts w:hint="eastAsia"/>
          <w:color w:val="auto"/>
        </w:rPr>
        <w:t>10</w:t>
      </w:r>
      <w:r>
        <w:rPr>
          <w:color w:val="auto"/>
        </w:rPr>
        <w:t xml:space="preserve"> </w:t>
      </w:r>
      <w:r>
        <w:rPr>
          <w:rFonts w:hint="eastAsia"/>
          <w:color w:val="auto"/>
        </w:rPr>
        <w:t>安全环保基础保障</w:t>
      </w:r>
      <w:bookmarkEnd w:id="256"/>
    </w:p>
    <w:p>
      <w:pPr>
        <w:pStyle w:val="8"/>
        <w:rPr>
          <w:color w:val="auto"/>
        </w:rPr>
      </w:pPr>
      <w:r>
        <w:rPr>
          <w:rFonts w:hint="eastAsia"/>
          <w:color w:val="auto"/>
        </w:rPr>
        <w:t>为进一步切合园区规划发展，规划期间内化工园区应适时对园区安全、环保基础设施进行专业性分析评价。譬如化工园区应急事故池建设是否满足要求，危化品停车场规模等是否满足规划发展需求。园区整体性安全风险评估应定期进行修订，园区生产安全事故应急预案和突发环境事件应急预案应按期演练、评估、修订。</w:t>
      </w:r>
    </w:p>
    <w:p>
      <w:pPr>
        <w:pStyle w:val="8"/>
        <w:rPr>
          <w:color w:val="auto"/>
        </w:rPr>
      </w:pPr>
    </w:p>
    <w:p>
      <w:pPr>
        <w:pStyle w:val="8"/>
        <w:rPr>
          <w:color w:val="auto"/>
        </w:rPr>
      </w:pPr>
    </w:p>
    <w:p>
      <w:pPr>
        <w:pStyle w:val="8"/>
        <w:rPr>
          <w:color w:val="auto"/>
        </w:rPr>
      </w:pPr>
    </w:p>
    <w:p>
      <w:pPr>
        <w:pStyle w:val="8"/>
        <w:rPr>
          <w:color w:val="auto"/>
        </w:rPr>
      </w:pPr>
    </w:p>
    <w:p>
      <w:pPr>
        <w:pStyle w:val="8"/>
        <w:rPr>
          <w:color w:val="auto"/>
        </w:rPr>
      </w:pPr>
    </w:p>
    <w:p>
      <w:pPr>
        <w:pStyle w:val="8"/>
        <w:rPr>
          <w:color w:val="auto"/>
        </w:rPr>
      </w:pPr>
    </w:p>
    <w:p>
      <w:pPr>
        <w:pStyle w:val="8"/>
        <w:rPr>
          <w:color w:val="auto"/>
        </w:rPr>
        <w:sectPr>
          <w:pgSz w:w="11906" w:h="16838"/>
          <w:pgMar w:top="1440" w:right="1800" w:bottom="1440" w:left="1800" w:header="851" w:footer="992" w:gutter="0"/>
          <w:cols w:space="425" w:num="1"/>
          <w:docGrid w:type="lines" w:linePitch="312" w:charSpace="0"/>
        </w:sectPr>
      </w:pPr>
    </w:p>
    <w:p>
      <w:pPr>
        <w:pStyle w:val="2"/>
        <w:rPr>
          <w:rFonts w:ascii="Times New Roman" w:hAnsi="Times New Roman" w:eastAsia="仿宋_GB2312" w:cs="Times New Roman"/>
          <w:b/>
          <w:bCs/>
          <w:color w:val="auto"/>
        </w:rPr>
      </w:pPr>
      <w:bookmarkStart w:id="257" w:name="_Toc192757742"/>
      <w:r>
        <w:rPr>
          <w:rFonts w:ascii="Times New Roman" w:hAnsi="Times New Roman" w:eastAsia="仿宋_GB2312" w:cs="Times New Roman"/>
          <w:b/>
          <w:bCs/>
          <w:color w:val="auto"/>
        </w:rPr>
        <w:t>第</w:t>
      </w:r>
      <w:r>
        <w:rPr>
          <w:rFonts w:hint="eastAsia" w:ascii="Times New Roman" w:hAnsi="Times New Roman" w:eastAsia="仿宋_GB2312" w:cs="Times New Roman"/>
          <w:b/>
          <w:bCs/>
          <w:color w:val="auto"/>
        </w:rPr>
        <w:t>十</w:t>
      </w:r>
      <w:r>
        <w:rPr>
          <w:rFonts w:ascii="Times New Roman" w:hAnsi="Times New Roman" w:eastAsia="仿宋_GB2312" w:cs="Times New Roman"/>
          <w:b/>
          <w:bCs/>
          <w:color w:val="auto"/>
        </w:rPr>
        <w:t xml:space="preserve">章 </w:t>
      </w:r>
      <w:r>
        <w:rPr>
          <w:rFonts w:hint="eastAsia" w:ascii="Times New Roman" w:hAnsi="Times New Roman" w:eastAsia="仿宋_GB2312" w:cs="Times New Roman"/>
          <w:b/>
          <w:bCs/>
          <w:color w:val="auto"/>
        </w:rPr>
        <w:t>规划结论及建议</w:t>
      </w:r>
      <w:bookmarkEnd w:id="257"/>
    </w:p>
    <w:p>
      <w:pPr>
        <w:pStyle w:val="3"/>
        <w:rPr>
          <w:color w:val="auto"/>
        </w:rPr>
      </w:pPr>
      <w:bookmarkStart w:id="258" w:name="_Toc192757743"/>
      <w:r>
        <w:rPr>
          <w:rFonts w:hint="eastAsia"/>
          <w:color w:val="auto"/>
        </w:rPr>
        <w:t>10</w:t>
      </w:r>
      <w:r>
        <w:rPr>
          <w:color w:val="auto"/>
        </w:rPr>
        <w:t>.</w:t>
      </w:r>
      <w:r>
        <w:rPr>
          <w:rFonts w:hint="eastAsia"/>
          <w:color w:val="auto"/>
        </w:rPr>
        <w:t>1</w:t>
      </w:r>
      <w:r>
        <w:rPr>
          <w:color w:val="auto"/>
        </w:rPr>
        <w:t xml:space="preserve"> </w:t>
      </w:r>
      <w:r>
        <w:rPr>
          <w:rFonts w:hint="eastAsia"/>
          <w:color w:val="auto"/>
        </w:rPr>
        <w:t>规划结论</w:t>
      </w:r>
      <w:bookmarkEnd w:id="258"/>
    </w:p>
    <w:p>
      <w:pPr>
        <w:rPr>
          <w:color w:val="auto"/>
        </w:rPr>
      </w:pPr>
      <w:r>
        <w:rPr>
          <w:color w:val="auto"/>
        </w:rPr>
        <w:t>淮南经开化工园区着力提升改造传统化工产业，加快培育生物医药、化工新材料等高端精细化学品产业。</w:t>
      </w:r>
    </w:p>
    <w:p>
      <w:pPr>
        <w:pStyle w:val="8"/>
        <w:rPr>
          <w:color w:val="auto"/>
        </w:rPr>
      </w:pPr>
      <w:r>
        <w:rPr>
          <w:color w:val="auto"/>
        </w:rPr>
        <w:t>淮南经开化工园区积极发挥区域国家政策叠加优势，着眼于产业结构升级转型和用地存量动态管理需求，从产业准入、用地管理、环境保护、招才引智等方面，逐步将淮南经开化工园区建设成为产业链条完整、经济效益突出、功能定位明确、产业特色突出、空间布局合理、基础设施完善、具有核心竞争力的化工园区。</w:t>
      </w:r>
    </w:p>
    <w:p>
      <w:pPr>
        <w:rPr>
          <w:color w:val="auto"/>
        </w:rPr>
      </w:pPr>
      <w:r>
        <w:rPr>
          <w:color w:val="auto"/>
        </w:rPr>
        <w:t>规划至2030年，预计淮南经开化工园区实现总产值144.5亿元。提高了淮南经开化工园区在区域经济中的地位，积极推动了当地经济发展，提升淮南市的经济整体实力。</w:t>
      </w:r>
    </w:p>
    <w:p>
      <w:pPr>
        <w:pStyle w:val="3"/>
        <w:rPr>
          <w:color w:val="auto"/>
        </w:rPr>
      </w:pPr>
      <w:bookmarkStart w:id="259" w:name="_Toc192757744"/>
      <w:r>
        <w:rPr>
          <w:rFonts w:hint="eastAsia"/>
          <w:color w:val="auto"/>
        </w:rPr>
        <w:t>10</w:t>
      </w:r>
      <w:r>
        <w:rPr>
          <w:color w:val="auto"/>
        </w:rPr>
        <w:t>.</w:t>
      </w:r>
      <w:r>
        <w:rPr>
          <w:rFonts w:hint="eastAsia"/>
          <w:color w:val="auto"/>
        </w:rPr>
        <w:t>1</w:t>
      </w:r>
      <w:r>
        <w:rPr>
          <w:color w:val="auto"/>
        </w:rPr>
        <w:t xml:space="preserve"> </w:t>
      </w:r>
      <w:r>
        <w:rPr>
          <w:rFonts w:hint="eastAsia"/>
          <w:color w:val="auto"/>
        </w:rPr>
        <w:t>建议</w:t>
      </w:r>
      <w:bookmarkEnd w:id="259"/>
    </w:p>
    <w:p>
      <w:pPr>
        <w:rPr>
          <w:color w:val="auto"/>
        </w:rPr>
      </w:pPr>
      <w:r>
        <w:rPr>
          <w:rFonts w:hint="eastAsia"/>
          <w:color w:val="auto"/>
        </w:rPr>
        <w:t>（1）</w:t>
      </w:r>
      <w:r>
        <w:rPr>
          <w:color w:val="auto"/>
        </w:rPr>
        <w:t>淮南经开化工园区</w:t>
      </w:r>
      <w:r>
        <w:rPr>
          <w:rFonts w:hint="eastAsia"/>
          <w:color w:val="auto"/>
        </w:rPr>
        <w:t>在规划期间内应按照本规划路线发展相关产业，完善产业链，达到强链、补链、固链、延链的目的。</w:t>
      </w:r>
    </w:p>
    <w:p>
      <w:pPr>
        <w:pStyle w:val="8"/>
        <w:rPr>
          <w:color w:val="auto"/>
        </w:rPr>
      </w:pPr>
      <w:r>
        <w:rPr>
          <w:rFonts w:hint="eastAsia"/>
          <w:color w:val="auto"/>
        </w:rPr>
        <w:t>（2）加强规划中期考核及规划期末的考核任务工作。</w:t>
      </w:r>
    </w:p>
    <w:p>
      <w:pPr>
        <w:pStyle w:val="8"/>
        <w:rPr>
          <w:color w:val="auto"/>
        </w:rPr>
      </w:pPr>
      <w:r>
        <w:rPr>
          <w:rFonts w:hint="eastAsia"/>
          <w:color w:val="auto"/>
        </w:rPr>
        <w:t>（3）淮南经开化工园区应在引入新项目时严格按照本规划提出的要求进行分析，对于不符合园区定位的产业坚决不予入园。</w:t>
      </w:r>
    </w:p>
    <w:p>
      <w:pPr>
        <w:pStyle w:val="8"/>
        <w:rPr>
          <w:color w:val="auto"/>
        </w:rPr>
      </w:pPr>
    </w:p>
    <w:p>
      <w:pPr>
        <w:pStyle w:val="8"/>
        <w:rPr>
          <w:color w:val="auto"/>
        </w:rPr>
      </w:pPr>
    </w:p>
    <w:p>
      <w:pPr>
        <w:pStyle w:val="8"/>
        <w:rPr>
          <w:color w:val="auto"/>
        </w:rPr>
      </w:pPr>
    </w:p>
    <w:p>
      <w:pPr>
        <w:pStyle w:val="8"/>
        <w:rPr>
          <w:color w:val="auto"/>
        </w:rPr>
      </w:pPr>
    </w:p>
    <w:p>
      <w:pPr>
        <w:pStyle w:val="8"/>
        <w:rPr>
          <w:color w:val="auto"/>
        </w:rPr>
        <w:sectPr>
          <w:pgSz w:w="11906" w:h="16838"/>
          <w:pgMar w:top="1440" w:right="1800" w:bottom="1440" w:left="1800" w:header="851" w:footer="992" w:gutter="0"/>
          <w:cols w:space="425" w:num="1"/>
          <w:docGrid w:type="lines" w:linePitch="312" w:charSpace="0"/>
        </w:sectPr>
      </w:pPr>
    </w:p>
    <w:p>
      <w:pPr>
        <w:pStyle w:val="2"/>
        <w:jc w:val="both"/>
        <w:rPr>
          <w:rFonts w:ascii="Times New Roman" w:hAnsi="Times New Roman" w:eastAsia="仿宋_GB2312" w:cs="Times New Roman"/>
          <w:b/>
          <w:bCs/>
          <w:color w:val="auto"/>
        </w:rPr>
      </w:pPr>
      <w:bookmarkStart w:id="260" w:name="_Toc185342073"/>
      <w:bookmarkStart w:id="261" w:name="_Toc192757745"/>
      <w:bookmarkStart w:id="262" w:name="_Toc4500"/>
      <w:bookmarkStart w:id="263" w:name="_Toc9481"/>
      <w:bookmarkStart w:id="264" w:name="_Toc168322800"/>
      <w:r>
        <w:rPr>
          <w:rFonts w:ascii="Times New Roman" w:hAnsi="Times New Roman" w:eastAsia="仿宋_GB2312" w:cs="Times New Roman"/>
          <w:b/>
          <w:bCs/>
          <w:color w:val="auto"/>
        </w:rPr>
        <w:t>附件一</w:t>
      </w:r>
      <w:bookmarkEnd w:id="260"/>
      <w:bookmarkEnd w:id="261"/>
      <w:bookmarkEnd w:id="262"/>
      <w:bookmarkEnd w:id="263"/>
      <w:bookmarkEnd w:id="264"/>
    </w:p>
    <w:p>
      <w:pPr>
        <w:pStyle w:val="8"/>
        <w:ind w:firstLine="0" w:firstLineChars="0"/>
        <w:rPr>
          <w:color w:val="auto"/>
        </w:rPr>
      </w:pPr>
      <w:r>
        <w:rPr>
          <w:color w:val="auto"/>
        </w:rPr>
        <w:t>《安徽省人民政府关于同意认定第一批安徽省化工园区的批复》</w:t>
      </w:r>
    </w:p>
    <w:p>
      <w:pPr>
        <w:pStyle w:val="8"/>
        <w:ind w:firstLine="0" w:firstLineChars="0"/>
        <w:rPr>
          <w:color w:val="auto"/>
        </w:rPr>
      </w:pPr>
    </w:p>
    <w:p>
      <w:pPr>
        <w:pStyle w:val="8"/>
        <w:ind w:firstLine="0" w:firstLineChars="0"/>
        <w:rPr>
          <w:color w:val="auto"/>
        </w:rPr>
      </w:pPr>
      <w:r>
        <w:rPr>
          <w:color w:val="auto"/>
        </w:rPr>
        <w:drawing>
          <wp:inline distT="0" distB="0" distL="114300" distR="114300">
            <wp:extent cx="5071745" cy="7118350"/>
            <wp:effectExtent l="0" t="0" r="14605" b="6350"/>
            <wp:docPr id="6" name="图片 6"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001"/>
                    <pic:cNvPicPr>
                      <a:picLocks noChangeAspect="1"/>
                    </pic:cNvPicPr>
                  </pic:nvPicPr>
                  <pic:blipFill>
                    <a:blip r:embed="rId26"/>
                    <a:stretch>
                      <a:fillRect/>
                    </a:stretch>
                  </pic:blipFill>
                  <pic:spPr>
                    <a:xfrm>
                      <a:off x="0" y="0"/>
                      <a:ext cx="5071745" cy="7118350"/>
                    </a:xfrm>
                    <a:prstGeom prst="rect">
                      <a:avLst/>
                    </a:prstGeom>
                  </pic:spPr>
                </pic:pic>
              </a:graphicData>
            </a:graphic>
          </wp:inline>
        </w:drawing>
      </w:r>
      <w:r>
        <w:rPr>
          <w:color w:val="auto"/>
        </w:rPr>
        <w:drawing>
          <wp:inline distT="0" distB="0" distL="114300" distR="114300">
            <wp:extent cx="5145405" cy="7213600"/>
            <wp:effectExtent l="0" t="0" r="17145" b="6350"/>
            <wp:docPr id="5" name="图片 5" desc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002"/>
                    <pic:cNvPicPr>
                      <a:picLocks noChangeAspect="1"/>
                    </pic:cNvPicPr>
                  </pic:nvPicPr>
                  <pic:blipFill>
                    <a:blip r:embed="rId27"/>
                    <a:stretch>
                      <a:fillRect/>
                    </a:stretch>
                  </pic:blipFill>
                  <pic:spPr>
                    <a:xfrm>
                      <a:off x="0" y="0"/>
                      <a:ext cx="5145405" cy="7213600"/>
                    </a:xfrm>
                    <a:prstGeom prst="rect">
                      <a:avLst/>
                    </a:prstGeom>
                  </pic:spPr>
                </pic:pic>
              </a:graphicData>
            </a:graphic>
          </wp:inline>
        </w:drawing>
      </w:r>
      <w:r>
        <w:rPr>
          <w:color w:val="auto"/>
        </w:rPr>
        <w:drawing>
          <wp:inline distT="0" distB="0" distL="114300" distR="114300">
            <wp:extent cx="5320665" cy="7476490"/>
            <wp:effectExtent l="0" t="0" r="13335" b="10160"/>
            <wp:docPr id="3" name="图片 3" descr="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0003"/>
                    <pic:cNvPicPr>
                      <a:picLocks noChangeAspect="1"/>
                    </pic:cNvPicPr>
                  </pic:nvPicPr>
                  <pic:blipFill>
                    <a:blip r:embed="rId28"/>
                    <a:stretch>
                      <a:fillRect/>
                    </a:stretch>
                  </pic:blipFill>
                  <pic:spPr>
                    <a:xfrm>
                      <a:off x="0" y="0"/>
                      <a:ext cx="5320665" cy="7476490"/>
                    </a:xfrm>
                    <a:prstGeom prst="rect">
                      <a:avLst/>
                    </a:prstGeom>
                  </pic:spPr>
                </pic:pic>
              </a:graphicData>
            </a:graphic>
          </wp:inline>
        </w:drawing>
      </w:r>
      <w:r>
        <w:rPr>
          <w:color w:val="auto"/>
        </w:rPr>
        <w:drawing>
          <wp:inline distT="0" distB="0" distL="114300" distR="114300">
            <wp:extent cx="5253355" cy="7381875"/>
            <wp:effectExtent l="0" t="0" r="4445" b="9525"/>
            <wp:docPr id="1" name="图片 1" descr="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004"/>
                    <pic:cNvPicPr>
                      <a:picLocks noChangeAspect="1"/>
                    </pic:cNvPicPr>
                  </pic:nvPicPr>
                  <pic:blipFill>
                    <a:blip r:embed="rId29"/>
                    <a:stretch>
                      <a:fillRect/>
                    </a:stretch>
                  </pic:blipFill>
                  <pic:spPr>
                    <a:xfrm>
                      <a:off x="0" y="0"/>
                      <a:ext cx="5253355" cy="7381875"/>
                    </a:xfrm>
                    <a:prstGeom prst="rect">
                      <a:avLst/>
                    </a:prstGeom>
                  </pic:spPr>
                </pic:pic>
              </a:graphicData>
            </a:graphic>
          </wp:inline>
        </w:drawing>
      </w:r>
    </w:p>
    <w:p>
      <w:pPr>
        <w:pStyle w:val="8"/>
        <w:ind w:firstLine="0" w:firstLineChars="0"/>
        <w:rPr>
          <w:color w:val="auto"/>
        </w:rPr>
      </w:pPr>
    </w:p>
    <w:p>
      <w:pPr>
        <w:pStyle w:val="8"/>
        <w:ind w:firstLine="0" w:firstLineChars="0"/>
        <w:rPr>
          <w:color w:val="auto"/>
        </w:rPr>
      </w:pPr>
    </w:p>
    <w:p>
      <w:pPr>
        <w:pStyle w:val="8"/>
        <w:ind w:firstLine="0" w:firstLineChars="0"/>
        <w:rPr>
          <w:color w:val="auto"/>
        </w:rPr>
      </w:pPr>
    </w:p>
    <w:p>
      <w:pPr>
        <w:pStyle w:val="8"/>
        <w:ind w:firstLine="0" w:firstLineChars="0"/>
        <w:rPr>
          <w:color w:val="auto"/>
        </w:rPr>
      </w:pPr>
    </w:p>
    <w:p>
      <w:pPr>
        <w:pStyle w:val="2"/>
        <w:jc w:val="both"/>
        <w:rPr>
          <w:rFonts w:ascii="Times New Roman" w:hAnsi="Times New Roman" w:eastAsia="仿宋_GB2312" w:cs="Times New Roman"/>
          <w:b/>
          <w:bCs/>
          <w:color w:val="auto"/>
        </w:rPr>
      </w:pPr>
      <w:bookmarkStart w:id="265" w:name="_Toc192757746"/>
      <w:bookmarkStart w:id="266" w:name="_Toc185342074"/>
      <w:bookmarkStart w:id="267" w:name="_Toc12849"/>
      <w:bookmarkStart w:id="268" w:name="_Toc168322801"/>
      <w:bookmarkStart w:id="269" w:name="_Toc24608"/>
      <w:r>
        <w:rPr>
          <w:rFonts w:ascii="Times New Roman" w:hAnsi="Times New Roman" w:eastAsia="仿宋_GB2312" w:cs="Times New Roman"/>
          <w:b/>
          <w:bCs/>
          <w:color w:val="auto"/>
        </w:rPr>
        <w:t>附件二</w:t>
      </w:r>
      <w:bookmarkEnd w:id="265"/>
      <w:bookmarkEnd w:id="266"/>
      <w:bookmarkEnd w:id="267"/>
      <w:bookmarkEnd w:id="268"/>
      <w:bookmarkEnd w:id="269"/>
    </w:p>
    <w:p>
      <w:pPr>
        <w:pStyle w:val="8"/>
        <w:ind w:firstLine="0" w:firstLineChars="0"/>
        <w:rPr>
          <w:color w:val="auto"/>
        </w:rPr>
      </w:pPr>
      <w:r>
        <w:rPr>
          <w:color w:val="auto"/>
        </w:rPr>
        <w:t>《安徽省自然资源厅关于核准淮南经开化工园区四至范围和面积的通知》</w:t>
      </w:r>
    </w:p>
    <w:p>
      <w:pPr>
        <w:pStyle w:val="8"/>
        <w:ind w:firstLine="0" w:firstLineChars="0"/>
        <w:rPr>
          <w:color w:val="auto"/>
        </w:rPr>
      </w:pPr>
      <w:r>
        <w:rPr>
          <w:color w:val="auto"/>
        </w:rPr>
        <w:drawing>
          <wp:inline distT="0" distB="0" distL="114300" distR="114300">
            <wp:extent cx="5273040" cy="7439025"/>
            <wp:effectExtent l="0" t="0" r="3810" b="952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30"/>
                    <a:stretch>
                      <a:fillRect/>
                    </a:stretch>
                  </pic:blipFill>
                  <pic:spPr>
                    <a:xfrm>
                      <a:off x="0" y="0"/>
                      <a:ext cx="5273040" cy="7439025"/>
                    </a:xfrm>
                    <a:prstGeom prst="rect">
                      <a:avLst/>
                    </a:prstGeom>
                    <a:noFill/>
                    <a:ln>
                      <a:noFill/>
                    </a:ln>
                  </pic:spPr>
                </pic:pic>
              </a:graphicData>
            </a:graphic>
          </wp:inline>
        </w:drawing>
      </w:r>
    </w:p>
    <w:p>
      <w:pPr>
        <w:pStyle w:val="8"/>
        <w:ind w:firstLine="0" w:firstLineChars="0"/>
        <w:rPr>
          <w:color w:val="auto"/>
        </w:rPr>
      </w:pPr>
    </w:p>
    <w:p>
      <w:pPr>
        <w:pStyle w:val="8"/>
        <w:ind w:firstLine="0" w:firstLineChars="0"/>
        <w:rPr>
          <w:color w:val="auto"/>
        </w:rPr>
      </w:pPr>
      <w:r>
        <w:rPr>
          <w:color w:val="auto"/>
        </w:rPr>
        <w:drawing>
          <wp:inline distT="0" distB="0" distL="114300" distR="114300">
            <wp:extent cx="5272405" cy="6533515"/>
            <wp:effectExtent l="0" t="0" r="4445" b="63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31"/>
                    <a:stretch>
                      <a:fillRect/>
                    </a:stretch>
                  </pic:blipFill>
                  <pic:spPr>
                    <a:xfrm>
                      <a:off x="0" y="0"/>
                      <a:ext cx="5272405" cy="6533515"/>
                    </a:xfrm>
                    <a:prstGeom prst="rect">
                      <a:avLst/>
                    </a:prstGeom>
                    <a:noFill/>
                    <a:ln>
                      <a:noFill/>
                    </a:ln>
                  </pic:spPr>
                </pic:pic>
              </a:graphicData>
            </a:graphic>
          </wp:inline>
        </w:drawing>
      </w:r>
    </w:p>
    <w:p>
      <w:pPr>
        <w:pStyle w:val="8"/>
        <w:ind w:firstLine="0" w:firstLineChars="0"/>
        <w:rPr>
          <w:color w:val="auto"/>
        </w:rPr>
      </w:pPr>
      <w:r>
        <w:rPr>
          <w:color w:val="auto"/>
        </w:rPr>
        <w:drawing>
          <wp:inline distT="0" distB="0" distL="114300" distR="114300">
            <wp:extent cx="5272405" cy="6509385"/>
            <wp:effectExtent l="0" t="0" r="4445" b="571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32"/>
                    <a:stretch>
                      <a:fillRect/>
                    </a:stretch>
                  </pic:blipFill>
                  <pic:spPr>
                    <a:xfrm>
                      <a:off x="0" y="0"/>
                      <a:ext cx="5272405" cy="6509385"/>
                    </a:xfrm>
                    <a:prstGeom prst="rect">
                      <a:avLst/>
                    </a:prstGeom>
                    <a:noFill/>
                    <a:ln>
                      <a:noFill/>
                    </a:ln>
                  </pic:spPr>
                </pic:pic>
              </a:graphicData>
            </a:graphic>
          </wp:inline>
        </w:drawing>
      </w:r>
    </w:p>
    <w:p>
      <w:pPr>
        <w:pStyle w:val="8"/>
        <w:ind w:firstLine="0" w:firstLineChars="0"/>
        <w:rPr>
          <w:color w:val="auto"/>
        </w:rPr>
      </w:pPr>
    </w:p>
    <w:p>
      <w:pPr>
        <w:pStyle w:val="8"/>
        <w:ind w:firstLine="0" w:firstLineChars="0"/>
        <w:rPr>
          <w:color w:val="auto"/>
        </w:rPr>
      </w:pPr>
    </w:p>
    <w:p>
      <w:pPr>
        <w:pStyle w:val="8"/>
        <w:ind w:firstLine="0" w:firstLineChars="0"/>
        <w:rPr>
          <w:color w:val="auto"/>
        </w:rPr>
      </w:pPr>
    </w:p>
    <w:p>
      <w:pPr>
        <w:pStyle w:val="8"/>
        <w:ind w:firstLine="0" w:firstLineChars="0"/>
        <w:rPr>
          <w:color w:val="auto"/>
        </w:rPr>
      </w:pPr>
    </w:p>
    <w:p>
      <w:pPr>
        <w:pStyle w:val="8"/>
        <w:ind w:firstLine="0" w:firstLineChars="0"/>
        <w:rPr>
          <w:color w:val="auto"/>
        </w:rPr>
      </w:pPr>
    </w:p>
    <w:p>
      <w:pPr>
        <w:pStyle w:val="8"/>
        <w:ind w:firstLine="0" w:firstLineChars="0"/>
        <w:rPr>
          <w:color w:val="auto"/>
        </w:rPr>
      </w:pPr>
    </w:p>
    <w:p>
      <w:pPr>
        <w:pStyle w:val="8"/>
        <w:ind w:firstLine="0" w:firstLineChars="0"/>
        <w:rPr>
          <w:color w:val="auto"/>
        </w:rPr>
      </w:pPr>
    </w:p>
    <w:p>
      <w:pPr>
        <w:pStyle w:val="2"/>
        <w:jc w:val="both"/>
        <w:rPr>
          <w:rFonts w:ascii="Times New Roman" w:hAnsi="Times New Roman" w:eastAsia="仿宋_GB2312" w:cs="Times New Roman"/>
          <w:b/>
          <w:bCs/>
          <w:color w:val="auto"/>
        </w:rPr>
      </w:pPr>
      <w:bookmarkStart w:id="270" w:name="_Toc185342075"/>
      <w:bookmarkStart w:id="271" w:name="_Toc192757747"/>
      <w:r>
        <w:rPr>
          <w:rFonts w:ascii="Times New Roman" w:hAnsi="Times New Roman" w:eastAsia="仿宋_GB2312" w:cs="Times New Roman"/>
          <w:b/>
          <w:bCs/>
          <w:color w:val="auto"/>
        </w:rPr>
        <w:t>附件三 禁限控目录</w:t>
      </w:r>
      <w:bookmarkEnd w:id="270"/>
      <w:bookmarkEnd w:id="271"/>
    </w:p>
    <w:p>
      <w:pPr>
        <w:pStyle w:val="8"/>
        <w:ind w:firstLine="0" w:firstLineChars="0"/>
        <w:rPr>
          <w:color w:val="auto"/>
        </w:rPr>
      </w:pPr>
      <w:r>
        <w:rPr>
          <w:color w:val="auto"/>
        </w:rPr>
        <w:drawing>
          <wp:inline distT="0" distB="0" distL="0" distR="0">
            <wp:extent cx="5264150" cy="7452360"/>
            <wp:effectExtent l="0" t="0" r="0" b="0"/>
            <wp:docPr id="8544892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489275" name="图片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264150" cy="7452360"/>
                    </a:xfrm>
                    <a:prstGeom prst="rect">
                      <a:avLst/>
                    </a:prstGeom>
                    <a:noFill/>
                    <a:ln>
                      <a:noFill/>
                    </a:ln>
                  </pic:spPr>
                </pic:pic>
              </a:graphicData>
            </a:graphic>
          </wp:inline>
        </w:drawing>
      </w:r>
      <w:r>
        <w:rPr>
          <w:color w:val="auto"/>
        </w:rPr>
        <w:drawing>
          <wp:inline distT="0" distB="0" distL="0" distR="0">
            <wp:extent cx="5264150" cy="7452360"/>
            <wp:effectExtent l="0" t="0" r="0" b="0"/>
            <wp:docPr id="17292110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11033" name="图片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264150" cy="7452360"/>
                    </a:xfrm>
                    <a:prstGeom prst="rect">
                      <a:avLst/>
                    </a:prstGeom>
                    <a:noFill/>
                    <a:ln>
                      <a:noFill/>
                    </a:ln>
                  </pic:spPr>
                </pic:pic>
              </a:graphicData>
            </a:graphic>
          </wp:inline>
        </w:drawing>
      </w:r>
    </w:p>
    <w:p>
      <w:pPr>
        <w:pStyle w:val="8"/>
        <w:ind w:firstLine="0" w:firstLineChars="0"/>
        <w:rPr>
          <w:color w:val="auto"/>
        </w:rPr>
      </w:pPr>
    </w:p>
    <w:p>
      <w:pPr>
        <w:pStyle w:val="8"/>
        <w:ind w:firstLine="0" w:firstLineChars="0"/>
        <w:rPr>
          <w:color w:val="auto"/>
        </w:rPr>
      </w:pPr>
    </w:p>
    <w:p>
      <w:pPr>
        <w:pStyle w:val="8"/>
        <w:ind w:firstLine="0" w:firstLineChars="0"/>
        <w:rPr>
          <w:color w:val="auto"/>
        </w:rPr>
      </w:pPr>
    </w:p>
    <w:p>
      <w:pPr>
        <w:pStyle w:val="8"/>
        <w:ind w:firstLine="0" w:firstLineChars="0"/>
        <w:rPr>
          <w:color w:val="auto"/>
        </w:rPr>
      </w:pPr>
    </w:p>
    <w:p>
      <w:pPr>
        <w:pStyle w:val="8"/>
        <w:ind w:firstLine="0" w:firstLineChars="0"/>
        <w:rPr>
          <w:color w:val="auto"/>
        </w:rPr>
      </w:pPr>
      <w:r>
        <w:rPr>
          <w:color w:val="auto"/>
        </w:rPr>
        <w:drawing>
          <wp:inline distT="0" distB="0" distL="0" distR="0">
            <wp:extent cx="5264150" cy="7447280"/>
            <wp:effectExtent l="0" t="0" r="0" b="1270"/>
            <wp:docPr id="357579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7961" name="图片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2793135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313559" name="图片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6286467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646730" name="图片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8133357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335793" name="图片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8052004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200440" name="图片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209848730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487300" name="图片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61575860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758600" name="图片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1761522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152237" name="图片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9915758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575828" name="图片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84288787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887875" name="图片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3171195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19529" name="图片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0651662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66276" name="图片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58820916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9163" name="图片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5990094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0942" name="图片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204747250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472503" name="图片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9275498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549805" name="图片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99717554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75542" name="图片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1661870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187027" name="图片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95567667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76677" name="图片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56447506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475067" name="图片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37221736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17360" name="图片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206492273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922738" name="图片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10269077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690778" name="图片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87290627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906279" name="图片 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2139531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53133" name="图片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06722947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229473" name="图片 3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208814452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144522" name="图片 3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20202008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020088" name="图片 3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29612865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28656" name="图片 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99758230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82301" name="图片 3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83171417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14174" name="图片 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27304573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045737" name="图片 4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41570238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02383" name="图片 4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9000538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5382" name="图片 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47447243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72430" name="图片 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4871434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43445" name="图片 4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12476689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66899" name="图片 4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98216086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160866" name="图片 4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89737934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79345" name="图片 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6774377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3779" name="图片 4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38185721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57210" name="图片 4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63768727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687273" name="图片 5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27389233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92335" name="图片 5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38686016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60162" name="图片 5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78388595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885957" name="图片 5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33902258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022587" name="图片 5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210639209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92093" name="图片 5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75004130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41308" name="图片 5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210892847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28471" name="图片 5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68875948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59480" name="图片 5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71001733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017333" name="图片 5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70199461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94613" name="图片 6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34660017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00172" name="图片 6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41403392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33922" name="图片 6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2366777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67770" name="图片 6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59078038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780381" name="图片 6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20042820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28202" name="图片 6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45569367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693678" name="图片 6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57674191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41918" name="图片 6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40879200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92001" name="图片 6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2315987"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987" name="图片 6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r>
        <w:rPr>
          <w:color w:val="auto"/>
        </w:rPr>
        <w:drawing>
          <wp:inline distT="0" distB="0" distL="0" distR="0">
            <wp:extent cx="5264150" cy="7447280"/>
            <wp:effectExtent l="0" t="0" r="0" b="1270"/>
            <wp:docPr id="117026594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65943" name="图片 7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5264150" cy="7447280"/>
                    </a:xfrm>
                    <a:prstGeom prst="rect">
                      <a:avLst/>
                    </a:prstGeom>
                    <a:noFill/>
                    <a:ln>
                      <a:noFill/>
                    </a:ln>
                  </pic:spPr>
                </pic:pic>
              </a:graphicData>
            </a:graphic>
          </wp:inline>
        </w:drawing>
      </w:r>
    </w:p>
    <w:p>
      <w:pPr>
        <w:pStyle w:val="8"/>
        <w:ind w:firstLine="0" w:firstLineChars="0"/>
        <w:rPr>
          <w:color w:val="auto"/>
        </w:rPr>
      </w:pPr>
    </w:p>
    <w:p>
      <w:pPr>
        <w:pStyle w:val="8"/>
        <w:ind w:firstLine="0" w:firstLineChars="0"/>
        <w:rPr>
          <w:color w:val="auto"/>
        </w:rPr>
      </w:pPr>
    </w:p>
    <w:p>
      <w:pPr>
        <w:pStyle w:val="8"/>
        <w:ind w:firstLine="0" w:firstLineChars="0"/>
        <w:rPr>
          <w:color w:val="auto"/>
        </w:rPr>
      </w:pPr>
    </w:p>
    <w:p>
      <w:pPr>
        <w:pStyle w:val="8"/>
        <w:ind w:firstLine="0" w:firstLineChars="0"/>
        <w:rPr>
          <w:color w:val="auto"/>
        </w:rPr>
      </w:pPr>
    </w:p>
    <w:p>
      <w:pPr>
        <w:pStyle w:val="2"/>
        <w:jc w:val="both"/>
        <w:rPr>
          <w:rFonts w:ascii="Times New Roman" w:hAnsi="Times New Roman" w:eastAsia="仿宋_GB2312" w:cs="Times New Roman"/>
          <w:b/>
          <w:bCs/>
          <w:color w:val="auto"/>
        </w:rPr>
      </w:pPr>
      <w:bookmarkStart w:id="272" w:name="_Toc192757748"/>
      <w:r>
        <w:rPr>
          <w:rFonts w:ascii="Times New Roman" w:hAnsi="Times New Roman" w:eastAsia="仿宋_GB2312" w:cs="Times New Roman"/>
          <w:b/>
          <w:bCs/>
          <w:color w:val="auto"/>
        </w:rPr>
        <w:t>附件</w:t>
      </w:r>
      <w:r>
        <w:rPr>
          <w:rFonts w:hint="eastAsia" w:ascii="Times New Roman" w:hAnsi="Times New Roman" w:eastAsia="仿宋_GB2312" w:cs="Times New Roman"/>
          <w:b/>
          <w:bCs/>
          <w:color w:val="auto"/>
        </w:rPr>
        <w:t>四</w:t>
      </w:r>
      <w:r>
        <w:rPr>
          <w:rFonts w:ascii="Times New Roman" w:hAnsi="Times New Roman" w:eastAsia="仿宋_GB2312" w:cs="Times New Roman"/>
          <w:b/>
          <w:bCs/>
          <w:color w:val="auto"/>
        </w:rPr>
        <w:t xml:space="preserve"> </w:t>
      </w:r>
      <w:r>
        <w:rPr>
          <w:rFonts w:hint="eastAsia" w:ascii="Times New Roman" w:hAnsi="Times New Roman" w:eastAsia="仿宋_GB2312" w:cs="Times New Roman"/>
          <w:b/>
          <w:bCs/>
          <w:color w:val="auto"/>
        </w:rPr>
        <w:t>原产业规划批文</w:t>
      </w:r>
      <w:bookmarkEnd w:id="272"/>
    </w:p>
    <w:p>
      <w:pPr>
        <w:pStyle w:val="8"/>
        <w:ind w:firstLine="0" w:firstLineChars="0"/>
        <w:rPr>
          <w:color w:val="auto"/>
        </w:rPr>
      </w:pPr>
      <w:r>
        <w:rPr>
          <w:color w:val="auto"/>
        </w:rPr>
        <w:drawing>
          <wp:inline distT="0" distB="0" distL="0" distR="0">
            <wp:extent cx="5269865" cy="7241540"/>
            <wp:effectExtent l="0" t="0" r="6985" b="0"/>
            <wp:docPr id="18611079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07961" name="图片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5269865" cy="7241540"/>
                    </a:xfrm>
                    <a:prstGeom prst="rect">
                      <a:avLst/>
                    </a:prstGeom>
                    <a:noFill/>
                    <a:ln>
                      <a:noFill/>
                    </a:ln>
                  </pic:spPr>
                </pic:pic>
              </a:graphicData>
            </a:graphic>
          </wp:inline>
        </w:drawing>
      </w:r>
      <w:r>
        <w:rPr>
          <w:rFonts w:hint="eastAsia"/>
          <w:color w:val="auto"/>
        </w:rPr>
        <w:drawing>
          <wp:inline distT="0" distB="0" distL="0" distR="0">
            <wp:extent cx="5269865" cy="7241540"/>
            <wp:effectExtent l="0" t="0" r="6985" b="0"/>
            <wp:docPr id="17520749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74978" name="图片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269865" cy="7241540"/>
                    </a:xfrm>
                    <a:prstGeom prst="rect">
                      <a:avLst/>
                    </a:prstGeom>
                    <a:noFill/>
                    <a:ln>
                      <a:noFill/>
                    </a:ln>
                  </pic:spPr>
                </pic:pic>
              </a:graphicData>
            </a:graphic>
          </wp:inline>
        </w:drawing>
      </w:r>
    </w:p>
    <w:p>
      <w:pPr>
        <w:pStyle w:val="8"/>
        <w:ind w:firstLine="0" w:firstLineChars="0"/>
        <w:rPr>
          <w:color w:val="auto"/>
        </w:rPr>
      </w:pPr>
    </w:p>
    <w:p>
      <w:pPr>
        <w:pStyle w:val="8"/>
        <w:ind w:firstLine="0" w:firstLineChars="0"/>
        <w:rPr>
          <w:color w:val="auto"/>
        </w:rPr>
      </w:pPr>
    </w:p>
    <w:p>
      <w:pPr>
        <w:pStyle w:val="8"/>
        <w:ind w:firstLine="0" w:firstLineChars="0"/>
        <w:rPr>
          <w:color w:val="auto"/>
        </w:rPr>
        <w:sectPr>
          <w:pgSz w:w="11906" w:h="16838"/>
          <w:pgMar w:top="1440" w:right="1800" w:bottom="1440" w:left="1800" w:header="851" w:footer="992" w:gutter="0"/>
          <w:cols w:space="425" w:num="1"/>
          <w:docGrid w:type="lines" w:linePitch="312" w:charSpace="0"/>
        </w:sectPr>
      </w:pPr>
    </w:p>
    <w:p>
      <w:pPr>
        <w:pStyle w:val="2"/>
        <w:jc w:val="both"/>
        <w:rPr>
          <w:rFonts w:ascii="Times New Roman" w:hAnsi="Times New Roman" w:eastAsia="仿宋_GB2312" w:cs="Times New Roman"/>
          <w:b/>
          <w:bCs/>
          <w:color w:val="auto"/>
        </w:rPr>
      </w:pPr>
      <w:bookmarkStart w:id="273" w:name="_Toc4805"/>
      <w:bookmarkStart w:id="274" w:name="_Toc3548"/>
      <w:bookmarkStart w:id="275" w:name="_Toc192757749"/>
      <w:bookmarkStart w:id="276" w:name="_Toc185342076"/>
      <w:r>
        <w:rPr>
          <w:rFonts w:ascii="Times New Roman" w:hAnsi="Times New Roman" w:eastAsia="仿宋_GB2312" w:cs="Times New Roman"/>
          <w:b/>
          <w:bCs/>
          <w:color w:val="auto"/>
        </w:rPr>
        <w:t>附件</w:t>
      </w:r>
      <w:r>
        <w:rPr>
          <w:rFonts w:hint="eastAsia" w:ascii="Times New Roman" w:hAnsi="Times New Roman" w:eastAsia="仿宋_GB2312" w:cs="Times New Roman"/>
          <w:b/>
          <w:bCs/>
          <w:color w:val="auto"/>
        </w:rPr>
        <w:t>五</w:t>
      </w:r>
      <w:r>
        <w:rPr>
          <w:rFonts w:ascii="Times New Roman" w:hAnsi="Times New Roman" w:eastAsia="仿宋_GB2312" w:cs="Times New Roman"/>
          <w:b/>
          <w:bCs/>
          <w:color w:val="auto"/>
        </w:rPr>
        <w:t xml:space="preserve"> 产业分区布置图</w:t>
      </w:r>
      <w:bookmarkEnd w:id="273"/>
      <w:bookmarkEnd w:id="274"/>
      <w:bookmarkEnd w:id="275"/>
      <w:bookmarkEnd w:id="276"/>
    </w:p>
    <w:p>
      <w:pPr>
        <w:pStyle w:val="8"/>
        <w:ind w:firstLine="0" w:firstLineChars="0"/>
        <w:jc w:val="center"/>
      </w:pPr>
      <w:r>
        <w:rPr>
          <w:b/>
          <w:bCs/>
          <w:color w:val="auto"/>
        </w:rPr>
        <w:drawing>
          <wp:inline distT="0" distB="0" distL="0" distR="0">
            <wp:extent cx="9931400" cy="7022465"/>
            <wp:effectExtent l="0" t="0" r="0" b="6985"/>
            <wp:docPr id="7206085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608554" name="图片 4"/>
                    <pic:cNvPicPr>
                      <a:picLocks noChangeAspect="1" noChangeArrowheads="1"/>
                    </pic:cNvPicPr>
                  </pic:nvPicPr>
                  <pic:blipFill>
                    <a:blip r:embed="rId99">
                      <a:extLst>
                        <a:ext uri="{28A0092B-C50C-407E-A947-70E740481C1C}">
                          <a14:useLocalDpi xmlns:a14="http://schemas.microsoft.com/office/drawing/2010/main" val="0"/>
                        </a:ext>
                      </a:extLst>
                    </a:blip>
                    <a:srcRect l="3409" t="3457" r="3525" b="3459"/>
                    <a:stretch>
                      <a:fillRect/>
                    </a:stretch>
                  </pic:blipFill>
                  <pic:spPr>
                    <a:xfrm>
                      <a:off x="0" y="0"/>
                      <a:ext cx="9986100" cy="7060950"/>
                    </a:xfrm>
                    <a:prstGeom prst="rect">
                      <a:avLst/>
                    </a:prstGeom>
                    <a:noFill/>
                    <a:ln>
                      <a:noFill/>
                    </a:ln>
                  </pic:spPr>
                </pic:pic>
              </a:graphicData>
            </a:graphic>
          </wp:inline>
        </w:drawing>
      </w:r>
      <w:r>
        <w:drawing>
          <wp:inline distT="0" distB="0" distL="0" distR="0">
            <wp:extent cx="10138410" cy="7195820"/>
            <wp:effectExtent l="0" t="0" r="0" b="5080"/>
            <wp:docPr id="68316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628" name="图片 5"/>
                    <pic:cNvPicPr>
                      <a:picLocks noChangeAspect="1" noChangeArrowheads="1"/>
                    </pic:cNvPicPr>
                  </pic:nvPicPr>
                  <pic:blipFill>
                    <a:blip r:embed="rId100">
                      <a:extLst>
                        <a:ext uri="{28A0092B-C50C-407E-A947-70E740481C1C}">
                          <a14:useLocalDpi xmlns:a14="http://schemas.microsoft.com/office/drawing/2010/main" val="0"/>
                        </a:ext>
                      </a:extLst>
                    </a:blip>
                    <a:srcRect l="3559" t="3085" r="3497" b="3573"/>
                    <a:stretch>
                      <a:fillRect/>
                    </a:stretch>
                  </pic:blipFill>
                  <pic:spPr>
                    <a:xfrm>
                      <a:off x="0" y="0"/>
                      <a:ext cx="10166309" cy="7215573"/>
                    </a:xfrm>
                    <a:prstGeom prst="rect">
                      <a:avLst/>
                    </a:prstGeom>
                    <a:noFill/>
                    <a:ln>
                      <a:noFill/>
                    </a:ln>
                  </pic:spPr>
                </pic:pic>
              </a:graphicData>
            </a:graphic>
          </wp:inline>
        </w:drawing>
      </w:r>
    </w:p>
    <w:p>
      <w:pPr>
        <w:pStyle w:val="8"/>
        <w:ind w:firstLine="0" w:firstLineChars="0"/>
        <w:jc w:val="center"/>
      </w:pPr>
    </w:p>
    <w:p>
      <w:pPr>
        <w:pStyle w:val="8"/>
        <w:ind w:firstLine="0" w:firstLineChars="0"/>
        <w:jc w:val="center"/>
      </w:pPr>
    </w:p>
    <w:p>
      <w:pPr>
        <w:pStyle w:val="8"/>
        <w:ind w:firstLine="0" w:firstLineChars="0"/>
        <w:jc w:val="center"/>
      </w:pPr>
    </w:p>
    <w:p>
      <w:pPr>
        <w:pStyle w:val="2"/>
        <w:jc w:val="both"/>
        <w:rPr>
          <w:rFonts w:ascii="Times New Roman" w:hAnsi="Times New Roman" w:eastAsia="仿宋_GB2312" w:cs="Times New Roman"/>
          <w:b/>
          <w:bCs/>
          <w:color w:val="auto"/>
        </w:rPr>
      </w:pPr>
      <w:bookmarkStart w:id="277" w:name="_Toc192757750"/>
      <w:r>
        <w:rPr>
          <w:rFonts w:ascii="Times New Roman" w:hAnsi="Times New Roman" w:eastAsia="仿宋_GB2312" w:cs="Times New Roman"/>
          <w:b/>
          <w:bCs/>
          <w:color w:val="auto"/>
        </w:rPr>
        <w:t>附件</w:t>
      </w:r>
      <w:r>
        <w:rPr>
          <w:rFonts w:hint="eastAsia" w:ascii="Times New Roman" w:hAnsi="Times New Roman" w:eastAsia="仿宋_GB2312" w:cs="Times New Roman"/>
          <w:b/>
          <w:bCs/>
          <w:color w:val="auto"/>
        </w:rPr>
        <w:t>六</w:t>
      </w:r>
      <w:r>
        <w:rPr>
          <w:rFonts w:ascii="Times New Roman" w:hAnsi="Times New Roman" w:eastAsia="仿宋_GB2312" w:cs="Times New Roman"/>
          <w:b/>
          <w:bCs/>
          <w:color w:val="auto"/>
        </w:rPr>
        <w:t xml:space="preserve"> </w:t>
      </w:r>
      <w:r>
        <w:rPr>
          <w:rFonts w:hint="eastAsia" w:ascii="Times New Roman" w:hAnsi="Times New Roman" w:eastAsia="仿宋_GB2312" w:cs="Times New Roman"/>
          <w:b/>
          <w:bCs/>
          <w:color w:val="auto"/>
        </w:rPr>
        <w:t>上位规划分析图</w:t>
      </w:r>
      <w:bookmarkEnd w:id="277"/>
    </w:p>
    <w:p>
      <w:pPr>
        <w:ind w:firstLine="0" w:firstLineChars="0"/>
        <w:jc w:val="center"/>
      </w:pPr>
      <w:r>
        <w:drawing>
          <wp:inline distT="0" distB="0" distL="0" distR="0">
            <wp:extent cx="10826115" cy="7658735"/>
            <wp:effectExtent l="0" t="0" r="0" b="0"/>
            <wp:docPr id="10136811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681127" name="图片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10835381" cy="7665257"/>
                    </a:xfrm>
                    <a:prstGeom prst="rect">
                      <a:avLst/>
                    </a:prstGeom>
                    <a:noFill/>
                    <a:ln>
                      <a:noFill/>
                    </a:ln>
                  </pic:spPr>
                </pic:pic>
              </a:graphicData>
            </a:graphic>
          </wp:inline>
        </w:drawing>
      </w:r>
    </w:p>
    <w:p>
      <w:pPr>
        <w:pStyle w:val="2"/>
        <w:jc w:val="both"/>
        <w:rPr>
          <w:rFonts w:ascii="Times New Roman" w:hAnsi="Times New Roman" w:eastAsia="仿宋_GB2312" w:cs="Times New Roman"/>
          <w:b/>
          <w:bCs/>
          <w:color w:val="auto"/>
        </w:rPr>
      </w:pPr>
      <w:bookmarkStart w:id="278" w:name="_Toc192757751"/>
      <w:r>
        <w:rPr>
          <w:rFonts w:ascii="Times New Roman" w:hAnsi="Times New Roman" w:eastAsia="仿宋_GB2312" w:cs="Times New Roman"/>
          <w:b/>
          <w:bCs/>
          <w:color w:val="auto"/>
        </w:rPr>
        <w:t>附件</w:t>
      </w:r>
      <w:r>
        <w:rPr>
          <w:rFonts w:hint="eastAsia" w:ascii="Times New Roman" w:hAnsi="Times New Roman" w:eastAsia="仿宋_GB2312" w:cs="Times New Roman"/>
          <w:b/>
          <w:bCs/>
          <w:color w:val="auto"/>
        </w:rPr>
        <w:t>七</w:t>
      </w:r>
      <w:r>
        <w:rPr>
          <w:rFonts w:ascii="Times New Roman" w:hAnsi="Times New Roman" w:eastAsia="仿宋_GB2312" w:cs="Times New Roman"/>
          <w:b/>
          <w:bCs/>
          <w:color w:val="auto"/>
        </w:rPr>
        <w:t xml:space="preserve"> </w:t>
      </w:r>
      <w:r>
        <w:rPr>
          <w:rFonts w:hint="eastAsia" w:ascii="Times New Roman" w:hAnsi="Times New Roman" w:eastAsia="仿宋_GB2312" w:cs="Times New Roman"/>
          <w:b/>
          <w:bCs/>
          <w:color w:val="auto"/>
        </w:rPr>
        <w:t>周边土地规划安全控制线</w:t>
      </w:r>
      <w:bookmarkEnd w:id="278"/>
    </w:p>
    <w:p>
      <w:pPr>
        <w:pStyle w:val="33"/>
        <w:rPr>
          <w:lang w:bidi="zh-CN"/>
        </w:rPr>
      </w:pPr>
      <w:r>
        <w:rPr>
          <w:rFonts w:hint="eastAsia"/>
          <w:lang w:bidi="zh-CN"/>
        </w:rPr>
        <w:drawing>
          <wp:inline distT="0" distB="0" distL="0" distR="0">
            <wp:extent cx="10702290" cy="7571105"/>
            <wp:effectExtent l="0" t="0" r="3810" b="0"/>
            <wp:docPr id="5619084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908419" name="图片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10702290" cy="7571105"/>
                    </a:xfrm>
                    <a:prstGeom prst="rect">
                      <a:avLst/>
                    </a:prstGeom>
                    <a:noFill/>
                    <a:ln>
                      <a:noFill/>
                    </a:ln>
                  </pic:spPr>
                </pic:pic>
              </a:graphicData>
            </a:graphic>
          </wp:inline>
        </w:drawing>
      </w:r>
    </w:p>
    <w:p>
      <w:pPr>
        <w:pStyle w:val="2"/>
        <w:jc w:val="both"/>
        <w:rPr>
          <w:rFonts w:ascii="Times New Roman" w:hAnsi="Times New Roman" w:eastAsia="仿宋_GB2312" w:cs="Times New Roman"/>
          <w:b/>
          <w:bCs/>
          <w:color w:val="auto"/>
        </w:rPr>
      </w:pPr>
      <w:bookmarkStart w:id="279" w:name="_Toc192757752"/>
      <w:r>
        <w:rPr>
          <w:rFonts w:ascii="Times New Roman" w:hAnsi="Times New Roman" w:eastAsia="仿宋_GB2312" w:cs="Times New Roman"/>
          <w:b/>
          <w:bCs/>
          <w:color w:val="auto"/>
        </w:rPr>
        <w:t>附件</w:t>
      </w:r>
      <w:r>
        <w:rPr>
          <w:rFonts w:hint="eastAsia" w:ascii="Times New Roman" w:hAnsi="Times New Roman" w:eastAsia="仿宋_GB2312" w:cs="Times New Roman"/>
          <w:b/>
          <w:bCs/>
          <w:color w:val="auto"/>
        </w:rPr>
        <w:t>八</w:t>
      </w:r>
      <w:r>
        <w:rPr>
          <w:rFonts w:ascii="Times New Roman" w:hAnsi="Times New Roman" w:eastAsia="仿宋_GB2312" w:cs="Times New Roman"/>
          <w:b/>
          <w:bCs/>
          <w:color w:val="auto"/>
        </w:rPr>
        <w:t xml:space="preserve"> </w:t>
      </w:r>
      <w:r>
        <w:rPr>
          <w:rFonts w:hint="eastAsia" w:ascii="Times New Roman" w:hAnsi="Times New Roman" w:eastAsia="仿宋_GB2312" w:cs="Times New Roman"/>
          <w:b/>
          <w:bCs/>
          <w:color w:val="auto"/>
        </w:rPr>
        <w:t>区块一规划用地红线图</w:t>
      </w:r>
      <w:bookmarkEnd w:id="279"/>
    </w:p>
    <w:p>
      <w:pPr>
        <w:ind w:firstLine="0" w:firstLineChars="0"/>
        <w:jc w:val="center"/>
      </w:pPr>
      <w:r>
        <w:drawing>
          <wp:inline distT="0" distB="0" distL="0" distR="0">
            <wp:extent cx="10702290" cy="7571105"/>
            <wp:effectExtent l="0" t="0" r="3810" b="0"/>
            <wp:docPr id="11578930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93021" name="图片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10702290" cy="7571105"/>
                    </a:xfrm>
                    <a:prstGeom prst="rect">
                      <a:avLst/>
                    </a:prstGeom>
                    <a:noFill/>
                    <a:ln>
                      <a:noFill/>
                    </a:ln>
                  </pic:spPr>
                </pic:pic>
              </a:graphicData>
            </a:graphic>
          </wp:inline>
        </w:drawing>
      </w:r>
    </w:p>
    <w:p>
      <w:pPr>
        <w:pStyle w:val="2"/>
        <w:jc w:val="both"/>
        <w:rPr>
          <w:rFonts w:ascii="Times New Roman" w:hAnsi="Times New Roman" w:eastAsia="仿宋_GB2312" w:cs="Times New Roman"/>
          <w:b/>
          <w:bCs/>
          <w:color w:val="auto"/>
        </w:rPr>
      </w:pPr>
    </w:p>
    <w:p>
      <w:pPr>
        <w:pStyle w:val="2"/>
        <w:jc w:val="both"/>
        <w:rPr>
          <w:rFonts w:ascii="Times New Roman" w:hAnsi="Times New Roman" w:eastAsia="仿宋_GB2312" w:cs="Times New Roman"/>
          <w:b/>
          <w:bCs/>
          <w:color w:val="auto"/>
        </w:rPr>
      </w:pPr>
      <w:bookmarkStart w:id="280" w:name="_Toc192757753"/>
      <w:r>
        <w:rPr>
          <w:rFonts w:ascii="Times New Roman" w:hAnsi="Times New Roman" w:eastAsia="仿宋_GB2312" w:cs="Times New Roman"/>
          <w:b/>
          <w:bCs/>
          <w:color w:val="auto"/>
        </w:rPr>
        <w:t>附件</w:t>
      </w:r>
      <w:r>
        <w:rPr>
          <w:rFonts w:hint="eastAsia" w:ascii="Times New Roman" w:hAnsi="Times New Roman" w:eastAsia="仿宋_GB2312" w:cs="Times New Roman"/>
          <w:b/>
          <w:bCs/>
          <w:color w:val="auto"/>
        </w:rPr>
        <w:t>九</w:t>
      </w:r>
      <w:r>
        <w:rPr>
          <w:rFonts w:ascii="Times New Roman" w:hAnsi="Times New Roman" w:eastAsia="仿宋_GB2312" w:cs="Times New Roman"/>
          <w:b/>
          <w:bCs/>
          <w:color w:val="auto"/>
        </w:rPr>
        <w:t xml:space="preserve"> </w:t>
      </w:r>
      <w:r>
        <w:rPr>
          <w:rFonts w:hint="eastAsia" w:ascii="Times New Roman" w:hAnsi="Times New Roman" w:eastAsia="仿宋_GB2312" w:cs="Times New Roman"/>
          <w:b/>
          <w:bCs/>
          <w:color w:val="auto"/>
        </w:rPr>
        <w:t>区块二规划用地红线图</w:t>
      </w:r>
      <w:bookmarkEnd w:id="280"/>
    </w:p>
    <w:p>
      <w:pPr>
        <w:pStyle w:val="33"/>
        <w:rPr>
          <w:lang w:bidi="zh-CN"/>
        </w:rPr>
      </w:pPr>
      <w:r>
        <w:rPr>
          <w:rFonts w:hint="eastAsia"/>
          <w:lang w:bidi="zh-CN"/>
        </w:rPr>
        <w:drawing>
          <wp:inline distT="0" distB="0" distL="0" distR="0">
            <wp:extent cx="10702290" cy="7571105"/>
            <wp:effectExtent l="0" t="0" r="3810" b="0"/>
            <wp:docPr id="11946507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50741" name="图片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10702290" cy="7571105"/>
                    </a:xfrm>
                    <a:prstGeom prst="rect">
                      <a:avLst/>
                    </a:prstGeom>
                    <a:noFill/>
                    <a:ln>
                      <a:noFill/>
                    </a:ln>
                  </pic:spPr>
                </pic:pic>
              </a:graphicData>
            </a:graphic>
          </wp:inline>
        </w:drawing>
      </w:r>
    </w:p>
    <w:p>
      <w:pPr>
        <w:pStyle w:val="2"/>
        <w:jc w:val="both"/>
        <w:rPr>
          <w:rFonts w:ascii="Times New Roman" w:hAnsi="Times New Roman" w:eastAsia="仿宋_GB2312" w:cs="Times New Roman"/>
          <w:b/>
          <w:bCs/>
          <w:color w:val="auto"/>
        </w:rPr>
      </w:pPr>
      <w:bookmarkStart w:id="281" w:name="_Toc192757754"/>
      <w:r>
        <w:rPr>
          <w:rFonts w:ascii="Times New Roman" w:hAnsi="Times New Roman" w:eastAsia="仿宋_GB2312" w:cs="Times New Roman"/>
          <w:b/>
          <w:bCs/>
          <w:color w:val="auto"/>
        </w:rPr>
        <w:t>附件</w:t>
      </w:r>
      <w:r>
        <w:rPr>
          <w:rFonts w:hint="eastAsia" w:ascii="Times New Roman" w:hAnsi="Times New Roman" w:eastAsia="仿宋_GB2312" w:cs="Times New Roman"/>
          <w:b/>
          <w:bCs/>
          <w:color w:val="auto"/>
        </w:rPr>
        <w:t>十</w:t>
      </w:r>
      <w:r>
        <w:rPr>
          <w:rFonts w:ascii="Times New Roman" w:hAnsi="Times New Roman" w:eastAsia="仿宋_GB2312" w:cs="Times New Roman"/>
          <w:b/>
          <w:bCs/>
          <w:color w:val="auto"/>
        </w:rPr>
        <w:t xml:space="preserve"> </w:t>
      </w:r>
      <w:r>
        <w:rPr>
          <w:rFonts w:hint="eastAsia" w:ascii="Times New Roman" w:hAnsi="Times New Roman" w:eastAsia="仿宋_GB2312" w:cs="Times New Roman"/>
          <w:b/>
          <w:bCs/>
          <w:color w:val="auto"/>
        </w:rPr>
        <w:t>区块一土地利用规划图</w:t>
      </w:r>
      <w:bookmarkEnd w:id="281"/>
    </w:p>
    <w:p>
      <w:pPr>
        <w:ind w:firstLine="0" w:firstLineChars="0"/>
        <w:jc w:val="center"/>
      </w:pPr>
      <w:r>
        <w:drawing>
          <wp:inline distT="0" distB="0" distL="0" distR="0">
            <wp:extent cx="10929620" cy="7731760"/>
            <wp:effectExtent l="0" t="0" r="5080" b="2540"/>
            <wp:docPr id="10128598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859821" name="图片 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10932032" cy="7733631"/>
                    </a:xfrm>
                    <a:prstGeom prst="rect">
                      <a:avLst/>
                    </a:prstGeom>
                    <a:noFill/>
                    <a:ln>
                      <a:noFill/>
                    </a:ln>
                  </pic:spPr>
                </pic:pic>
              </a:graphicData>
            </a:graphic>
          </wp:inline>
        </w:drawing>
      </w:r>
    </w:p>
    <w:p>
      <w:pPr>
        <w:pStyle w:val="2"/>
        <w:jc w:val="both"/>
        <w:rPr>
          <w:rFonts w:ascii="Times New Roman" w:hAnsi="Times New Roman" w:eastAsia="仿宋_GB2312" w:cs="Times New Roman"/>
          <w:b/>
          <w:bCs/>
          <w:color w:val="auto"/>
        </w:rPr>
      </w:pPr>
      <w:bookmarkStart w:id="282" w:name="_Toc192757755"/>
      <w:r>
        <w:rPr>
          <w:rFonts w:ascii="Times New Roman" w:hAnsi="Times New Roman" w:eastAsia="仿宋_GB2312" w:cs="Times New Roman"/>
          <w:b/>
          <w:bCs/>
          <w:color w:val="auto"/>
        </w:rPr>
        <w:t>附件</w:t>
      </w:r>
      <w:r>
        <w:rPr>
          <w:rFonts w:hint="eastAsia" w:ascii="Times New Roman" w:hAnsi="Times New Roman" w:eastAsia="仿宋_GB2312" w:cs="Times New Roman"/>
          <w:b/>
          <w:bCs/>
          <w:color w:val="auto"/>
        </w:rPr>
        <w:t>十一 区块二土地利用规划图</w:t>
      </w:r>
      <w:bookmarkEnd w:id="282"/>
    </w:p>
    <w:p>
      <w:pPr>
        <w:pStyle w:val="33"/>
        <w:rPr>
          <w:lang w:bidi="zh-CN"/>
        </w:rPr>
      </w:pPr>
      <w:r>
        <w:rPr>
          <w:rFonts w:hint="eastAsia"/>
          <w:lang w:bidi="zh-CN"/>
        </w:rPr>
        <w:drawing>
          <wp:inline distT="0" distB="0" distL="0" distR="0">
            <wp:extent cx="10702290" cy="7571105"/>
            <wp:effectExtent l="0" t="0" r="3810" b="0"/>
            <wp:docPr id="2945525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52551" name="图片 1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10702290" cy="7571105"/>
                    </a:xfrm>
                    <a:prstGeom prst="rect">
                      <a:avLst/>
                    </a:prstGeom>
                    <a:noFill/>
                    <a:ln>
                      <a:noFill/>
                    </a:ln>
                  </pic:spPr>
                </pic:pic>
              </a:graphicData>
            </a:graphic>
          </wp:inline>
        </w:drawing>
      </w:r>
    </w:p>
    <w:sectPr>
      <w:pgSz w:w="23811" w:h="16838" w:orient="landscape"/>
      <w:pgMar w:top="1800" w:right="1440" w:bottom="1800" w:left="1440" w:header="851" w:footer="992" w:gutter="0"/>
      <w:cols w:space="425" w:num="1"/>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等线">
    <w:altName w:val="微软雅黑"/>
    <w:panose1 w:val="02010600030101010101"/>
    <w:charset w:val="86"/>
    <w:family w:val="auto"/>
    <w:pitch w:val="default"/>
    <w:sig w:usb0="00000000" w:usb1="00000000" w:usb2="00000016" w:usb3="00000000" w:csb0="0004000F" w:csb1="00000000"/>
  </w:font>
  <w:font w:name="Arial Unicode MS">
    <w:altName w:val="宋体"/>
    <w:panose1 w:val="020B0604020202020204"/>
    <w:charset w:val="86"/>
    <w:family w:val="roman"/>
    <w:pitch w:val="default"/>
    <w:sig w:usb0="00000000" w:usb1="00000000" w:usb2="0000003F" w:usb3="00000000" w:csb0="603F01FF" w:csb1="FFFF0000"/>
  </w:font>
  <w:font w:name="仿宋">
    <w:panose1 w:val="02010609060101010101"/>
    <w:charset w:val="86"/>
    <w:family w:val="modern"/>
    <w:pitch w:val="default"/>
    <w:sig w:usb0="800002BF" w:usb1="38CF7CFA" w:usb2="00000016" w:usb3="00000000" w:csb0="00040001" w:csb1="00000000"/>
  </w:font>
  <w:font w:name="华文仿宋">
    <w:altName w:val="仿宋"/>
    <w:panose1 w:val="02010600040101010101"/>
    <w:charset w:val="86"/>
    <w:family w:val="auto"/>
    <w:pitch w:val="default"/>
    <w:sig w:usb0="00000000" w:usb1="00000000" w:usb2="00000010" w:usb3="00000000" w:csb0="0004009F" w:csb1="00000000"/>
  </w:font>
  <w:font w:name="Times New Roman (正文 CS 字体)">
    <w:altName w:val="宋体"/>
    <w:panose1 w:val="00000000000000000000"/>
    <w:charset w:val="00"/>
    <w:family w:val="auto"/>
    <w:pitch w:val="default"/>
    <w:sig w:usb0="00000000" w:usb1="00000000" w:usb2="00000009" w:usb3="00000000" w:csb0="000001FF" w:csb1="00000000"/>
  </w:font>
  <w:font w:name="Cambria Math">
    <w:panose1 w:val="02040503050406030204"/>
    <w:charset w:val="00"/>
    <w:family w:val="roman"/>
    <w:pitch w:val="default"/>
    <w:sig w:usb0="E00002FF" w:usb1="420024FF" w:usb2="00000000" w:usb3="00000000" w:csb0="2000019F" w:csb1="00000000"/>
  </w:font>
  <w:font w:name="等线">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jc w:val="center"/>
    </w:pPr>
  </w:p>
  <w:p>
    <w:pPr>
      <w:pStyle w:val="1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32265889"/>
    </w:sdtPr>
    <w:sdtContent>
      <w:p>
        <w:pPr>
          <w:pStyle w:val="15"/>
          <w:ind w:firstLine="360"/>
          <w:jc w:val="center"/>
        </w:pPr>
        <w:r>
          <w:fldChar w:fldCharType="begin"/>
        </w:r>
        <w:r>
          <w:instrText xml:space="preserve">PAGE   \* MERGEFORMAT</w:instrText>
        </w:r>
        <w:r>
          <w:fldChar w:fldCharType="separate"/>
        </w:r>
        <w:r>
          <w:rPr>
            <w:lang w:val="zh-CN"/>
          </w:rPr>
          <w:t>2</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r>
      <mc:AlternateContent>
        <mc:Choice Requires="wps">
          <w:drawing>
            <wp:anchor distT="0" distB="0" distL="114300" distR="114300" simplePos="0" relativeHeight="251659264" behindDoc="0" locked="0" layoutInCell="1" allowOverlap="1">
              <wp:simplePos x="0" y="0"/>
              <wp:positionH relativeFrom="margin">
                <wp:posOffset>2462530</wp:posOffset>
              </wp:positionH>
              <wp:positionV relativeFrom="paragraph">
                <wp:posOffset>-1270</wp:posOffset>
              </wp:positionV>
              <wp:extent cx="564515" cy="1828800"/>
              <wp:effectExtent l="0" t="0" r="6985" b="6350"/>
              <wp:wrapNone/>
              <wp:docPr id="4" name="文本框 4"/>
              <wp:cNvGraphicFramePr/>
              <a:graphic xmlns:a="http://schemas.openxmlformats.org/drawingml/2006/main">
                <a:graphicData uri="http://schemas.microsoft.com/office/word/2010/wordprocessingShape">
                  <wps:wsp>
                    <wps:cNvSpPr txBox="1"/>
                    <wps:spPr>
                      <a:xfrm>
                        <a:off x="0" y="0"/>
                        <a:ext cx="564542"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ind w:firstLine="360"/>
                          </w:pPr>
                          <w:r>
                            <w:fldChar w:fldCharType="begin"/>
                          </w:r>
                          <w:r>
                            <w:instrText xml:space="preserve"> PAGE  \* MERGEFORMAT </w:instrText>
                          </w:r>
                          <w:r>
                            <w:fldChar w:fldCharType="separate"/>
                          </w:r>
                          <w:r>
                            <w:t>27</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93.9pt;margin-top:-0.1pt;height:144pt;width:44.45pt;mso-position-horizontal-relative:margin;z-index:251659264;mso-width-relative:page;mso-height-relative:page;" filled="f" stroked="f" coordsize="21600,21600" o:gfxdata="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FYKfFLXAAAACQEAAA8AAAAAAAAAAQAgAAAAIgAAAGRycy9kb3ducmV2Lnht&#10;bFBLAQIUABQAAAAIAIdO4kBEU/YNMwIAAFYEAAAOAAAAAAAAAAEAIAAAACYBAABkcnMvZTJvRG9j&#10;LnhtbFBLBQYAAAAABgAGAFkBAADLBQAAAAA=&#10;">
              <v:fill on="f" focussize="0,0"/>
              <v:stroke on="f" weight="0.5pt"/>
              <v:imagedata o:title=""/>
              <o:lock v:ext="edit" aspectratio="f"/>
              <v:textbox inset="0mm,0mm,0mm,0mm" style="mso-fit-shape-to-text:t;">
                <w:txbxContent>
                  <w:p>
                    <w:pPr>
                      <w:pStyle w:val="15"/>
                      <w:ind w:firstLine="360"/>
                    </w:pPr>
                    <w:r>
                      <w:fldChar w:fldCharType="begin"/>
                    </w:r>
                    <w:r>
                      <w:instrText xml:space="preserve"> PAGE  \* MERGEFORMAT </w:instrText>
                    </w:r>
                    <w:r>
                      <w:fldChar w:fldCharType="separate"/>
                    </w:r>
                    <w:r>
                      <w:t>27</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rFonts w:hint="eastAsia"/>
      </w:rPr>
      <w:t>淮南经开化工园区产业发展规划（2024-2030年）（修编）</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rFonts w:hint="eastAsia"/>
      </w:rPr>
      <w:t>淮南经开化工园区产业发展规划（2024—2030年）（修编）</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drawingGridHorizontalSpacing w:val="140"/>
  <w:drawingGridVerticalSpacing w:val="381"/>
  <w:displayHorizont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c5NWE3OGEyOGY0YThlNTFmZjg2YzU2MzEyZTQzMjQifQ=="/>
    <w:docVar w:name="KSO_WPS_MARK_KEY" w:val="d4efacb7-3569-4591-a6ab-d3ae21e318ae"/>
  </w:docVars>
  <w:rsids>
    <w:rsidRoot w:val="009976D3"/>
    <w:rsid w:val="00000C04"/>
    <w:rsid w:val="00000C84"/>
    <w:rsid w:val="00001151"/>
    <w:rsid w:val="0000132C"/>
    <w:rsid w:val="00002F08"/>
    <w:rsid w:val="00004771"/>
    <w:rsid w:val="000047BC"/>
    <w:rsid w:val="000056B5"/>
    <w:rsid w:val="00005C3C"/>
    <w:rsid w:val="00007560"/>
    <w:rsid w:val="00010F87"/>
    <w:rsid w:val="000122AB"/>
    <w:rsid w:val="00012AF7"/>
    <w:rsid w:val="0001348C"/>
    <w:rsid w:val="0001382E"/>
    <w:rsid w:val="000139D2"/>
    <w:rsid w:val="00014F0F"/>
    <w:rsid w:val="00015129"/>
    <w:rsid w:val="00015544"/>
    <w:rsid w:val="00015D25"/>
    <w:rsid w:val="000177DD"/>
    <w:rsid w:val="0002067F"/>
    <w:rsid w:val="0002138F"/>
    <w:rsid w:val="00022F74"/>
    <w:rsid w:val="00024620"/>
    <w:rsid w:val="00024A11"/>
    <w:rsid w:val="00024D08"/>
    <w:rsid w:val="00027E3A"/>
    <w:rsid w:val="0003010F"/>
    <w:rsid w:val="000304F0"/>
    <w:rsid w:val="000313CE"/>
    <w:rsid w:val="00035853"/>
    <w:rsid w:val="000359B3"/>
    <w:rsid w:val="00037ECF"/>
    <w:rsid w:val="00040696"/>
    <w:rsid w:val="000409B7"/>
    <w:rsid w:val="00040F45"/>
    <w:rsid w:val="00042483"/>
    <w:rsid w:val="00043688"/>
    <w:rsid w:val="0004491E"/>
    <w:rsid w:val="000458F9"/>
    <w:rsid w:val="00046AAF"/>
    <w:rsid w:val="00046B6C"/>
    <w:rsid w:val="00051BC9"/>
    <w:rsid w:val="00052018"/>
    <w:rsid w:val="0005239B"/>
    <w:rsid w:val="00053685"/>
    <w:rsid w:val="00053909"/>
    <w:rsid w:val="00054E93"/>
    <w:rsid w:val="00055EAA"/>
    <w:rsid w:val="000578FE"/>
    <w:rsid w:val="0005797C"/>
    <w:rsid w:val="00057FE7"/>
    <w:rsid w:val="00060779"/>
    <w:rsid w:val="00061E05"/>
    <w:rsid w:val="000622D2"/>
    <w:rsid w:val="0006345C"/>
    <w:rsid w:val="00064418"/>
    <w:rsid w:val="00066B01"/>
    <w:rsid w:val="00066B17"/>
    <w:rsid w:val="000676F1"/>
    <w:rsid w:val="000714F2"/>
    <w:rsid w:val="0007197E"/>
    <w:rsid w:val="000728EE"/>
    <w:rsid w:val="0007596D"/>
    <w:rsid w:val="0007780D"/>
    <w:rsid w:val="000821B7"/>
    <w:rsid w:val="00082B89"/>
    <w:rsid w:val="00084CD6"/>
    <w:rsid w:val="00084DB9"/>
    <w:rsid w:val="000855AF"/>
    <w:rsid w:val="00085F9F"/>
    <w:rsid w:val="000872CE"/>
    <w:rsid w:val="00090B44"/>
    <w:rsid w:val="0009207A"/>
    <w:rsid w:val="0009365D"/>
    <w:rsid w:val="00093708"/>
    <w:rsid w:val="00093760"/>
    <w:rsid w:val="00094169"/>
    <w:rsid w:val="000945AF"/>
    <w:rsid w:val="00095DA9"/>
    <w:rsid w:val="00095F80"/>
    <w:rsid w:val="00097B30"/>
    <w:rsid w:val="000A1110"/>
    <w:rsid w:val="000A1736"/>
    <w:rsid w:val="000A1D2E"/>
    <w:rsid w:val="000A44C7"/>
    <w:rsid w:val="000A4D0D"/>
    <w:rsid w:val="000A5482"/>
    <w:rsid w:val="000A560D"/>
    <w:rsid w:val="000A6640"/>
    <w:rsid w:val="000A740E"/>
    <w:rsid w:val="000A78DF"/>
    <w:rsid w:val="000A7E4B"/>
    <w:rsid w:val="000B26BC"/>
    <w:rsid w:val="000C0989"/>
    <w:rsid w:val="000C1184"/>
    <w:rsid w:val="000C3172"/>
    <w:rsid w:val="000C3C66"/>
    <w:rsid w:val="000C4406"/>
    <w:rsid w:val="000D1892"/>
    <w:rsid w:val="000D1958"/>
    <w:rsid w:val="000D3A59"/>
    <w:rsid w:val="000D48FC"/>
    <w:rsid w:val="000D5DCF"/>
    <w:rsid w:val="000D5E08"/>
    <w:rsid w:val="000D68B8"/>
    <w:rsid w:val="000D777D"/>
    <w:rsid w:val="000D798E"/>
    <w:rsid w:val="000E0655"/>
    <w:rsid w:val="000E0D18"/>
    <w:rsid w:val="000E1059"/>
    <w:rsid w:val="000E23DB"/>
    <w:rsid w:val="000E3363"/>
    <w:rsid w:val="000E3ECA"/>
    <w:rsid w:val="000F0B08"/>
    <w:rsid w:val="000F2078"/>
    <w:rsid w:val="000F32F7"/>
    <w:rsid w:val="000F3316"/>
    <w:rsid w:val="000F3B81"/>
    <w:rsid w:val="000F4F34"/>
    <w:rsid w:val="000F5B81"/>
    <w:rsid w:val="000F6611"/>
    <w:rsid w:val="000F69E7"/>
    <w:rsid w:val="001027FA"/>
    <w:rsid w:val="00102B62"/>
    <w:rsid w:val="00102E81"/>
    <w:rsid w:val="001035D3"/>
    <w:rsid w:val="00104401"/>
    <w:rsid w:val="00104680"/>
    <w:rsid w:val="001052A4"/>
    <w:rsid w:val="00105CFE"/>
    <w:rsid w:val="00106514"/>
    <w:rsid w:val="00106C40"/>
    <w:rsid w:val="001077E6"/>
    <w:rsid w:val="00107A28"/>
    <w:rsid w:val="00110DC4"/>
    <w:rsid w:val="0011105A"/>
    <w:rsid w:val="00111AC0"/>
    <w:rsid w:val="00112AF8"/>
    <w:rsid w:val="00113001"/>
    <w:rsid w:val="00114304"/>
    <w:rsid w:val="0011530D"/>
    <w:rsid w:val="00115E95"/>
    <w:rsid w:val="001161E8"/>
    <w:rsid w:val="00116C8B"/>
    <w:rsid w:val="00116D25"/>
    <w:rsid w:val="00117BD5"/>
    <w:rsid w:val="00124D7E"/>
    <w:rsid w:val="00125BE7"/>
    <w:rsid w:val="001267D7"/>
    <w:rsid w:val="00127CC1"/>
    <w:rsid w:val="00131620"/>
    <w:rsid w:val="00132E1E"/>
    <w:rsid w:val="001338A5"/>
    <w:rsid w:val="00134CF1"/>
    <w:rsid w:val="00134E15"/>
    <w:rsid w:val="00134E1C"/>
    <w:rsid w:val="0013508E"/>
    <w:rsid w:val="00137CCA"/>
    <w:rsid w:val="001424F5"/>
    <w:rsid w:val="00142E5B"/>
    <w:rsid w:val="00144A5D"/>
    <w:rsid w:val="00144D81"/>
    <w:rsid w:val="00146670"/>
    <w:rsid w:val="00147499"/>
    <w:rsid w:val="001515A9"/>
    <w:rsid w:val="001525B5"/>
    <w:rsid w:val="00152960"/>
    <w:rsid w:val="00153D54"/>
    <w:rsid w:val="0015514D"/>
    <w:rsid w:val="00155D29"/>
    <w:rsid w:val="001562A1"/>
    <w:rsid w:val="00156502"/>
    <w:rsid w:val="0015703A"/>
    <w:rsid w:val="0015789A"/>
    <w:rsid w:val="00157E08"/>
    <w:rsid w:val="00163B50"/>
    <w:rsid w:val="0016448D"/>
    <w:rsid w:val="001647AB"/>
    <w:rsid w:val="00166E2C"/>
    <w:rsid w:val="00170763"/>
    <w:rsid w:val="00172347"/>
    <w:rsid w:val="00173130"/>
    <w:rsid w:val="0017319A"/>
    <w:rsid w:val="00174209"/>
    <w:rsid w:val="00175425"/>
    <w:rsid w:val="00175E90"/>
    <w:rsid w:val="001773A6"/>
    <w:rsid w:val="00181D86"/>
    <w:rsid w:val="00185D6F"/>
    <w:rsid w:val="001861BB"/>
    <w:rsid w:val="001878B5"/>
    <w:rsid w:val="00191524"/>
    <w:rsid w:val="00192ABD"/>
    <w:rsid w:val="00192F29"/>
    <w:rsid w:val="0019369B"/>
    <w:rsid w:val="00193F90"/>
    <w:rsid w:val="00194F1A"/>
    <w:rsid w:val="00196418"/>
    <w:rsid w:val="00197137"/>
    <w:rsid w:val="001A0214"/>
    <w:rsid w:val="001A16FD"/>
    <w:rsid w:val="001A1A11"/>
    <w:rsid w:val="001A1E46"/>
    <w:rsid w:val="001A26CB"/>
    <w:rsid w:val="001A3CDC"/>
    <w:rsid w:val="001A4D09"/>
    <w:rsid w:val="001A5218"/>
    <w:rsid w:val="001B1CC2"/>
    <w:rsid w:val="001B46E3"/>
    <w:rsid w:val="001B4763"/>
    <w:rsid w:val="001B6E2F"/>
    <w:rsid w:val="001C1017"/>
    <w:rsid w:val="001C1721"/>
    <w:rsid w:val="001C37FA"/>
    <w:rsid w:val="001C392C"/>
    <w:rsid w:val="001C55BA"/>
    <w:rsid w:val="001C654A"/>
    <w:rsid w:val="001D0369"/>
    <w:rsid w:val="001D04FC"/>
    <w:rsid w:val="001D1684"/>
    <w:rsid w:val="001D17C6"/>
    <w:rsid w:val="001D20E1"/>
    <w:rsid w:val="001D2A72"/>
    <w:rsid w:val="001D30F4"/>
    <w:rsid w:val="001D410E"/>
    <w:rsid w:val="001D4AA7"/>
    <w:rsid w:val="001D5811"/>
    <w:rsid w:val="001D5D62"/>
    <w:rsid w:val="001D6ACD"/>
    <w:rsid w:val="001D6F36"/>
    <w:rsid w:val="001D732C"/>
    <w:rsid w:val="001E0D04"/>
    <w:rsid w:val="001E2016"/>
    <w:rsid w:val="001E2906"/>
    <w:rsid w:val="001E2DBB"/>
    <w:rsid w:val="001E332C"/>
    <w:rsid w:val="001E3FF1"/>
    <w:rsid w:val="001E5630"/>
    <w:rsid w:val="001E68AC"/>
    <w:rsid w:val="001F251C"/>
    <w:rsid w:val="001F4D7F"/>
    <w:rsid w:val="001F5B1C"/>
    <w:rsid w:val="001F5C5F"/>
    <w:rsid w:val="001F6A55"/>
    <w:rsid w:val="00202DAD"/>
    <w:rsid w:val="00207761"/>
    <w:rsid w:val="002107D9"/>
    <w:rsid w:val="0021296E"/>
    <w:rsid w:val="002129C7"/>
    <w:rsid w:val="002141E8"/>
    <w:rsid w:val="00215112"/>
    <w:rsid w:val="0021557C"/>
    <w:rsid w:val="002158F6"/>
    <w:rsid w:val="0021643A"/>
    <w:rsid w:val="0021700E"/>
    <w:rsid w:val="002209E1"/>
    <w:rsid w:val="0022247F"/>
    <w:rsid w:val="00222F5B"/>
    <w:rsid w:val="00223FFF"/>
    <w:rsid w:val="002248FA"/>
    <w:rsid w:val="002254D8"/>
    <w:rsid w:val="00226259"/>
    <w:rsid w:val="00226F28"/>
    <w:rsid w:val="00227A78"/>
    <w:rsid w:val="00227E22"/>
    <w:rsid w:val="0023062F"/>
    <w:rsid w:val="00232B29"/>
    <w:rsid w:val="00234250"/>
    <w:rsid w:val="002356FA"/>
    <w:rsid w:val="002369FD"/>
    <w:rsid w:val="0024359D"/>
    <w:rsid w:val="002444B5"/>
    <w:rsid w:val="00247537"/>
    <w:rsid w:val="00250499"/>
    <w:rsid w:val="00251EA8"/>
    <w:rsid w:val="00253DFA"/>
    <w:rsid w:val="00254528"/>
    <w:rsid w:val="00254D54"/>
    <w:rsid w:val="0025577F"/>
    <w:rsid w:val="00255F34"/>
    <w:rsid w:val="00256233"/>
    <w:rsid w:val="00261D19"/>
    <w:rsid w:val="00261DBD"/>
    <w:rsid w:val="002626C0"/>
    <w:rsid w:val="002630CE"/>
    <w:rsid w:val="00263312"/>
    <w:rsid w:val="00265A00"/>
    <w:rsid w:val="0026620A"/>
    <w:rsid w:val="002665AB"/>
    <w:rsid w:val="00266AAB"/>
    <w:rsid w:val="00274B9D"/>
    <w:rsid w:val="00275A0F"/>
    <w:rsid w:val="002768DA"/>
    <w:rsid w:val="00277305"/>
    <w:rsid w:val="00283E2F"/>
    <w:rsid w:val="0028434E"/>
    <w:rsid w:val="00286C6F"/>
    <w:rsid w:val="00286DD3"/>
    <w:rsid w:val="00286FE4"/>
    <w:rsid w:val="002875FE"/>
    <w:rsid w:val="00287832"/>
    <w:rsid w:val="00290565"/>
    <w:rsid w:val="00290EFC"/>
    <w:rsid w:val="00292D9E"/>
    <w:rsid w:val="00292F17"/>
    <w:rsid w:val="00294884"/>
    <w:rsid w:val="00295BC3"/>
    <w:rsid w:val="00296EC2"/>
    <w:rsid w:val="00297250"/>
    <w:rsid w:val="00297DA1"/>
    <w:rsid w:val="002A0C3E"/>
    <w:rsid w:val="002A1F4E"/>
    <w:rsid w:val="002A3E06"/>
    <w:rsid w:val="002A3E7E"/>
    <w:rsid w:val="002A40A4"/>
    <w:rsid w:val="002A7147"/>
    <w:rsid w:val="002A7784"/>
    <w:rsid w:val="002A7E79"/>
    <w:rsid w:val="002B084A"/>
    <w:rsid w:val="002B1485"/>
    <w:rsid w:val="002B24FE"/>
    <w:rsid w:val="002B5E8B"/>
    <w:rsid w:val="002B72DC"/>
    <w:rsid w:val="002B7330"/>
    <w:rsid w:val="002B76E2"/>
    <w:rsid w:val="002B7994"/>
    <w:rsid w:val="002C18F4"/>
    <w:rsid w:val="002C62DD"/>
    <w:rsid w:val="002D19C5"/>
    <w:rsid w:val="002D2C63"/>
    <w:rsid w:val="002D2E6E"/>
    <w:rsid w:val="002D3D5A"/>
    <w:rsid w:val="002D430E"/>
    <w:rsid w:val="002D678B"/>
    <w:rsid w:val="002D7725"/>
    <w:rsid w:val="002D7B59"/>
    <w:rsid w:val="002E01B4"/>
    <w:rsid w:val="002E150A"/>
    <w:rsid w:val="002E19D5"/>
    <w:rsid w:val="002E38B0"/>
    <w:rsid w:val="002E3A15"/>
    <w:rsid w:val="002E5183"/>
    <w:rsid w:val="002F35DC"/>
    <w:rsid w:val="002F4F66"/>
    <w:rsid w:val="002F585E"/>
    <w:rsid w:val="002F67DE"/>
    <w:rsid w:val="002F6E88"/>
    <w:rsid w:val="002F72C4"/>
    <w:rsid w:val="0030068A"/>
    <w:rsid w:val="00301C65"/>
    <w:rsid w:val="00302552"/>
    <w:rsid w:val="003031CD"/>
    <w:rsid w:val="00304E21"/>
    <w:rsid w:val="00306163"/>
    <w:rsid w:val="00307692"/>
    <w:rsid w:val="00310326"/>
    <w:rsid w:val="00311A35"/>
    <w:rsid w:val="00311F0C"/>
    <w:rsid w:val="003146E6"/>
    <w:rsid w:val="003153A6"/>
    <w:rsid w:val="00315AF2"/>
    <w:rsid w:val="00315B27"/>
    <w:rsid w:val="00316329"/>
    <w:rsid w:val="00316C96"/>
    <w:rsid w:val="003170F9"/>
    <w:rsid w:val="003178A9"/>
    <w:rsid w:val="00317CE7"/>
    <w:rsid w:val="00320FA3"/>
    <w:rsid w:val="00321EF1"/>
    <w:rsid w:val="003236AE"/>
    <w:rsid w:val="0032407A"/>
    <w:rsid w:val="003240AC"/>
    <w:rsid w:val="00324551"/>
    <w:rsid w:val="00324618"/>
    <w:rsid w:val="00326482"/>
    <w:rsid w:val="003267BD"/>
    <w:rsid w:val="00326A17"/>
    <w:rsid w:val="00326DF5"/>
    <w:rsid w:val="003276F7"/>
    <w:rsid w:val="0033048F"/>
    <w:rsid w:val="00330FB1"/>
    <w:rsid w:val="0033251F"/>
    <w:rsid w:val="00333804"/>
    <w:rsid w:val="00334104"/>
    <w:rsid w:val="0033598C"/>
    <w:rsid w:val="00336AFE"/>
    <w:rsid w:val="00336BBF"/>
    <w:rsid w:val="00336C30"/>
    <w:rsid w:val="00336CB1"/>
    <w:rsid w:val="0034012E"/>
    <w:rsid w:val="00341A85"/>
    <w:rsid w:val="003441CB"/>
    <w:rsid w:val="0034492B"/>
    <w:rsid w:val="00344EA6"/>
    <w:rsid w:val="0034706C"/>
    <w:rsid w:val="003479BD"/>
    <w:rsid w:val="00347B88"/>
    <w:rsid w:val="00351F58"/>
    <w:rsid w:val="00353A3A"/>
    <w:rsid w:val="003552D5"/>
    <w:rsid w:val="00355C8B"/>
    <w:rsid w:val="00363128"/>
    <w:rsid w:val="0036340E"/>
    <w:rsid w:val="003634C1"/>
    <w:rsid w:val="00364879"/>
    <w:rsid w:val="003649CE"/>
    <w:rsid w:val="00364C83"/>
    <w:rsid w:val="00366197"/>
    <w:rsid w:val="003662DD"/>
    <w:rsid w:val="00371E50"/>
    <w:rsid w:val="00373CBE"/>
    <w:rsid w:val="003740BC"/>
    <w:rsid w:val="00376356"/>
    <w:rsid w:val="00376B74"/>
    <w:rsid w:val="00380438"/>
    <w:rsid w:val="0038054C"/>
    <w:rsid w:val="00380FE5"/>
    <w:rsid w:val="0038116A"/>
    <w:rsid w:val="00385325"/>
    <w:rsid w:val="003857EB"/>
    <w:rsid w:val="00385837"/>
    <w:rsid w:val="00387356"/>
    <w:rsid w:val="003874F4"/>
    <w:rsid w:val="00387EBD"/>
    <w:rsid w:val="00391F68"/>
    <w:rsid w:val="003927CB"/>
    <w:rsid w:val="00392A15"/>
    <w:rsid w:val="0039550B"/>
    <w:rsid w:val="00395639"/>
    <w:rsid w:val="003A199E"/>
    <w:rsid w:val="003A2DF2"/>
    <w:rsid w:val="003A3083"/>
    <w:rsid w:val="003A4EF6"/>
    <w:rsid w:val="003A5110"/>
    <w:rsid w:val="003A5355"/>
    <w:rsid w:val="003A68BB"/>
    <w:rsid w:val="003A73DB"/>
    <w:rsid w:val="003A7F07"/>
    <w:rsid w:val="003B07CE"/>
    <w:rsid w:val="003B14F5"/>
    <w:rsid w:val="003B1849"/>
    <w:rsid w:val="003C0DB6"/>
    <w:rsid w:val="003C10B8"/>
    <w:rsid w:val="003C3204"/>
    <w:rsid w:val="003C334C"/>
    <w:rsid w:val="003C3DC3"/>
    <w:rsid w:val="003C4E80"/>
    <w:rsid w:val="003C5276"/>
    <w:rsid w:val="003C75F1"/>
    <w:rsid w:val="003C7653"/>
    <w:rsid w:val="003D436A"/>
    <w:rsid w:val="003D5EB4"/>
    <w:rsid w:val="003D64EF"/>
    <w:rsid w:val="003D6541"/>
    <w:rsid w:val="003E0D83"/>
    <w:rsid w:val="003E2733"/>
    <w:rsid w:val="003E338F"/>
    <w:rsid w:val="003E40C2"/>
    <w:rsid w:val="003E431F"/>
    <w:rsid w:val="003E4EDA"/>
    <w:rsid w:val="003E55F1"/>
    <w:rsid w:val="003E6484"/>
    <w:rsid w:val="003E7288"/>
    <w:rsid w:val="003F020C"/>
    <w:rsid w:val="003F058A"/>
    <w:rsid w:val="003F1580"/>
    <w:rsid w:val="003F4EEC"/>
    <w:rsid w:val="003F50B5"/>
    <w:rsid w:val="003F6020"/>
    <w:rsid w:val="003F6353"/>
    <w:rsid w:val="003F72E6"/>
    <w:rsid w:val="00400103"/>
    <w:rsid w:val="0040327F"/>
    <w:rsid w:val="00403B41"/>
    <w:rsid w:val="00404F2B"/>
    <w:rsid w:val="00407639"/>
    <w:rsid w:val="00410D1B"/>
    <w:rsid w:val="00413A95"/>
    <w:rsid w:val="00413BB6"/>
    <w:rsid w:val="00414A42"/>
    <w:rsid w:val="0041609E"/>
    <w:rsid w:val="00416C23"/>
    <w:rsid w:val="00417793"/>
    <w:rsid w:val="00421467"/>
    <w:rsid w:val="0042250E"/>
    <w:rsid w:val="00424102"/>
    <w:rsid w:val="00425FDC"/>
    <w:rsid w:val="004277C9"/>
    <w:rsid w:val="00427EC5"/>
    <w:rsid w:val="004306FD"/>
    <w:rsid w:val="00431F28"/>
    <w:rsid w:val="00432007"/>
    <w:rsid w:val="004320D9"/>
    <w:rsid w:val="00432A2B"/>
    <w:rsid w:val="00432A68"/>
    <w:rsid w:val="00434126"/>
    <w:rsid w:val="00435F86"/>
    <w:rsid w:val="00440E2D"/>
    <w:rsid w:val="004443C0"/>
    <w:rsid w:val="00444C56"/>
    <w:rsid w:val="0044591F"/>
    <w:rsid w:val="00447098"/>
    <w:rsid w:val="004504BA"/>
    <w:rsid w:val="00452A71"/>
    <w:rsid w:val="004535CD"/>
    <w:rsid w:val="00453BE7"/>
    <w:rsid w:val="004575DA"/>
    <w:rsid w:val="004602E4"/>
    <w:rsid w:val="0046324E"/>
    <w:rsid w:val="004635E4"/>
    <w:rsid w:val="0046454D"/>
    <w:rsid w:val="00465245"/>
    <w:rsid w:val="00465426"/>
    <w:rsid w:val="0046559B"/>
    <w:rsid w:val="0046745F"/>
    <w:rsid w:val="00467CCF"/>
    <w:rsid w:val="00472FA0"/>
    <w:rsid w:val="00476398"/>
    <w:rsid w:val="00476960"/>
    <w:rsid w:val="004772A0"/>
    <w:rsid w:val="004774D7"/>
    <w:rsid w:val="004801C0"/>
    <w:rsid w:val="00480CED"/>
    <w:rsid w:val="00481EE1"/>
    <w:rsid w:val="00482050"/>
    <w:rsid w:val="00483715"/>
    <w:rsid w:val="00484867"/>
    <w:rsid w:val="00484DE9"/>
    <w:rsid w:val="00485980"/>
    <w:rsid w:val="004875B8"/>
    <w:rsid w:val="00490199"/>
    <w:rsid w:val="004917E1"/>
    <w:rsid w:val="0049194F"/>
    <w:rsid w:val="00492A33"/>
    <w:rsid w:val="00495B6A"/>
    <w:rsid w:val="004960E2"/>
    <w:rsid w:val="004968FA"/>
    <w:rsid w:val="00496E10"/>
    <w:rsid w:val="004A4899"/>
    <w:rsid w:val="004A7DAB"/>
    <w:rsid w:val="004B0082"/>
    <w:rsid w:val="004B250E"/>
    <w:rsid w:val="004B3A63"/>
    <w:rsid w:val="004B3DF7"/>
    <w:rsid w:val="004B4139"/>
    <w:rsid w:val="004B5416"/>
    <w:rsid w:val="004B5D54"/>
    <w:rsid w:val="004B609D"/>
    <w:rsid w:val="004B635A"/>
    <w:rsid w:val="004C0571"/>
    <w:rsid w:val="004C1026"/>
    <w:rsid w:val="004C1811"/>
    <w:rsid w:val="004C5659"/>
    <w:rsid w:val="004D20B6"/>
    <w:rsid w:val="004D41A2"/>
    <w:rsid w:val="004D45FC"/>
    <w:rsid w:val="004D6D08"/>
    <w:rsid w:val="004D7B1D"/>
    <w:rsid w:val="004E05FD"/>
    <w:rsid w:val="004E17A7"/>
    <w:rsid w:val="004E1B99"/>
    <w:rsid w:val="004E1E9B"/>
    <w:rsid w:val="004E367B"/>
    <w:rsid w:val="004E421E"/>
    <w:rsid w:val="004E612C"/>
    <w:rsid w:val="004E6D40"/>
    <w:rsid w:val="004E7867"/>
    <w:rsid w:val="004F074B"/>
    <w:rsid w:val="004F347E"/>
    <w:rsid w:val="004F3FE0"/>
    <w:rsid w:val="004F418E"/>
    <w:rsid w:val="004F62C8"/>
    <w:rsid w:val="00501B4E"/>
    <w:rsid w:val="00502329"/>
    <w:rsid w:val="00503E59"/>
    <w:rsid w:val="00505C18"/>
    <w:rsid w:val="00506965"/>
    <w:rsid w:val="00507488"/>
    <w:rsid w:val="00513458"/>
    <w:rsid w:val="005142B6"/>
    <w:rsid w:val="00514EB2"/>
    <w:rsid w:val="0051593B"/>
    <w:rsid w:val="005162CC"/>
    <w:rsid w:val="005178EC"/>
    <w:rsid w:val="0052019D"/>
    <w:rsid w:val="005203C7"/>
    <w:rsid w:val="00520A5F"/>
    <w:rsid w:val="00521065"/>
    <w:rsid w:val="0052180D"/>
    <w:rsid w:val="00522DC8"/>
    <w:rsid w:val="005242F5"/>
    <w:rsid w:val="00526E37"/>
    <w:rsid w:val="005302C1"/>
    <w:rsid w:val="005303C1"/>
    <w:rsid w:val="005319DC"/>
    <w:rsid w:val="0053223A"/>
    <w:rsid w:val="00532B52"/>
    <w:rsid w:val="005339AF"/>
    <w:rsid w:val="00533D14"/>
    <w:rsid w:val="0053405F"/>
    <w:rsid w:val="00534ED9"/>
    <w:rsid w:val="00536C3A"/>
    <w:rsid w:val="00537930"/>
    <w:rsid w:val="00540DAB"/>
    <w:rsid w:val="00542D78"/>
    <w:rsid w:val="00542ED1"/>
    <w:rsid w:val="00543A79"/>
    <w:rsid w:val="0054643F"/>
    <w:rsid w:val="005476D6"/>
    <w:rsid w:val="00547F9B"/>
    <w:rsid w:val="0055039F"/>
    <w:rsid w:val="005518EB"/>
    <w:rsid w:val="005530CF"/>
    <w:rsid w:val="00553695"/>
    <w:rsid w:val="00553C9A"/>
    <w:rsid w:val="005542A0"/>
    <w:rsid w:val="00554ED4"/>
    <w:rsid w:val="0055579C"/>
    <w:rsid w:val="00555C5D"/>
    <w:rsid w:val="0055691C"/>
    <w:rsid w:val="005609EC"/>
    <w:rsid w:val="00561474"/>
    <w:rsid w:val="00561550"/>
    <w:rsid w:val="00561593"/>
    <w:rsid w:val="00563A36"/>
    <w:rsid w:val="005656B6"/>
    <w:rsid w:val="00565B0A"/>
    <w:rsid w:val="00566DA0"/>
    <w:rsid w:val="00567106"/>
    <w:rsid w:val="00570888"/>
    <w:rsid w:val="00570D5D"/>
    <w:rsid w:val="00571E71"/>
    <w:rsid w:val="005726C4"/>
    <w:rsid w:val="00577377"/>
    <w:rsid w:val="00577962"/>
    <w:rsid w:val="005806C7"/>
    <w:rsid w:val="00582BC5"/>
    <w:rsid w:val="0058326B"/>
    <w:rsid w:val="00584105"/>
    <w:rsid w:val="00584162"/>
    <w:rsid w:val="00584BAF"/>
    <w:rsid w:val="00585CBC"/>
    <w:rsid w:val="005872E4"/>
    <w:rsid w:val="00590806"/>
    <w:rsid w:val="005958E1"/>
    <w:rsid w:val="00596DEC"/>
    <w:rsid w:val="005972C2"/>
    <w:rsid w:val="005A13B8"/>
    <w:rsid w:val="005A16AF"/>
    <w:rsid w:val="005A2706"/>
    <w:rsid w:val="005A436A"/>
    <w:rsid w:val="005A5939"/>
    <w:rsid w:val="005A762E"/>
    <w:rsid w:val="005B2108"/>
    <w:rsid w:val="005B3BFB"/>
    <w:rsid w:val="005B6356"/>
    <w:rsid w:val="005B6B82"/>
    <w:rsid w:val="005B72F3"/>
    <w:rsid w:val="005C23E8"/>
    <w:rsid w:val="005C35C1"/>
    <w:rsid w:val="005C39CB"/>
    <w:rsid w:val="005C5A9C"/>
    <w:rsid w:val="005C7289"/>
    <w:rsid w:val="005D0E9B"/>
    <w:rsid w:val="005D12DF"/>
    <w:rsid w:val="005D3753"/>
    <w:rsid w:val="005D7E3A"/>
    <w:rsid w:val="005E00F2"/>
    <w:rsid w:val="005E17A8"/>
    <w:rsid w:val="005E202F"/>
    <w:rsid w:val="005E21EC"/>
    <w:rsid w:val="005E2270"/>
    <w:rsid w:val="005E2F3E"/>
    <w:rsid w:val="005E31FC"/>
    <w:rsid w:val="005E4B38"/>
    <w:rsid w:val="005E7C26"/>
    <w:rsid w:val="005F2EA9"/>
    <w:rsid w:val="005F3E10"/>
    <w:rsid w:val="005F4238"/>
    <w:rsid w:val="005F48F3"/>
    <w:rsid w:val="005F5C2C"/>
    <w:rsid w:val="005F6389"/>
    <w:rsid w:val="005F6D82"/>
    <w:rsid w:val="005F7334"/>
    <w:rsid w:val="005F7E26"/>
    <w:rsid w:val="00604222"/>
    <w:rsid w:val="0060449B"/>
    <w:rsid w:val="006046B6"/>
    <w:rsid w:val="006046CE"/>
    <w:rsid w:val="00604A98"/>
    <w:rsid w:val="00604B4C"/>
    <w:rsid w:val="0060532B"/>
    <w:rsid w:val="00605760"/>
    <w:rsid w:val="006072EE"/>
    <w:rsid w:val="006107AE"/>
    <w:rsid w:val="006110FC"/>
    <w:rsid w:val="006114CA"/>
    <w:rsid w:val="00612C87"/>
    <w:rsid w:val="00612E57"/>
    <w:rsid w:val="00613E7C"/>
    <w:rsid w:val="00614411"/>
    <w:rsid w:val="006155EE"/>
    <w:rsid w:val="006157D4"/>
    <w:rsid w:val="0061590F"/>
    <w:rsid w:val="006167F4"/>
    <w:rsid w:val="00621220"/>
    <w:rsid w:val="00621A38"/>
    <w:rsid w:val="006222C7"/>
    <w:rsid w:val="006241B8"/>
    <w:rsid w:val="006301FD"/>
    <w:rsid w:val="00630221"/>
    <w:rsid w:val="00630CD5"/>
    <w:rsid w:val="00630E99"/>
    <w:rsid w:val="006318CC"/>
    <w:rsid w:val="00631CE1"/>
    <w:rsid w:val="0063456D"/>
    <w:rsid w:val="00636F45"/>
    <w:rsid w:val="00640D25"/>
    <w:rsid w:val="0064192C"/>
    <w:rsid w:val="00642068"/>
    <w:rsid w:val="0064251A"/>
    <w:rsid w:val="00642892"/>
    <w:rsid w:val="00642C9A"/>
    <w:rsid w:val="006434FF"/>
    <w:rsid w:val="006435C0"/>
    <w:rsid w:val="00643A6A"/>
    <w:rsid w:val="00644521"/>
    <w:rsid w:val="00644A5D"/>
    <w:rsid w:val="006513D5"/>
    <w:rsid w:val="0065294B"/>
    <w:rsid w:val="00654283"/>
    <w:rsid w:val="00654864"/>
    <w:rsid w:val="00656D6B"/>
    <w:rsid w:val="0066038B"/>
    <w:rsid w:val="00660D5C"/>
    <w:rsid w:val="006632C8"/>
    <w:rsid w:val="006665BC"/>
    <w:rsid w:val="00666901"/>
    <w:rsid w:val="00677258"/>
    <w:rsid w:val="00677DC4"/>
    <w:rsid w:val="00680403"/>
    <w:rsid w:val="00680DEB"/>
    <w:rsid w:val="006815A4"/>
    <w:rsid w:val="00682020"/>
    <w:rsid w:val="00684559"/>
    <w:rsid w:val="00685C40"/>
    <w:rsid w:val="006902AA"/>
    <w:rsid w:val="006920F8"/>
    <w:rsid w:val="00692452"/>
    <w:rsid w:val="006925A4"/>
    <w:rsid w:val="00692662"/>
    <w:rsid w:val="006964B8"/>
    <w:rsid w:val="0069696E"/>
    <w:rsid w:val="0069780E"/>
    <w:rsid w:val="006A1C75"/>
    <w:rsid w:val="006A3462"/>
    <w:rsid w:val="006A3C30"/>
    <w:rsid w:val="006A54EE"/>
    <w:rsid w:val="006A6AD7"/>
    <w:rsid w:val="006B10F6"/>
    <w:rsid w:val="006B1185"/>
    <w:rsid w:val="006B15B1"/>
    <w:rsid w:val="006B211E"/>
    <w:rsid w:val="006B2413"/>
    <w:rsid w:val="006B29C1"/>
    <w:rsid w:val="006B2C5C"/>
    <w:rsid w:val="006B2D66"/>
    <w:rsid w:val="006B3A60"/>
    <w:rsid w:val="006B3A8E"/>
    <w:rsid w:val="006B3AE0"/>
    <w:rsid w:val="006B3AE4"/>
    <w:rsid w:val="006B3C1B"/>
    <w:rsid w:val="006B4194"/>
    <w:rsid w:val="006B41D6"/>
    <w:rsid w:val="006B71F0"/>
    <w:rsid w:val="006B7711"/>
    <w:rsid w:val="006C1961"/>
    <w:rsid w:val="006C32CD"/>
    <w:rsid w:val="006C49D2"/>
    <w:rsid w:val="006C50AF"/>
    <w:rsid w:val="006C592B"/>
    <w:rsid w:val="006C5D44"/>
    <w:rsid w:val="006C697A"/>
    <w:rsid w:val="006D028E"/>
    <w:rsid w:val="006D15EB"/>
    <w:rsid w:val="006D37E0"/>
    <w:rsid w:val="006D47B4"/>
    <w:rsid w:val="006D4F54"/>
    <w:rsid w:val="006D54B8"/>
    <w:rsid w:val="006D6A07"/>
    <w:rsid w:val="006D7DCA"/>
    <w:rsid w:val="006E07C9"/>
    <w:rsid w:val="006E3BAF"/>
    <w:rsid w:val="006E521C"/>
    <w:rsid w:val="006E5543"/>
    <w:rsid w:val="006E5966"/>
    <w:rsid w:val="006E6E1C"/>
    <w:rsid w:val="006F05C9"/>
    <w:rsid w:val="006F0B51"/>
    <w:rsid w:val="006F23ED"/>
    <w:rsid w:val="006F4023"/>
    <w:rsid w:val="006F6A67"/>
    <w:rsid w:val="006F7A13"/>
    <w:rsid w:val="00700431"/>
    <w:rsid w:val="00700491"/>
    <w:rsid w:val="00700FA6"/>
    <w:rsid w:val="00701135"/>
    <w:rsid w:val="007042A2"/>
    <w:rsid w:val="00704465"/>
    <w:rsid w:val="007044B7"/>
    <w:rsid w:val="00705EEF"/>
    <w:rsid w:val="0071379E"/>
    <w:rsid w:val="00713E79"/>
    <w:rsid w:val="00714DBA"/>
    <w:rsid w:val="00721695"/>
    <w:rsid w:val="00722756"/>
    <w:rsid w:val="00722A20"/>
    <w:rsid w:val="00722D87"/>
    <w:rsid w:val="00723027"/>
    <w:rsid w:val="007268FD"/>
    <w:rsid w:val="00727106"/>
    <w:rsid w:val="0072793A"/>
    <w:rsid w:val="00730637"/>
    <w:rsid w:val="00730D77"/>
    <w:rsid w:val="00731E39"/>
    <w:rsid w:val="00733C88"/>
    <w:rsid w:val="00733DF8"/>
    <w:rsid w:val="00735D74"/>
    <w:rsid w:val="00736BA9"/>
    <w:rsid w:val="00736F9E"/>
    <w:rsid w:val="007374CC"/>
    <w:rsid w:val="00737562"/>
    <w:rsid w:val="00740609"/>
    <w:rsid w:val="00741621"/>
    <w:rsid w:val="0074344B"/>
    <w:rsid w:val="00743468"/>
    <w:rsid w:val="007438BC"/>
    <w:rsid w:val="0074699A"/>
    <w:rsid w:val="00751BA7"/>
    <w:rsid w:val="00754168"/>
    <w:rsid w:val="0075502D"/>
    <w:rsid w:val="00756506"/>
    <w:rsid w:val="00761B0F"/>
    <w:rsid w:val="00761E55"/>
    <w:rsid w:val="00762F0D"/>
    <w:rsid w:val="0076321E"/>
    <w:rsid w:val="00763EC1"/>
    <w:rsid w:val="007644E7"/>
    <w:rsid w:val="00764FBD"/>
    <w:rsid w:val="00765233"/>
    <w:rsid w:val="00766118"/>
    <w:rsid w:val="00766D39"/>
    <w:rsid w:val="007731EC"/>
    <w:rsid w:val="007739A1"/>
    <w:rsid w:val="00773AEF"/>
    <w:rsid w:val="0077427E"/>
    <w:rsid w:val="007747E9"/>
    <w:rsid w:val="007761A0"/>
    <w:rsid w:val="0077723E"/>
    <w:rsid w:val="00780310"/>
    <w:rsid w:val="00780B6B"/>
    <w:rsid w:val="00782762"/>
    <w:rsid w:val="007830E8"/>
    <w:rsid w:val="007845E8"/>
    <w:rsid w:val="00785857"/>
    <w:rsid w:val="00786621"/>
    <w:rsid w:val="00790353"/>
    <w:rsid w:val="00790AF9"/>
    <w:rsid w:val="0079209E"/>
    <w:rsid w:val="007921A3"/>
    <w:rsid w:val="00792594"/>
    <w:rsid w:val="00793C45"/>
    <w:rsid w:val="00794A89"/>
    <w:rsid w:val="00795471"/>
    <w:rsid w:val="007A1FCA"/>
    <w:rsid w:val="007A2489"/>
    <w:rsid w:val="007A4F41"/>
    <w:rsid w:val="007A5F32"/>
    <w:rsid w:val="007A6C11"/>
    <w:rsid w:val="007B16DE"/>
    <w:rsid w:val="007B25DF"/>
    <w:rsid w:val="007B4A3A"/>
    <w:rsid w:val="007B709B"/>
    <w:rsid w:val="007B7BEF"/>
    <w:rsid w:val="007C04A0"/>
    <w:rsid w:val="007C1FC8"/>
    <w:rsid w:val="007C2F2C"/>
    <w:rsid w:val="007C4272"/>
    <w:rsid w:val="007C56A9"/>
    <w:rsid w:val="007C56FA"/>
    <w:rsid w:val="007C6876"/>
    <w:rsid w:val="007D03CF"/>
    <w:rsid w:val="007D1ACF"/>
    <w:rsid w:val="007D1CB8"/>
    <w:rsid w:val="007D5B80"/>
    <w:rsid w:val="007E0728"/>
    <w:rsid w:val="007E15B6"/>
    <w:rsid w:val="007E18C2"/>
    <w:rsid w:val="007E1FA0"/>
    <w:rsid w:val="007E4116"/>
    <w:rsid w:val="007E4205"/>
    <w:rsid w:val="007E5F34"/>
    <w:rsid w:val="007E63B0"/>
    <w:rsid w:val="007E79EC"/>
    <w:rsid w:val="007F4F18"/>
    <w:rsid w:val="007F57FB"/>
    <w:rsid w:val="007F5C53"/>
    <w:rsid w:val="007F5EA6"/>
    <w:rsid w:val="007F6CAA"/>
    <w:rsid w:val="007F779D"/>
    <w:rsid w:val="00800368"/>
    <w:rsid w:val="00800554"/>
    <w:rsid w:val="00800810"/>
    <w:rsid w:val="00800C67"/>
    <w:rsid w:val="00801F35"/>
    <w:rsid w:val="00802713"/>
    <w:rsid w:val="0080365F"/>
    <w:rsid w:val="00803AB0"/>
    <w:rsid w:val="00805B21"/>
    <w:rsid w:val="00815B61"/>
    <w:rsid w:val="00816FBD"/>
    <w:rsid w:val="00820AC3"/>
    <w:rsid w:val="00820E60"/>
    <w:rsid w:val="00821536"/>
    <w:rsid w:val="00821A4D"/>
    <w:rsid w:val="008222E7"/>
    <w:rsid w:val="00822452"/>
    <w:rsid w:val="00825EED"/>
    <w:rsid w:val="008276E0"/>
    <w:rsid w:val="008301D0"/>
    <w:rsid w:val="0083359F"/>
    <w:rsid w:val="008338D9"/>
    <w:rsid w:val="00833CE3"/>
    <w:rsid w:val="00834153"/>
    <w:rsid w:val="008375BB"/>
    <w:rsid w:val="008431FE"/>
    <w:rsid w:val="00844775"/>
    <w:rsid w:val="008452C5"/>
    <w:rsid w:val="00846110"/>
    <w:rsid w:val="00850A3D"/>
    <w:rsid w:val="0085111C"/>
    <w:rsid w:val="00851218"/>
    <w:rsid w:val="00853724"/>
    <w:rsid w:val="008542E9"/>
    <w:rsid w:val="0085767F"/>
    <w:rsid w:val="00860B6E"/>
    <w:rsid w:val="008610CA"/>
    <w:rsid w:val="00862B80"/>
    <w:rsid w:val="0086330B"/>
    <w:rsid w:val="00863A84"/>
    <w:rsid w:val="0086597D"/>
    <w:rsid w:val="0086703A"/>
    <w:rsid w:val="00871601"/>
    <w:rsid w:val="00871817"/>
    <w:rsid w:val="00872AA7"/>
    <w:rsid w:val="00873C18"/>
    <w:rsid w:val="008748CF"/>
    <w:rsid w:val="0087499D"/>
    <w:rsid w:val="00875DA9"/>
    <w:rsid w:val="0087741E"/>
    <w:rsid w:val="008800CE"/>
    <w:rsid w:val="00881C5A"/>
    <w:rsid w:val="00882313"/>
    <w:rsid w:val="008826D3"/>
    <w:rsid w:val="00883736"/>
    <w:rsid w:val="00884C07"/>
    <w:rsid w:val="0088624E"/>
    <w:rsid w:val="008864ED"/>
    <w:rsid w:val="00887283"/>
    <w:rsid w:val="00887547"/>
    <w:rsid w:val="0089221F"/>
    <w:rsid w:val="00893338"/>
    <w:rsid w:val="00895FFB"/>
    <w:rsid w:val="008A02AF"/>
    <w:rsid w:val="008A1970"/>
    <w:rsid w:val="008A2BCD"/>
    <w:rsid w:val="008A6952"/>
    <w:rsid w:val="008B0563"/>
    <w:rsid w:val="008B2342"/>
    <w:rsid w:val="008B3A7C"/>
    <w:rsid w:val="008B3D0B"/>
    <w:rsid w:val="008B4EBF"/>
    <w:rsid w:val="008B5812"/>
    <w:rsid w:val="008B6171"/>
    <w:rsid w:val="008B72A9"/>
    <w:rsid w:val="008C19A3"/>
    <w:rsid w:val="008C26D5"/>
    <w:rsid w:val="008C5036"/>
    <w:rsid w:val="008C5D04"/>
    <w:rsid w:val="008C6043"/>
    <w:rsid w:val="008D0B00"/>
    <w:rsid w:val="008D0E2C"/>
    <w:rsid w:val="008D1BA7"/>
    <w:rsid w:val="008D2135"/>
    <w:rsid w:val="008D47DB"/>
    <w:rsid w:val="008D4FD6"/>
    <w:rsid w:val="008D57C1"/>
    <w:rsid w:val="008E11C4"/>
    <w:rsid w:val="008E2469"/>
    <w:rsid w:val="008E2700"/>
    <w:rsid w:val="008E2A9E"/>
    <w:rsid w:val="008E3DC0"/>
    <w:rsid w:val="008E3FD0"/>
    <w:rsid w:val="008E4929"/>
    <w:rsid w:val="008E5C7A"/>
    <w:rsid w:val="008E7158"/>
    <w:rsid w:val="008E73AF"/>
    <w:rsid w:val="008E7520"/>
    <w:rsid w:val="008F0FE7"/>
    <w:rsid w:val="008F190C"/>
    <w:rsid w:val="008F5247"/>
    <w:rsid w:val="008F7DD4"/>
    <w:rsid w:val="00900A45"/>
    <w:rsid w:val="00901EA9"/>
    <w:rsid w:val="00902863"/>
    <w:rsid w:val="00902ACC"/>
    <w:rsid w:val="009036DD"/>
    <w:rsid w:val="00905A0C"/>
    <w:rsid w:val="009066B8"/>
    <w:rsid w:val="00907097"/>
    <w:rsid w:val="00907B37"/>
    <w:rsid w:val="009103DD"/>
    <w:rsid w:val="0091052B"/>
    <w:rsid w:val="00910941"/>
    <w:rsid w:val="00910EC0"/>
    <w:rsid w:val="00912B60"/>
    <w:rsid w:val="0091305F"/>
    <w:rsid w:val="00914D2C"/>
    <w:rsid w:val="009152FF"/>
    <w:rsid w:val="009167CB"/>
    <w:rsid w:val="009177A8"/>
    <w:rsid w:val="00917C4D"/>
    <w:rsid w:val="00922A56"/>
    <w:rsid w:val="00923BBF"/>
    <w:rsid w:val="00924F26"/>
    <w:rsid w:val="0092670F"/>
    <w:rsid w:val="0092732E"/>
    <w:rsid w:val="00931637"/>
    <w:rsid w:val="009317B9"/>
    <w:rsid w:val="00931A2C"/>
    <w:rsid w:val="00932AAE"/>
    <w:rsid w:val="0093514C"/>
    <w:rsid w:val="009356DD"/>
    <w:rsid w:val="00936AC2"/>
    <w:rsid w:val="00940EE9"/>
    <w:rsid w:val="009426E5"/>
    <w:rsid w:val="00943A76"/>
    <w:rsid w:val="0094426D"/>
    <w:rsid w:val="009447D8"/>
    <w:rsid w:val="00944E6E"/>
    <w:rsid w:val="00945618"/>
    <w:rsid w:val="00945B26"/>
    <w:rsid w:val="00945E47"/>
    <w:rsid w:val="00946913"/>
    <w:rsid w:val="00947D2A"/>
    <w:rsid w:val="00951866"/>
    <w:rsid w:val="009546A2"/>
    <w:rsid w:val="00955872"/>
    <w:rsid w:val="0096086D"/>
    <w:rsid w:val="00960C07"/>
    <w:rsid w:val="00961522"/>
    <w:rsid w:val="009626EE"/>
    <w:rsid w:val="0096338F"/>
    <w:rsid w:val="009653D2"/>
    <w:rsid w:val="00971601"/>
    <w:rsid w:val="00972580"/>
    <w:rsid w:val="00973454"/>
    <w:rsid w:val="00973703"/>
    <w:rsid w:val="009752BA"/>
    <w:rsid w:val="0097631A"/>
    <w:rsid w:val="00976ADD"/>
    <w:rsid w:val="00976C7D"/>
    <w:rsid w:val="00976E71"/>
    <w:rsid w:val="009770FF"/>
    <w:rsid w:val="009809B9"/>
    <w:rsid w:val="009811C0"/>
    <w:rsid w:val="009819D1"/>
    <w:rsid w:val="00981D5C"/>
    <w:rsid w:val="00982D3E"/>
    <w:rsid w:val="00983EE7"/>
    <w:rsid w:val="00984A11"/>
    <w:rsid w:val="00985033"/>
    <w:rsid w:val="00985306"/>
    <w:rsid w:val="009854CE"/>
    <w:rsid w:val="009861A8"/>
    <w:rsid w:val="00986AA6"/>
    <w:rsid w:val="009915B6"/>
    <w:rsid w:val="009920E2"/>
    <w:rsid w:val="00993AE4"/>
    <w:rsid w:val="009963FB"/>
    <w:rsid w:val="0099686B"/>
    <w:rsid w:val="00996A63"/>
    <w:rsid w:val="00997672"/>
    <w:rsid w:val="009976D3"/>
    <w:rsid w:val="009A0E3F"/>
    <w:rsid w:val="009A1075"/>
    <w:rsid w:val="009A10B5"/>
    <w:rsid w:val="009A1159"/>
    <w:rsid w:val="009A1917"/>
    <w:rsid w:val="009A4CB7"/>
    <w:rsid w:val="009A5242"/>
    <w:rsid w:val="009A5B87"/>
    <w:rsid w:val="009A5BD8"/>
    <w:rsid w:val="009A5F79"/>
    <w:rsid w:val="009A67CD"/>
    <w:rsid w:val="009A6C65"/>
    <w:rsid w:val="009A7CA6"/>
    <w:rsid w:val="009B0303"/>
    <w:rsid w:val="009B16F9"/>
    <w:rsid w:val="009B2D68"/>
    <w:rsid w:val="009B390B"/>
    <w:rsid w:val="009B43B7"/>
    <w:rsid w:val="009B4D24"/>
    <w:rsid w:val="009B5813"/>
    <w:rsid w:val="009B5C53"/>
    <w:rsid w:val="009B626B"/>
    <w:rsid w:val="009C2511"/>
    <w:rsid w:val="009C3610"/>
    <w:rsid w:val="009C52C4"/>
    <w:rsid w:val="009C5C70"/>
    <w:rsid w:val="009D127B"/>
    <w:rsid w:val="009D28A9"/>
    <w:rsid w:val="009D374E"/>
    <w:rsid w:val="009D4631"/>
    <w:rsid w:val="009D464B"/>
    <w:rsid w:val="009D4998"/>
    <w:rsid w:val="009D5B3C"/>
    <w:rsid w:val="009D5DF4"/>
    <w:rsid w:val="009D7E83"/>
    <w:rsid w:val="009E2B35"/>
    <w:rsid w:val="009E2B92"/>
    <w:rsid w:val="009E3A92"/>
    <w:rsid w:val="009E43FA"/>
    <w:rsid w:val="009E4F2B"/>
    <w:rsid w:val="009E569D"/>
    <w:rsid w:val="009E6AA6"/>
    <w:rsid w:val="009E7BC1"/>
    <w:rsid w:val="009F0754"/>
    <w:rsid w:val="009F0D37"/>
    <w:rsid w:val="009F0DD8"/>
    <w:rsid w:val="009F2536"/>
    <w:rsid w:val="009F5CB7"/>
    <w:rsid w:val="009F7369"/>
    <w:rsid w:val="009F7C31"/>
    <w:rsid w:val="00A027EE"/>
    <w:rsid w:val="00A0304A"/>
    <w:rsid w:val="00A06D39"/>
    <w:rsid w:val="00A1128A"/>
    <w:rsid w:val="00A142AC"/>
    <w:rsid w:val="00A15070"/>
    <w:rsid w:val="00A16562"/>
    <w:rsid w:val="00A16F99"/>
    <w:rsid w:val="00A21C95"/>
    <w:rsid w:val="00A21E92"/>
    <w:rsid w:val="00A22A27"/>
    <w:rsid w:val="00A22CE5"/>
    <w:rsid w:val="00A26B66"/>
    <w:rsid w:val="00A328F0"/>
    <w:rsid w:val="00A33AEE"/>
    <w:rsid w:val="00A33F28"/>
    <w:rsid w:val="00A35582"/>
    <w:rsid w:val="00A35734"/>
    <w:rsid w:val="00A36564"/>
    <w:rsid w:val="00A369C8"/>
    <w:rsid w:val="00A36C02"/>
    <w:rsid w:val="00A411B0"/>
    <w:rsid w:val="00A44152"/>
    <w:rsid w:val="00A44F20"/>
    <w:rsid w:val="00A45AC3"/>
    <w:rsid w:val="00A45EDB"/>
    <w:rsid w:val="00A507FE"/>
    <w:rsid w:val="00A51400"/>
    <w:rsid w:val="00A51C07"/>
    <w:rsid w:val="00A542D5"/>
    <w:rsid w:val="00A575A1"/>
    <w:rsid w:val="00A576AF"/>
    <w:rsid w:val="00A624E7"/>
    <w:rsid w:val="00A63920"/>
    <w:rsid w:val="00A64066"/>
    <w:rsid w:val="00A6496C"/>
    <w:rsid w:val="00A65914"/>
    <w:rsid w:val="00A65F49"/>
    <w:rsid w:val="00A663E9"/>
    <w:rsid w:val="00A67794"/>
    <w:rsid w:val="00A67E71"/>
    <w:rsid w:val="00A70E2B"/>
    <w:rsid w:val="00A724DF"/>
    <w:rsid w:val="00A728C3"/>
    <w:rsid w:val="00A73393"/>
    <w:rsid w:val="00A74437"/>
    <w:rsid w:val="00A75A58"/>
    <w:rsid w:val="00A76427"/>
    <w:rsid w:val="00A77636"/>
    <w:rsid w:val="00A8026A"/>
    <w:rsid w:val="00A81675"/>
    <w:rsid w:val="00A824E6"/>
    <w:rsid w:val="00A828C3"/>
    <w:rsid w:val="00A82ADA"/>
    <w:rsid w:val="00A82BA4"/>
    <w:rsid w:val="00A82C7E"/>
    <w:rsid w:val="00A83E9D"/>
    <w:rsid w:val="00A8480A"/>
    <w:rsid w:val="00A8501F"/>
    <w:rsid w:val="00A850FF"/>
    <w:rsid w:val="00A860EB"/>
    <w:rsid w:val="00A87650"/>
    <w:rsid w:val="00A90CE9"/>
    <w:rsid w:val="00A91893"/>
    <w:rsid w:val="00A93312"/>
    <w:rsid w:val="00A94473"/>
    <w:rsid w:val="00A94F5B"/>
    <w:rsid w:val="00A955F8"/>
    <w:rsid w:val="00A9623F"/>
    <w:rsid w:val="00A963CE"/>
    <w:rsid w:val="00A96C0D"/>
    <w:rsid w:val="00AA0139"/>
    <w:rsid w:val="00AA0A28"/>
    <w:rsid w:val="00AA208E"/>
    <w:rsid w:val="00AA282A"/>
    <w:rsid w:val="00AA3330"/>
    <w:rsid w:val="00AA391F"/>
    <w:rsid w:val="00AA3E18"/>
    <w:rsid w:val="00AA4AD4"/>
    <w:rsid w:val="00AA6993"/>
    <w:rsid w:val="00AA7E4C"/>
    <w:rsid w:val="00AB00A3"/>
    <w:rsid w:val="00AB3392"/>
    <w:rsid w:val="00AB3C97"/>
    <w:rsid w:val="00AB4151"/>
    <w:rsid w:val="00AB5817"/>
    <w:rsid w:val="00AB6A8B"/>
    <w:rsid w:val="00AC015D"/>
    <w:rsid w:val="00AC07A7"/>
    <w:rsid w:val="00AC17A4"/>
    <w:rsid w:val="00AC2DC7"/>
    <w:rsid w:val="00AC34D8"/>
    <w:rsid w:val="00AC4661"/>
    <w:rsid w:val="00AC699A"/>
    <w:rsid w:val="00AC6C26"/>
    <w:rsid w:val="00AC6EA0"/>
    <w:rsid w:val="00AC79F2"/>
    <w:rsid w:val="00AC7F67"/>
    <w:rsid w:val="00AD2048"/>
    <w:rsid w:val="00AD2AD7"/>
    <w:rsid w:val="00AD5B0F"/>
    <w:rsid w:val="00AD602D"/>
    <w:rsid w:val="00AE0FCE"/>
    <w:rsid w:val="00AE1C4F"/>
    <w:rsid w:val="00AE1D63"/>
    <w:rsid w:val="00AE2397"/>
    <w:rsid w:val="00AE2D78"/>
    <w:rsid w:val="00AE3A82"/>
    <w:rsid w:val="00AE3B2F"/>
    <w:rsid w:val="00AE42FB"/>
    <w:rsid w:val="00AE61C5"/>
    <w:rsid w:val="00AE631B"/>
    <w:rsid w:val="00AE7085"/>
    <w:rsid w:val="00AE743D"/>
    <w:rsid w:val="00AF0611"/>
    <w:rsid w:val="00AF208C"/>
    <w:rsid w:val="00AF27F5"/>
    <w:rsid w:val="00AF5209"/>
    <w:rsid w:val="00AF55AE"/>
    <w:rsid w:val="00AF6157"/>
    <w:rsid w:val="00AF6320"/>
    <w:rsid w:val="00AF6527"/>
    <w:rsid w:val="00B0030E"/>
    <w:rsid w:val="00B00887"/>
    <w:rsid w:val="00B00E17"/>
    <w:rsid w:val="00B00F9A"/>
    <w:rsid w:val="00B019C5"/>
    <w:rsid w:val="00B01A78"/>
    <w:rsid w:val="00B02B03"/>
    <w:rsid w:val="00B02DC3"/>
    <w:rsid w:val="00B03755"/>
    <w:rsid w:val="00B04799"/>
    <w:rsid w:val="00B069B8"/>
    <w:rsid w:val="00B10A1C"/>
    <w:rsid w:val="00B1231F"/>
    <w:rsid w:val="00B14F1D"/>
    <w:rsid w:val="00B14F4E"/>
    <w:rsid w:val="00B153BB"/>
    <w:rsid w:val="00B15B74"/>
    <w:rsid w:val="00B173F4"/>
    <w:rsid w:val="00B22176"/>
    <w:rsid w:val="00B228A1"/>
    <w:rsid w:val="00B22A48"/>
    <w:rsid w:val="00B24C61"/>
    <w:rsid w:val="00B25B9D"/>
    <w:rsid w:val="00B25C71"/>
    <w:rsid w:val="00B264FD"/>
    <w:rsid w:val="00B2708F"/>
    <w:rsid w:val="00B27C78"/>
    <w:rsid w:val="00B32A52"/>
    <w:rsid w:val="00B33315"/>
    <w:rsid w:val="00B33E78"/>
    <w:rsid w:val="00B376E0"/>
    <w:rsid w:val="00B415A3"/>
    <w:rsid w:val="00B423E1"/>
    <w:rsid w:val="00B47447"/>
    <w:rsid w:val="00B50CA5"/>
    <w:rsid w:val="00B50EC9"/>
    <w:rsid w:val="00B51A54"/>
    <w:rsid w:val="00B52E26"/>
    <w:rsid w:val="00B533B4"/>
    <w:rsid w:val="00B5372D"/>
    <w:rsid w:val="00B53C8E"/>
    <w:rsid w:val="00B54813"/>
    <w:rsid w:val="00B55798"/>
    <w:rsid w:val="00B61445"/>
    <w:rsid w:val="00B61D38"/>
    <w:rsid w:val="00B643EA"/>
    <w:rsid w:val="00B64CD2"/>
    <w:rsid w:val="00B66702"/>
    <w:rsid w:val="00B66A10"/>
    <w:rsid w:val="00B66A12"/>
    <w:rsid w:val="00B67C3B"/>
    <w:rsid w:val="00B702DA"/>
    <w:rsid w:val="00B70B46"/>
    <w:rsid w:val="00B73427"/>
    <w:rsid w:val="00B7449A"/>
    <w:rsid w:val="00B75168"/>
    <w:rsid w:val="00B77552"/>
    <w:rsid w:val="00B77F3B"/>
    <w:rsid w:val="00B813CF"/>
    <w:rsid w:val="00B82A3C"/>
    <w:rsid w:val="00B82FC5"/>
    <w:rsid w:val="00B832E4"/>
    <w:rsid w:val="00B8482C"/>
    <w:rsid w:val="00B85ECF"/>
    <w:rsid w:val="00B86D1D"/>
    <w:rsid w:val="00B87D68"/>
    <w:rsid w:val="00B90D3B"/>
    <w:rsid w:val="00B9249C"/>
    <w:rsid w:val="00B93934"/>
    <w:rsid w:val="00B9550E"/>
    <w:rsid w:val="00B9746C"/>
    <w:rsid w:val="00BA0A6B"/>
    <w:rsid w:val="00BA1BC8"/>
    <w:rsid w:val="00BA309E"/>
    <w:rsid w:val="00BA3673"/>
    <w:rsid w:val="00BA41F1"/>
    <w:rsid w:val="00BA51D4"/>
    <w:rsid w:val="00BA594F"/>
    <w:rsid w:val="00BA6D53"/>
    <w:rsid w:val="00BA7256"/>
    <w:rsid w:val="00BB08E5"/>
    <w:rsid w:val="00BB3048"/>
    <w:rsid w:val="00BB48E8"/>
    <w:rsid w:val="00BB550C"/>
    <w:rsid w:val="00BB6358"/>
    <w:rsid w:val="00BB6D61"/>
    <w:rsid w:val="00BC13F3"/>
    <w:rsid w:val="00BC18ED"/>
    <w:rsid w:val="00BC2233"/>
    <w:rsid w:val="00BC2A01"/>
    <w:rsid w:val="00BC3973"/>
    <w:rsid w:val="00BC3EE3"/>
    <w:rsid w:val="00BC4F92"/>
    <w:rsid w:val="00BC616C"/>
    <w:rsid w:val="00BD2695"/>
    <w:rsid w:val="00BD27BD"/>
    <w:rsid w:val="00BD4122"/>
    <w:rsid w:val="00BD46DD"/>
    <w:rsid w:val="00BD5536"/>
    <w:rsid w:val="00BE0639"/>
    <w:rsid w:val="00BE1D7B"/>
    <w:rsid w:val="00BE527F"/>
    <w:rsid w:val="00BE6573"/>
    <w:rsid w:val="00BE6791"/>
    <w:rsid w:val="00BE6BC3"/>
    <w:rsid w:val="00BE71E8"/>
    <w:rsid w:val="00BE735B"/>
    <w:rsid w:val="00BF000F"/>
    <w:rsid w:val="00BF277C"/>
    <w:rsid w:val="00BF2F20"/>
    <w:rsid w:val="00BF437E"/>
    <w:rsid w:val="00BF4760"/>
    <w:rsid w:val="00BF47AC"/>
    <w:rsid w:val="00BF529A"/>
    <w:rsid w:val="00BF5778"/>
    <w:rsid w:val="00C00874"/>
    <w:rsid w:val="00C019CB"/>
    <w:rsid w:val="00C03893"/>
    <w:rsid w:val="00C039BD"/>
    <w:rsid w:val="00C04562"/>
    <w:rsid w:val="00C04E1D"/>
    <w:rsid w:val="00C04F34"/>
    <w:rsid w:val="00C0673B"/>
    <w:rsid w:val="00C06862"/>
    <w:rsid w:val="00C07287"/>
    <w:rsid w:val="00C12EE9"/>
    <w:rsid w:val="00C13AB8"/>
    <w:rsid w:val="00C13CA0"/>
    <w:rsid w:val="00C14E61"/>
    <w:rsid w:val="00C16C1D"/>
    <w:rsid w:val="00C238ED"/>
    <w:rsid w:val="00C23936"/>
    <w:rsid w:val="00C2534C"/>
    <w:rsid w:val="00C25859"/>
    <w:rsid w:val="00C25D23"/>
    <w:rsid w:val="00C25FCA"/>
    <w:rsid w:val="00C26C0E"/>
    <w:rsid w:val="00C26DA1"/>
    <w:rsid w:val="00C307F5"/>
    <w:rsid w:val="00C31432"/>
    <w:rsid w:val="00C33855"/>
    <w:rsid w:val="00C37E3D"/>
    <w:rsid w:val="00C400E0"/>
    <w:rsid w:val="00C4228D"/>
    <w:rsid w:val="00C42DCA"/>
    <w:rsid w:val="00C44798"/>
    <w:rsid w:val="00C47D48"/>
    <w:rsid w:val="00C50478"/>
    <w:rsid w:val="00C50BF8"/>
    <w:rsid w:val="00C52142"/>
    <w:rsid w:val="00C52D4C"/>
    <w:rsid w:val="00C54D25"/>
    <w:rsid w:val="00C56509"/>
    <w:rsid w:val="00C56EAE"/>
    <w:rsid w:val="00C56F64"/>
    <w:rsid w:val="00C57260"/>
    <w:rsid w:val="00C57CDF"/>
    <w:rsid w:val="00C57D53"/>
    <w:rsid w:val="00C60DD7"/>
    <w:rsid w:val="00C6150C"/>
    <w:rsid w:val="00C6209F"/>
    <w:rsid w:val="00C6291A"/>
    <w:rsid w:val="00C62F7A"/>
    <w:rsid w:val="00C635A7"/>
    <w:rsid w:val="00C6443E"/>
    <w:rsid w:val="00C6459A"/>
    <w:rsid w:val="00C664AD"/>
    <w:rsid w:val="00C66E79"/>
    <w:rsid w:val="00C708F5"/>
    <w:rsid w:val="00C70B05"/>
    <w:rsid w:val="00C712E9"/>
    <w:rsid w:val="00C71354"/>
    <w:rsid w:val="00C71F77"/>
    <w:rsid w:val="00C7233A"/>
    <w:rsid w:val="00C72598"/>
    <w:rsid w:val="00C72B96"/>
    <w:rsid w:val="00C74137"/>
    <w:rsid w:val="00C75A9D"/>
    <w:rsid w:val="00C76145"/>
    <w:rsid w:val="00C76BC1"/>
    <w:rsid w:val="00C81EAF"/>
    <w:rsid w:val="00C850EE"/>
    <w:rsid w:val="00C8639F"/>
    <w:rsid w:val="00C86E90"/>
    <w:rsid w:val="00C875D9"/>
    <w:rsid w:val="00C879E1"/>
    <w:rsid w:val="00C92C53"/>
    <w:rsid w:val="00C9305F"/>
    <w:rsid w:val="00C939EB"/>
    <w:rsid w:val="00C9693E"/>
    <w:rsid w:val="00C97930"/>
    <w:rsid w:val="00C97DCF"/>
    <w:rsid w:val="00CA01E0"/>
    <w:rsid w:val="00CA1716"/>
    <w:rsid w:val="00CA1B73"/>
    <w:rsid w:val="00CA22A2"/>
    <w:rsid w:val="00CA2950"/>
    <w:rsid w:val="00CA30FB"/>
    <w:rsid w:val="00CA486E"/>
    <w:rsid w:val="00CA5AAA"/>
    <w:rsid w:val="00CA5B5C"/>
    <w:rsid w:val="00CA5EEC"/>
    <w:rsid w:val="00CA7D4B"/>
    <w:rsid w:val="00CB05FA"/>
    <w:rsid w:val="00CB0B32"/>
    <w:rsid w:val="00CB224F"/>
    <w:rsid w:val="00CB2838"/>
    <w:rsid w:val="00CB340C"/>
    <w:rsid w:val="00CB44C0"/>
    <w:rsid w:val="00CB5081"/>
    <w:rsid w:val="00CB78D0"/>
    <w:rsid w:val="00CB7FC5"/>
    <w:rsid w:val="00CC1194"/>
    <w:rsid w:val="00CC2299"/>
    <w:rsid w:val="00CC4AB1"/>
    <w:rsid w:val="00CC56DE"/>
    <w:rsid w:val="00CC5D9D"/>
    <w:rsid w:val="00CC670C"/>
    <w:rsid w:val="00CC733C"/>
    <w:rsid w:val="00CD02FA"/>
    <w:rsid w:val="00CD11F0"/>
    <w:rsid w:val="00CD1AA3"/>
    <w:rsid w:val="00CD1F8E"/>
    <w:rsid w:val="00CD3211"/>
    <w:rsid w:val="00CD474A"/>
    <w:rsid w:val="00CD5312"/>
    <w:rsid w:val="00CD63E8"/>
    <w:rsid w:val="00CD6F54"/>
    <w:rsid w:val="00CD7C68"/>
    <w:rsid w:val="00CE04BD"/>
    <w:rsid w:val="00CE1153"/>
    <w:rsid w:val="00CE4179"/>
    <w:rsid w:val="00CE4262"/>
    <w:rsid w:val="00CE4DFE"/>
    <w:rsid w:val="00CE5068"/>
    <w:rsid w:val="00CE5954"/>
    <w:rsid w:val="00CE6192"/>
    <w:rsid w:val="00CE74E7"/>
    <w:rsid w:val="00CF09A6"/>
    <w:rsid w:val="00CF1493"/>
    <w:rsid w:val="00CF1CD4"/>
    <w:rsid w:val="00CF2276"/>
    <w:rsid w:val="00CF33BF"/>
    <w:rsid w:val="00CF4318"/>
    <w:rsid w:val="00CF69AC"/>
    <w:rsid w:val="00CF74EB"/>
    <w:rsid w:val="00CF798A"/>
    <w:rsid w:val="00D008B2"/>
    <w:rsid w:val="00D00B8F"/>
    <w:rsid w:val="00D01B50"/>
    <w:rsid w:val="00D03A5C"/>
    <w:rsid w:val="00D03B04"/>
    <w:rsid w:val="00D03C76"/>
    <w:rsid w:val="00D062CA"/>
    <w:rsid w:val="00D06730"/>
    <w:rsid w:val="00D07FC5"/>
    <w:rsid w:val="00D120AE"/>
    <w:rsid w:val="00D128A4"/>
    <w:rsid w:val="00D15792"/>
    <w:rsid w:val="00D16319"/>
    <w:rsid w:val="00D16F35"/>
    <w:rsid w:val="00D16FD1"/>
    <w:rsid w:val="00D17B3F"/>
    <w:rsid w:val="00D20416"/>
    <w:rsid w:val="00D207B8"/>
    <w:rsid w:val="00D208D5"/>
    <w:rsid w:val="00D21380"/>
    <w:rsid w:val="00D21B5B"/>
    <w:rsid w:val="00D23781"/>
    <w:rsid w:val="00D23F9C"/>
    <w:rsid w:val="00D2552F"/>
    <w:rsid w:val="00D3010E"/>
    <w:rsid w:val="00D302A1"/>
    <w:rsid w:val="00D3247F"/>
    <w:rsid w:val="00D329C3"/>
    <w:rsid w:val="00D32FB9"/>
    <w:rsid w:val="00D33451"/>
    <w:rsid w:val="00D335B2"/>
    <w:rsid w:val="00D34F93"/>
    <w:rsid w:val="00D35892"/>
    <w:rsid w:val="00D36926"/>
    <w:rsid w:val="00D37674"/>
    <w:rsid w:val="00D37E77"/>
    <w:rsid w:val="00D400F6"/>
    <w:rsid w:val="00D4146F"/>
    <w:rsid w:val="00D4334A"/>
    <w:rsid w:val="00D44123"/>
    <w:rsid w:val="00D46A27"/>
    <w:rsid w:val="00D47AAF"/>
    <w:rsid w:val="00D511F0"/>
    <w:rsid w:val="00D512DD"/>
    <w:rsid w:val="00D51F39"/>
    <w:rsid w:val="00D54DCF"/>
    <w:rsid w:val="00D54E0D"/>
    <w:rsid w:val="00D55AF1"/>
    <w:rsid w:val="00D5664F"/>
    <w:rsid w:val="00D5718F"/>
    <w:rsid w:val="00D57575"/>
    <w:rsid w:val="00D60C2A"/>
    <w:rsid w:val="00D62FB1"/>
    <w:rsid w:val="00D65F40"/>
    <w:rsid w:val="00D66B35"/>
    <w:rsid w:val="00D677F4"/>
    <w:rsid w:val="00D67A18"/>
    <w:rsid w:val="00D70FEB"/>
    <w:rsid w:val="00D71061"/>
    <w:rsid w:val="00D72DEF"/>
    <w:rsid w:val="00D73F9A"/>
    <w:rsid w:val="00D7687D"/>
    <w:rsid w:val="00D76ECD"/>
    <w:rsid w:val="00D80B5A"/>
    <w:rsid w:val="00D818D6"/>
    <w:rsid w:val="00D8589A"/>
    <w:rsid w:val="00D859D1"/>
    <w:rsid w:val="00D859FD"/>
    <w:rsid w:val="00D91172"/>
    <w:rsid w:val="00D91174"/>
    <w:rsid w:val="00D9184C"/>
    <w:rsid w:val="00D91E31"/>
    <w:rsid w:val="00D930C2"/>
    <w:rsid w:val="00D9406C"/>
    <w:rsid w:val="00D947AB"/>
    <w:rsid w:val="00D954A1"/>
    <w:rsid w:val="00D9631F"/>
    <w:rsid w:val="00D97470"/>
    <w:rsid w:val="00DA1188"/>
    <w:rsid w:val="00DA16B3"/>
    <w:rsid w:val="00DA4D23"/>
    <w:rsid w:val="00DA4FEC"/>
    <w:rsid w:val="00DA643D"/>
    <w:rsid w:val="00DB0986"/>
    <w:rsid w:val="00DB2B37"/>
    <w:rsid w:val="00DB31BF"/>
    <w:rsid w:val="00DB592B"/>
    <w:rsid w:val="00DB5D35"/>
    <w:rsid w:val="00DC1664"/>
    <w:rsid w:val="00DC17DF"/>
    <w:rsid w:val="00DC2478"/>
    <w:rsid w:val="00DC31FA"/>
    <w:rsid w:val="00DC45DD"/>
    <w:rsid w:val="00DC5197"/>
    <w:rsid w:val="00DC59C1"/>
    <w:rsid w:val="00DC7C6E"/>
    <w:rsid w:val="00DD0C10"/>
    <w:rsid w:val="00DD2098"/>
    <w:rsid w:val="00DD27E9"/>
    <w:rsid w:val="00DD313F"/>
    <w:rsid w:val="00DD49C1"/>
    <w:rsid w:val="00DD6537"/>
    <w:rsid w:val="00DD683B"/>
    <w:rsid w:val="00DD6DCA"/>
    <w:rsid w:val="00DE1379"/>
    <w:rsid w:val="00DE1F7F"/>
    <w:rsid w:val="00DE33D2"/>
    <w:rsid w:val="00DE6E5C"/>
    <w:rsid w:val="00DE6E95"/>
    <w:rsid w:val="00DE6EB0"/>
    <w:rsid w:val="00DF06EE"/>
    <w:rsid w:val="00DF136C"/>
    <w:rsid w:val="00DF1CD7"/>
    <w:rsid w:val="00DF2C49"/>
    <w:rsid w:val="00DF3560"/>
    <w:rsid w:val="00DF39F3"/>
    <w:rsid w:val="00DF44B1"/>
    <w:rsid w:val="00DF4EE3"/>
    <w:rsid w:val="00E00142"/>
    <w:rsid w:val="00E05AF8"/>
    <w:rsid w:val="00E068BA"/>
    <w:rsid w:val="00E07FFC"/>
    <w:rsid w:val="00E1000C"/>
    <w:rsid w:val="00E11582"/>
    <w:rsid w:val="00E11B73"/>
    <w:rsid w:val="00E12195"/>
    <w:rsid w:val="00E12F78"/>
    <w:rsid w:val="00E138E1"/>
    <w:rsid w:val="00E13A7F"/>
    <w:rsid w:val="00E13C04"/>
    <w:rsid w:val="00E16883"/>
    <w:rsid w:val="00E176B3"/>
    <w:rsid w:val="00E17D14"/>
    <w:rsid w:val="00E2084F"/>
    <w:rsid w:val="00E21011"/>
    <w:rsid w:val="00E23443"/>
    <w:rsid w:val="00E25670"/>
    <w:rsid w:val="00E2676C"/>
    <w:rsid w:val="00E26C51"/>
    <w:rsid w:val="00E27DA4"/>
    <w:rsid w:val="00E30DBE"/>
    <w:rsid w:val="00E32DDD"/>
    <w:rsid w:val="00E36A9D"/>
    <w:rsid w:val="00E3793A"/>
    <w:rsid w:val="00E40EFD"/>
    <w:rsid w:val="00E41644"/>
    <w:rsid w:val="00E42E26"/>
    <w:rsid w:val="00E43600"/>
    <w:rsid w:val="00E43A7A"/>
    <w:rsid w:val="00E43B7D"/>
    <w:rsid w:val="00E446B6"/>
    <w:rsid w:val="00E451A7"/>
    <w:rsid w:val="00E46244"/>
    <w:rsid w:val="00E462A9"/>
    <w:rsid w:val="00E54E15"/>
    <w:rsid w:val="00E5585D"/>
    <w:rsid w:val="00E56557"/>
    <w:rsid w:val="00E607CA"/>
    <w:rsid w:val="00E627A6"/>
    <w:rsid w:val="00E63473"/>
    <w:rsid w:val="00E6386F"/>
    <w:rsid w:val="00E63C1D"/>
    <w:rsid w:val="00E64D01"/>
    <w:rsid w:val="00E656B9"/>
    <w:rsid w:val="00E6688C"/>
    <w:rsid w:val="00E66AF9"/>
    <w:rsid w:val="00E66C35"/>
    <w:rsid w:val="00E67634"/>
    <w:rsid w:val="00E679B8"/>
    <w:rsid w:val="00E67DDD"/>
    <w:rsid w:val="00E70C03"/>
    <w:rsid w:val="00E717E4"/>
    <w:rsid w:val="00E722CB"/>
    <w:rsid w:val="00E73B30"/>
    <w:rsid w:val="00E7634F"/>
    <w:rsid w:val="00E8098D"/>
    <w:rsid w:val="00E80AB8"/>
    <w:rsid w:val="00E81728"/>
    <w:rsid w:val="00E83C7E"/>
    <w:rsid w:val="00E84441"/>
    <w:rsid w:val="00E846AF"/>
    <w:rsid w:val="00E860AA"/>
    <w:rsid w:val="00E86405"/>
    <w:rsid w:val="00E86ABF"/>
    <w:rsid w:val="00E8792B"/>
    <w:rsid w:val="00E87D23"/>
    <w:rsid w:val="00E934F4"/>
    <w:rsid w:val="00E94ECF"/>
    <w:rsid w:val="00E9528D"/>
    <w:rsid w:val="00E95E9E"/>
    <w:rsid w:val="00E9648D"/>
    <w:rsid w:val="00E97AAD"/>
    <w:rsid w:val="00EA0876"/>
    <w:rsid w:val="00EA122D"/>
    <w:rsid w:val="00EA7A11"/>
    <w:rsid w:val="00EA7AE1"/>
    <w:rsid w:val="00EB0983"/>
    <w:rsid w:val="00EB2338"/>
    <w:rsid w:val="00EB38EB"/>
    <w:rsid w:val="00EB4B7C"/>
    <w:rsid w:val="00EB5A5B"/>
    <w:rsid w:val="00EB5FAB"/>
    <w:rsid w:val="00EB67CA"/>
    <w:rsid w:val="00EB7FE0"/>
    <w:rsid w:val="00EC171B"/>
    <w:rsid w:val="00EC1C79"/>
    <w:rsid w:val="00EC1C83"/>
    <w:rsid w:val="00EC1D99"/>
    <w:rsid w:val="00EC1DF5"/>
    <w:rsid w:val="00EC21DF"/>
    <w:rsid w:val="00EC690C"/>
    <w:rsid w:val="00ED0F86"/>
    <w:rsid w:val="00ED2238"/>
    <w:rsid w:val="00ED369E"/>
    <w:rsid w:val="00ED7E73"/>
    <w:rsid w:val="00EE068D"/>
    <w:rsid w:val="00EE0D9F"/>
    <w:rsid w:val="00EE126C"/>
    <w:rsid w:val="00EE12A5"/>
    <w:rsid w:val="00EE1B7A"/>
    <w:rsid w:val="00EE1BBA"/>
    <w:rsid w:val="00EE2F3F"/>
    <w:rsid w:val="00EE4E83"/>
    <w:rsid w:val="00EE51BF"/>
    <w:rsid w:val="00EE6E1F"/>
    <w:rsid w:val="00EF1D8C"/>
    <w:rsid w:val="00EF1E4E"/>
    <w:rsid w:val="00EF36F0"/>
    <w:rsid w:val="00EF6A9F"/>
    <w:rsid w:val="00EF7060"/>
    <w:rsid w:val="00F00755"/>
    <w:rsid w:val="00F0232F"/>
    <w:rsid w:val="00F03088"/>
    <w:rsid w:val="00F03518"/>
    <w:rsid w:val="00F048FE"/>
    <w:rsid w:val="00F04B06"/>
    <w:rsid w:val="00F04FD8"/>
    <w:rsid w:val="00F066CF"/>
    <w:rsid w:val="00F07C6E"/>
    <w:rsid w:val="00F10481"/>
    <w:rsid w:val="00F166B9"/>
    <w:rsid w:val="00F17688"/>
    <w:rsid w:val="00F204A8"/>
    <w:rsid w:val="00F237FD"/>
    <w:rsid w:val="00F2443E"/>
    <w:rsid w:val="00F24E7B"/>
    <w:rsid w:val="00F25D59"/>
    <w:rsid w:val="00F276B3"/>
    <w:rsid w:val="00F27EFC"/>
    <w:rsid w:val="00F30759"/>
    <w:rsid w:val="00F32106"/>
    <w:rsid w:val="00F339B4"/>
    <w:rsid w:val="00F353B8"/>
    <w:rsid w:val="00F368A1"/>
    <w:rsid w:val="00F4006A"/>
    <w:rsid w:val="00F40E9E"/>
    <w:rsid w:val="00F42A5E"/>
    <w:rsid w:val="00F433A0"/>
    <w:rsid w:val="00F43FCB"/>
    <w:rsid w:val="00F440EF"/>
    <w:rsid w:val="00F44700"/>
    <w:rsid w:val="00F45929"/>
    <w:rsid w:val="00F45C34"/>
    <w:rsid w:val="00F466A0"/>
    <w:rsid w:val="00F4674C"/>
    <w:rsid w:val="00F5105C"/>
    <w:rsid w:val="00F517FF"/>
    <w:rsid w:val="00F522B9"/>
    <w:rsid w:val="00F5322E"/>
    <w:rsid w:val="00F532A1"/>
    <w:rsid w:val="00F5480C"/>
    <w:rsid w:val="00F55D25"/>
    <w:rsid w:val="00F5654C"/>
    <w:rsid w:val="00F576BD"/>
    <w:rsid w:val="00F57FD7"/>
    <w:rsid w:val="00F60631"/>
    <w:rsid w:val="00F6172C"/>
    <w:rsid w:val="00F61BF2"/>
    <w:rsid w:val="00F62C05"/>
    <w:rsid w:val="00F62CBE"/>
    <w:rsid w:val="00F62DDD"/>
    <w:rsid w:val="00F63172"/>
    <w:rsid w:val="00F6331F"/>
    <w:rsid w:val="00F63B74"/>
    <w:rsid w:val="00F66B7C"/>
    <w:rsid w:val="00F707E4"/>
    <w:rsid w:val="00F7483E"/>
    <w:rsid w:val="00F757D2"/>
    <w:rsid w:val="00F76BE7"/>
    <w:rsid w:val="00F77C9A"/>
    <w:rsid w:val="00F83AFF"/>
    <w:rsid w:val="00F85453"/>
    <w:rsid w:val="00F85EE8"/>
    <w:rsid w:val="00F90C38"/>
    <w:rsid w:val="00F911F2"/>
    <w:rsid w:val="00F91581"/>
    <w:rsid w:val="00F91614"/>
    <w:rsid w:val="00F91DFB"/>
    <w:rsid w:val="00F93EB1"/>
    <w:rsid w:val="00F94D75"/>
    <w:rsid w:val="00F94E06"/>
    <w:rsid w:val="00F95719"/>
    <w:rsid w:val="00F97DC6"/>
    <w:rsid w:val="00FA353C"/>
    <w:rsid w:val="00FA388F"/>
    <w:rsid w:val="00FA4FC7"/>
    <w:rsid w:val="00FB007D"/>
    <w:rsid w:val="00FB03F1"/>
    <w:rsid w:val="00FB242F"/>
    <w:rsid w:val="00FB4475"/>
    <w:rsid w:val="00FC0FBE"/>
    <w:rsid w:val="00FC22AE"/>
    <w:rsid w:val="00FC2E5E"/>
    <w:rsid w:val="00FC618B"/>
    <w:rsid w:val="00FC7164"/>
    <w:rsid w:val="00FD1DD7"/>
    <w:rsid w:val="00FD2954"/>
    <w:rsid w:val="00FD32C0"/>
    <w:rsid w:val="00FD3DC2"/>
    <w:rsid w:val="00FD44D6"/>
    <w:rsid w:val="00FD5342"/>
    <w:rsid w:val="00FD7053"/>
    <w:rsid w:val="00FD70DA"/>
    <w:rsid w:val="00FD7298"/>
    <w:rsid w:val="00FD7721"/>
    <w:rsid w:val="00FD7D6E"/>
    <w:rsid w:val="00FE06FF"/>
    <w:rsid w:val="00FE381E"/>
    <w:rsid w:val="00FE3C86"/>
    <w:rsid w:val="00FE53B7"/>
    <w:rsid w:val="00FE75D9"/>
    <w:rsid w:val="00FE7FEA"/>
    <w:rsid w:val="00FF003E"/>
    <w:rsid w:val="00FF170B"/>
    <w:rsid w:val="00FF1850"/>
    <w:rsid w:val="00FF36A6"/>
    <w:rsid w:val="00FF37DB"/>
    <w:rsid w:val="00FF394D"/>
    <w:rsid w:val="00FF414B"/>
    <w:rsid w:val="00FF4347"/>
    <w:rsid w:val="00FF5107"/>
    <w:rsid w:val="00FF6407"/>
    <w:rsid w:val="00FF6ADD"/>
    <w:rsid w:val="00FF77AB"/>
    <w:rsid w:val="01282CC7"/>
    <w:rsid w:val="01374E54"/>
    <w:rsid w:val="013771ED"/>
    <w:rsid w:val="0159301C"/>
    <w:rsid w:val="017A2659"/>
    <w:rsid w:val="017D00B9"/>
    <w:rsid w:val="01840BB5"/>
    <w:rsid w:val="018F7612"/>
    <w:rsid w:val="02306473"/>
    <w:rsid w:val="025130CD"/>
    <w:rsid w:val="025E2EB0"/>
    <w:rsid w:val="025F28B4"/>
    <w:rsid w:val="02702184"/>
    <w:rsid w:val="029B380C"/>
    <w:rsid w:val="02D463B4"/>
    <w:rsid w:val="030516AD"/>
    <w:rsid w:val="03184E85"/>
    <w:rsid w:val="031C07A5"/>
    <w:rsid w:val="036C1712"/>
    <w:rsid w:val="038C661C"/>
    <w:rsid w:val="03F030D1"/>
    <w:rsid w:val="04390EE3"/>
    <w:rsid w:val="043D21F8"/>
    <w:rsid w:val="04644F76"/>
    <w:rsid w:val="046F149A"/>
    <w:rsid w:val="05BB71C1"/>
    <w:rsid w:val="05F12F63"/>
    <w:rsid w:val="062C6F51"/>
    <w:rsid w:val="06315F02"/>
    <w:rsid w:val="06344057"/>
    <w:rsid w:val="066E1317"/>
    <w:rsid w:val="068A375E"/>
    <w:rsid w:val="071B2E56"/>
    <w:rsid w:val="07697D31"/>
    <w:rsid w:val="076D7821"/>
    <w:rsid w:val="0796035F"/>
    <w:rsid w:val="07A04C3B"/>
    <w:rsid w:val="07F037F6"/>
    <w:rsid w:val="08291466"/>
    <w:rsid w:val="089B1EC4"/>
    <w:rsid w:val="08B84ACC"/>
    <w:rsid w:val="08EE4992"/>
    <w:rsid w:val="090D306A"/>
    <w:rsid w:val="09714FD2"/>
    <w:rsid w:val="097A4477"/>
    <w:rsid w:val="09954E0D"/>
    <w:rsid w:val="09CD33B2"/>
    <w:rsid w:val="0A173A74"/>
    <w:rsid w:val="0A506715"/>
    <w:rsid w:val="0A59408D"/>
    <w:rsid w:val="0A5D3B7D"/>
    <w:rsid w:val="0AD41DA9"/>
    <w:rsid w:val="0B093D05"/>
    <w:rsid w:val="0B2551B0"/>
    <w:rsid w:val="0B9C1F9B"/>
    <w:rsid w:val="0BE466BD"/>
    <w:rsid w:val="0C032502"/>
    <w:rsid w:val="0C28640C"/>
    <w:rsid w:val="0C526355"/>
    <w:rsid w:val="0CA43A03"/>
    <w:rsid w:val="0CF623A2"/>
    <w:rsid w:val="0D3B3F1D"/>
    <w:rsid w:val="0DB07CB9"/>
    <w:rsid w:val="0DBA7538"/>
    <w:rsid w:val="0DDB600E"/>
    <w:rsid w:val="0E5A7B56"/>
    <w:rsid w:val="0E8834EA"/>
    <w:rsid w:val="0ED821B1"/>
    <w:rsid w:val="0EEC236D"/>
    <w:rsid w:val="0F1E15DB"/>
    <w:rsid w:val="0F4A3C2A"/>
    <w:rsid w:val="0F87344A"/>
    <w:rsid w:val="0F8A53C1"/>
    <w:rsid w:val="0F900551"/>
    <w:rsid w:val="0FB44E23"/>
    <w:rsid w:val="0FBC5A91"/>
    <w:rsid w:val="0FDD23A2"/>
    <w:rsid w:val="0FFE370C"/>
    <w:rsid w:val="10171EA3"/>
    <w:rsid w:val="10A01A47"/>
    <w:rsid w:val="10DD77C5"/>
    <w:rsid w:val="114415F3"/>
    <w:rsid w:val="11603F53"/>
    <w:rsid w:val="11A77DD3"/>
    <w:rsid w:val="11EB0671"/>
    <w:rsid w:val="11FA708A"/>
    <w:rsid w:val="121A73FA"/>
    <w:rsid w:val="1273335E"/>
    <w:rsid w:val="127E08F1"/>
    <w:rsid w:val="128A6A91"/>
    <w:rsid w:val="128D6FC9"/>
    <w:rsid w:val="12AF5192"/>
    <w:rsid w:val="12BB2233"/>
    <w:rsid w:val="12D86478"/>
    <w:rsid w:val="12EF7D74"/>
    <w:rsid w:val="12F30783"/>
    <w:rsid w:val="12FC1987"/>
    <w:rsid w:val="13186723"/>
    <w:rsid w:val="132367A9"/>
    <w:rsid w:val="13B03504"/>
    <w:rsid w:val="13E0137B"/>
    <w:rsid w:val="13FD1F2D"/>
    <w:rsid w:val="143E2969"/>
    <w:rsid w:val="14565B53"/>
    <w:rsid w:val="1461426A"/>
    <w:rsid w:val="14807AA8"/>
    <w:rsid w:val="15934E36"/>
    <w:rsid w:val="15E83AEE"/>
    <w:rsid w:val="16202DF8"/>
    <w:rsid w:val="162B4608"/>
    <w:rsid w:val="162C3DEF"/>
    <w:rsid w:val="162D4D4B"/>
    <w:rsid w:val="16797F90"/>
    <w:rsid w:val="16970499"/>
    <w:rsid w:val="16B46FB0"/>
    <w:rsid w:val="16F26506"/>
    <w:rsid w:val="1706559C"/>
    <w:rsid w:val="174F7F41"/>
    <w:rsid w:val="175021A4"/>
    <w:rsid w:val="176D1ABA"/>
    <w:rsid w:val="17936E30"/>
    <w:rsid w:val="17FA5082"/>
    <w:rsid w:val="18E80CA3"/>
    <w:rsid w:val="190653E0"/>
    <w:rsid w:val="19557A2B"/>
    <w:rsid w:val="195F6BF9"/>
    <w:rsid w:val="19761241"/>
    <w:rsid w:val="19921369"/>
    <w:rsid w:val="19CF6119"/>
    <w:rsid w:val="19DB4ABE"/>
    <w:rsid w:val="19F16F57"/>
    <w:rsid w:val="1A6B6620"/>
    <w:rsid w:val="1A7647E7"/>
    <w:rsid w:val="1A893391"/>
    <w:rsid w:val="1A8A0E88"/>
    <w:rsid w:val="1A9F39D4"/>
    <w:rsid w:val="1ADE58AC"/>
    <w:rsid w:val="1AFD0808"/>
    <w:rsid w:val="1B063DBD"/>
    <w:rsid w:val="1B2604E0"/>
    <w:rsid w:val="1B571136"/>
    <w:rsid w:val="1B7A510A"/>
    <w:rsid w:val="1B8121AE"/>
    <w:rsid w:val="1B9F65F8"/>
    <w:rsid w:val="1BCE5E7B"/>
    <w:rsid w:val="1C194E07"/>
    <w:rsid w:val="1C2A5889"/>
    <w:rsid w:val="1C5A43C0"/>
    <w:rsid w:val="1C5C2071"/>
    <w:rsid w:val="1CA3249F"/>
    <w:rsid w:val="1CBD4958"/>
    <w:rsid w:val="1CE147DF"/>
    <w:rsid w:val="1CE16253"/>
    <w:rsid w:val="1D2422D8"/>
    <w:rsid w:val="1D4E55A7"/>
    <w:rsid w:val="1D6246EC"/>
    <w:rsid w:val="1D820CCE"/>
    <w:rsid w:val="1DC13FCB"/>
    <w:rsid w:val="1DC64F38"/>
    <w:rsid w:val="1E187177"/>
    <w:rsid w:val="1E544E1F"/>
    <w:rsid w:val="1EA0669C"/>
    <w:rsid w:val="1EAC6A29"/>
    <w:rsid w:val="1EC61CE4"/>
    <w:rsid w:val="1EDB32F8"/>
    <w:rsid w:val="1EF87EC0"/>
    <w:rsid w:val="1F354C71"/>
    <w:rsid w:val="1FAF4A23"/>
    <w:rsid w:val="1FBF0E74"/>
    <w:rsid w:val="20592BE1"/>
    <w:rsid w:val="20937EA1"/>
    <w:rsid w:val="20E56222"/>
    <w:rsid w:val="2116462E"/>
    <w:rsid w:val="211B3E25"/>
    <w:rsid w:val="215D2452"/>
    <w:rsid w:val="2191127D"/>
    <w:rsid w:val="21B24356"/>
    <w:rsid w:val="21B856E5"/>
    <w:rsid w:val="21C30312"/>
    <w:rsid w:val="21D4251F"/>
    <w:rsid w:val="21FE134A"/>
    <w:rsid w:val="22115DF1"/>
    <w:rsid w:val="226D4721"/>
    <w:rsid w:val="22715FC0"/>
    <w:rsid w:val="2278247A"/>
    <w:rsid w:val="22A027E5"/>
    <w:rsid w:val="22A27BFA"/>
    <w:rsid w:val="231F29E2"/>
    <w:rsid w:val="233E6DED"/>
    <w:rsid w:val="23552378"/>
    <w:rsid w:val="237F470C"/>
    <w:rsid w:val="23897677"/>
    <w:rsid w:val="23934808"/>
    <w:rsid w:val="23CD6DD9"/>
    <w:rsid w:val="23E85C22"/>
    <w:rsid w:val="241A61E3"/>
    <w:rsid w:val="24B037F0"/>
    <w:rsid w:val="24D21F8D"/>
    <w:rsid w:val="25096983"/>
    <w:rsid w:val="25227DAA"/>
    <w:rsid w:val="254C2D14"/>
    <w:rsid w:val="25545BBA"/>
    <w:rsid w:val="25573D84"/>
    <w:rsid w:val="258237DA"/>
    <w:rsid w:val="25DC0225"/>
    <w:rsid w:val="25E21092"/>
    <w:rsid w:val="25F51B47"/>
    <w:rsid w:val="261C26E6"/>
    <w:rsid w:val="26371CEA"/>
    <w:rsid w:val="265205A6"/>
    <w:rsid w:val="26812569"/>
    <w:rsid w:val="26CD39E1"/>
    <w:rsid w:val="26E96EDC"/>
    <w:rsid w:val="270B3494"/>
    <w:rsid w:val="273C28D3"/>
    <w:rsid w:val="2753038A"/>
    <w:rsid w:val="276C31F9"/>
    <w:rsid w:val="27900E2E"/>
    <w:rsid w:val="27C6290A"/>
    <w:rsid w:val="27EA6A55"/>
    <w:rsid w:val="28442C41"/>
    <w:rsid w:val="28766675"/>
    <w:rsid w:val="28A644E9"/>
    <w:rsid w:val="2907020B"/>
    <w:rsid w:val="29852351"/>
    <w:rsid w:val="29953E24"/>
    <w:rsid w:val="29CD79D1"/>
    <w:rsid w:val="29E03A2B"/>
    <w:rsid w:val="2A0519A9"/>
    <w:rsid w:val="2A1006FA"/>
    <w:rsid w:val="2A9D41C3"/>
    <w:rsid w:val="2AE069C9"/>
    <w:rsid w:val="2AF63F21"/>
    <w:rsid w:val="2AF718EF"/>
    <w:rsid w:val="2B212405"/>
    <w:rsid w:val="2B4151B3"/>
    <w:rsid w:val="2B522706"/>
    <w:rsid w:val="2B5968B1"/>
    <w:rsid w:val="2B620B9B"/>
    <w:rsid w:val="2B8313B8"/>
    <w:rsid w:val="2B977607"/>
    <w:rsid w:val="2BB65DFA"/>
    <w:rsid w:val="2BC96BAB"/>
    <w:rsid w:val="2BD15D21"/>
    <w:rsid w:val="2BF612E4"/>
    <w:rsid w:val="2CA7204B"/>
    <w:rsid w:val="2CB90C8F"/>
    <w:rsid w:val="2CC76C87"/>
    <w:rsid w:val="2CE14BB9"/>
    <w:rsid w:val="2CEC6FC0"/>
    <w:rsid w:val="2CFB2878"/>
    <w:rsid w:val="2D31594E"/>
    <w:rsid w:val="2D616C31"/>
    <w:rsid w:val="2D8660B9"/>
    <w:rsid w:val="2DA35475"/>
    <w:rsid w:val="2DBE0EBF"/>
    <w:rsid w:val="2E1F1D92"/>
    <w:rsid w:val="2E2F20CB"/>
    <w:rsid w:val="2E316BEE"/>
    <w:rsid w:val="2E422F06"/>
    <w:rsid w:val="2E6F4FA6"/>
    <w:rsid w:val="2EA52DE2"/>
    <w:rsid w:val="2EA65243"/>
    <w:rsid w:val="2F210854"/>
    <w:rsid w:val="2F3869C7"/>
    <w:rsid w:val="2F7E497B"/>
    <w:rsid w:val="2FA15A0A"/>
    <w:rsid w:val="2FA21B63"/>
    <w:rsid w:val="2FA57AF2"/>
    <w:rsid w:val="2FD933F6"/>
    <w:rsid w:val="2FEE1F30"/>
    <w:rsid w:val="30517430"/>
    <w:rsid w:val="3072158B"/>
    <w:rsid w:val="307408EE"/>
    <w:rsid w:val="309427B7"/>
    <w:rsid w:val="30A47560"/>
    <w:rsid w:val="30B8300C"/>
    <w:rsid w:val="30F47BCD"/>
    <w:rsid w:val="313169F1"/>
    <w:rsid w:val="31BC4D7D"/>
    <w:rsid w:val="32371651"/>
    <w:rsid w:val="323B4E89"/>
    <w:rsid w:val="32470AEB"/>
    <w:rsid w:val="324F174E"/>
    <w:rsid w:val="3268280F"/>
    <w:rsid w:val="326B0803"/>
    <w:rsid w:val="32757506"/>
    <w:rsid w:val="3369683F"/>
    <w:rsid w:val="337578CE"/>
    <w:rsid w:val="33797461"/>
    <w:rsid w:val="33AC2F08"/>
    <w:rsid w:val="33DB22F2"/>
    <w:rsid w:val="33E964FB"/>
    <w:rsid w:val="34BA7DA1"/>
    <w:rsid w:val="34CF48DE"/>
    <w:rsid w:val="34F20452"/>
    <w:rsid w:val="34FC1F63"/>
    <w:rsid w:val="35215623"/>
    <w:rsid w:val="352A53D8"/>
    <w:rsid w:val="35510945"/>
    <w:rsid w:val="35660427"/>
    <w:rsid w:val="357240D1"/>
    <w:rsid w:val="35886B32"/>
    <w:rsid w:val="358F22CC"/>
    <w:rsid w:val="359613EA"/>
    <w:rsid w:val="35C54496"/>
    <w:rsid w:val="360E141E"/>
    <w:rsid w:val="361E5010"/>
    <w:rsid w:val="3620093B"/>
    <w:rsid w:val="365B5831"/>
    <w:rsid w:val="3687595A"/>
    <w:rsid w:val="3691756C"/>
    <w:rsid w:val="36DF7544"/>
    <w:rsid w:val="36E25176"/>
    <w:rsid w:val="36E508D2"/>
    <w:rsid w:val="378119E4"/>
    <w:rsid w:val="37D608C7"/>
    <w:rsid w:val="37F8558D"/>
    <w:rsid w:val="383733B0"/>
    <w:rsid w:val="388F76A0"/>
    <w:rsid w:val="38907CA1"/>
    <w:rsid w:val="389664E6"/>
    <w:rsid w:val="389F2F5A"/>
    <w:rsid w:val="38B1399B"/>
    <w:rsid w:val="38DC0CB0"/>
    <w:rsid w:val="38E86458"/>
    <w:rsid w:val="38EF6DE0"/>
    <w:rsid w:val="39561614"/>
    <w:rsid w:val="397C38A6"/>
    <w:rsid w:val="39A33E38"/>
    <w:rsid w:val="39C11183"/>
    <w:rsid w:val="39D42649"/>
    <w:rsid w:val="39F41558"/>
    <w:rsid w:val="39F76E8E"/>
    <w:rsid w:val="3A704957"/>
    <w:rsid w:val="3ABC7B9C"/>
    <w:rsid w:val="3ABF1071"/>
    <w:rsid w:val="3AFD61EB"/>
    <w:rsid w:val="3B281408"/>
    <w:rsid w:val="3B4C4927"/>
    <w:rsid w:val="3B801B50"/>
    <w:rsid w:val="3B944428"/>
    <w:rsid w:val="3BA66882"/>
    <w:rsid w:val="3BE850ED"/>
    <w:rsid w:val="3C0637C5"/>
    <w:rsid w:val="3C6D76F4"/>
    <w:rsid w:val="3CA07775"/>
    <w:rsid w:val="3CCD6091"/>
    <w:rsid w:val="3CD771DF"/>
    <w:rsid w:val="3D241F0B"/>
    <w:rsid w:val="3D8E7F83"/>
    <w:rsid w:val="3D9646D4"/>
    <w:rsid w:val="3D9B1CEB"/>
    <w:rsid w:val="3DE938D4"/>
    <w:rsid w:val="3E163127"/>
    <w:rsid w:val="3E8F7BEC"/>
    <w:rsid w:val="3F7E3672"/>
    <w:rsid w:val="3FA23F61"/>
    <w:rsid w:val="3FAA1607"/>
    <w:rsid w:val="3FAD1589"/>
    <w:rsid w:val="3FC215FB"/>
    <w:rsid w:val="3FDD65EB"/>
    <w:rsid w:val="3FF20790"/>
    <w:rsid w:val="401172D8"/>
    <w:rsid w:val="401E1C34"/>
    <w:rsid w:val="402D00D0"/>
    <w:rsid w:val="40BC6B48"/>
    <w:rsid w:val="40CA6112"/>
    <w:rsid w:val="40D6196D"/>
    <w:rsid w:val="40EC3B93"/>
    <w:rsid w:val="40FB3FA6"/>
    <w:rsid w:val="41684884"/>
    <w:rsid w:val="416C231C"/>
    <w:rsid w:val="42562684"/>
    <w:rsid w:val="4285130D"/>
    <w:rsid w:val="42BD3281"/>
    <w:rsid w:val="42D77C69"/>
    <w:rsid w:val="42E3660E"/>
    <w:rsid w:val="43F070E5"/>
    <w:rsid w:val="440E044A"/>
    <w:rsid w:val="44392B7C"/>
    <w:rsid w:val="445806CA"/>
    <w:rsid w:val="44651901"/>
    <w:rsid w:val="449D27EC"/>
    <w:rsid w:val="44C304A5"/>
    <w:rsid w:val="44DD109C"/>
    <w:rsid w:val="44F854AA"/>
    <w:rsid w:val="452D3DD0"/>
    <w:rsid w:val="45B94B3A"/>
    <w:rsid w:val="45E05087"/>
    <w:rsid w:val="4602411A"/>
    <w:rsid w:val="461569C8"/>
    <w:rsid w:val="46333408"/>
    <w:rsid w:val="469A5235"/>
    <w:rsid w:val="46AA2F9F"/>
    <w:rsid w:val="46E44BBD"/>
    <w:rsid w:val="47AF6ABF"/>
    <w:rsid w:val="47B92873"/>
    <w:rsid w:val="47D35E89"/>
    <w:rsid w:val="48253F15"/>
    <w:rsid w:val="48565017"/>
    <w:rsid w:val="48651873"/>
    <w:rsid w:val="48825A47"/>
    <w:rsid w:val="48C51A45"/>
    <w:rsid w:val="48DF6083"/>
    <w:rsid w:val="490D1C87"/>
    <w:rsid w:val="49282FCC"/>
    <w:rsid w:val="49431BB4"/>
    <w:rsid w:val="494E2307"/>
    <w:rsid w:val="49507E2D"/>
    <w:rsid w:val="4957740E"/>
    <w:rsid w:val="49AA1621"/>
    <w:rsid w:val="49B900C8"/>
    <w:rsid w:val="49BF30DB"/>
    <w:rsid w:val="4A0062BD"/>
    <w:rsid w:val="4A0B1DB4"/>
    <w:rsid w:val="4A2D2426"/>
    <w:rsid w:val="4A2D5BB1"/>
    <w:rsid w:val="4A3D2AA8"/>
    <w:rsid w:val="4A4F27DB"/>
    <w:rsid w:val="4A632FEA"/>
    <w:rsid w:val="4A7B537E"/>
    <w:rsid w:val="4A8A5355"/>
    <w:rsid w:val="4ABA5399"/>
    <w:rsid w:val="4B3C5FAF"/>
    <w:rsid w:val="4B44269A"/>
    <w:rsid w:val="4B5300A9"/>
    <w:rsid w:val="4B5A1DD8"/>
    <w:rsid w:val="4B8D7117"/>
    <w:rsid w:val="4B967FB7"/>
    <w:rsid w:val="4BB5350B"/>
    <w:rsid w:val="4BCE772F"/>
    <w:rsid w:val="4C1A1C20"/>
    <w:rsid w:val="4C43011D"/>
    <w:rsid w:val="4C453E95"/>
    <w:rsid w:val="4C4648A4"/>
    <w:rsid w:val="4C475763"/>
    <w:rsid w:val="4C5139E4"/>
    <w:rsid w:val="4C602A7D"/>
    <w:rsid w:val="4C6C728C"/>
    <w:rsid w:val="4CA23096"/>
    <w:rsid w:val="4CCA79BB"/>
    <w:rsid w:val="4D3D691B"/>
    <w:rsid w:val="4DF44835"/>
    <w:rsid w:val="4E1445B3"/>
    <w:rsid w:val="4E276627"/>
    <w:rsid w:val="4E281379"/>
    <w:rsid w:val="4E4D158E"/>
    <w:rsid w:val="4E5C28EC"/>
    <w:rsid w:val="4EB470B0"/>
    <w:rsid w:val="4EBB0CBC"/>
    <w:rsid w:val="4EBE1CDD"/>
    <w:rsid w:val="4ED24A28"/>
    <w:rsid w:val="4EF179BD"/>
    <w:rsid w:val="4EF26BCE"/>
    <w:rsid w:val="4EF61477"/>
    <w:rsid w:val="4F0F42E7"/>
    <w:rsid w:val="4F29722F"/>
    <w:rsid w:val="4F317AF5"/>
    <w:rsid w:val="4F4A0B2A"/>
    <w:rsid w:val="4F512177"/>
    <w:rsid w:val="4F860A4D"/>
    <w:rsid w:val="4F8A7FFF"/>
    <w:rsid w:val="4FAF67AD"/>
    <w:rsid w:val="4FBC0F82"/>
    <w:rsid w:val="504D156B"/>
    <w:rsid w:val="507D2811"/>
    <w:rsid w:val="50A3118B"/>
    <w:rsid w:val="50A53155"/>
    <w:rsid w:val="50AB7689"/>
    <w:rsid w:val="50C24512"/>
    <w:rsid w:val="51026514"/>
    <w:rsid w:val="511D6911"/>
    <w:rsid w:val="512A365A"/>
    <w:rsid w:val="51310338"/>
    <w:rsid w:val="514429C2"/>
    <w:rsid w:val="515E1645"/>
    <w:rsid w:val="51764AF1"/>
    <w:rsid w:val="51CC2D15"/>
    <w:rsid w:val="51DB16D8"/>
    <w:rsid w:val="524708C4"/>
    <w:rsid w:val="524D5852"/>
    <w:rsid w:val="52641EA1"/>
    <w:rsid w:val="5266011F"/>
    <w:rsid w:val="52842834"/>
    <w:rsid w:val="528465BB"/>
    <w:rsid w:val="528F5E6A"/>
    <w:rsid w:val="52B07B8F"/>
    <w:rsid w:val="52B753C1"/>
    <w:rsid w:val="52D73147"/>
    <w:rsid w:val="530E4BBE"/>
    <w:rsid w:val="53176439"/>
    <w:rsid w:val="53303F2B"/>
    <w:rsid w:val="535C2459"/>
    <w:rsid w:val="536A6ACE"/>
    <w:rsid w:val="53C16CB6"/>
    <w:rsid w:val="53D52627"/>
    <w:rsid w:val="53D77A4C"/>
    <w:rsid w:val="53F2210B"/>
    <w:rsid w:val="53F80D31"/>
    <w:rsid w:val="54A110DF"/>
    <w:rsid w:val="54B54CEE"/>
    <w:rsid w:val="54BC6CBF"/>
    <w:rsid w:val="55155BF2"/>
    <w:rsid w:val="557F6076"/>
    <w:rsid w:val="55935C72"/>
    <w:rsid w:val="55943958"/>
    <w:rsid w:val="55A03EEB"/>
    <w:rsid w:val="55DB51A3"/>
    <w:rsid w:val="5613290E"/>
    <w:rsid w:val="56B0015D"/>
    <w:rsid w:val="57060380"/>
    <w:rsid w:val="570E5ABC"/>
    <w:rsid w:val="572C58C2"/>
    <w:rsid w:val="574801A4"/>
    <w:rsid w:val="574B1DBB"/>
    <w:rsid w:val="57551F6B"/>
    <w:rsid w:val="5759407B"/>
    <w:rsid w:val="575E501D"/>
    <w:rsid w:val="577756A1"/>
    <w:rsid w:val="57A31A70"/>
    <w:rsid w:val="57A37CC2"/>
    <w:rsid w:val="57F82567"/>
    <w:rsid w:val="58000079"/>
    <w:rsid w:val="58006107"/>
    <w:rsid w:val="580F5357"/>
    <w:rsid w:val="58344635"/>
    <w:rsid w:val="58823D7B"/>
    <w:rsid w:val="58DA3BB7"/>
    <w:rsid w:val="59284923"/>
    <w:rsid w:val="597968F1"/>
    <w:rsid w:val="599E2E37"/>
    <w:rsid w:val="59B3150B"/>
    <w:rsid w:val="59C31BF3"/>
    <w:rsid w:val="59C77E08"/>
    <w:rsid w:val="59D60EE2"/>
    <w:rsid w:val="59F01C15"/>
    <w:rsid w:val="59F360AA"/>
    <w:rsid w:val="5A0E050D"/>
    <w:rsid w:val="5A0F43A4"/>
    <w:rsid w:val="5A1A4800"/>
    <w:rsid w:val="5A8A1C6E"/>
    <w:rsid w:val="5B056A50"/>
    <w:rsid w:val="5B0879C1"/>
    <w:rsid w:val="5B7C4ED7"/>
    <w:rsid w:val="5B804155"/>
    <w:rsid w:val="5BB16E51"/>
    <w:rsid w:val="5BC05397"/>
    <w:rsid w:val="5BCB0256"/>
    <w:rsid w:val="5C422E4F"/>
    <w:rsid w:val="5C5C5B09"/>
    <w:rsid w:val="5CA54B51"/>
    <w:rsid w:val="5CAD44B5"/>
    <w:rsid w:val="5CE305DA"/>
    <w:rsid w:val="5CE31E05"/>
    <w:rsid w:val="5D1E1A64"/>
    <w:rsid w:val="5D526412"/>
    <w:rsid w:val="5D9B456C"/>
    <w:rsid w:val="5E732226"/>
    <w:rsid w:val="5E87020C"/>
    <w:rsid w:val="5EBA4D3E"/>
    <w:rsid w:val="5ECC55FB"/>
    <w:rsid w:val="5ED84D8A"/>
    <w:rsid w:val="5F136F3A"/>
    <w:rsid w:val="5F177540"/>
    <w:rsid w:val="5F1809F0"/>
    <w:rsid w:val="5F521788"/>
    <w:rsid w:val="5FB26403"/>
    <w:rsid w:val="5FC633AC"/>
    <w:rsid w:val="5FD64B4D"/>
    <w:rsid w:val="608D5073"/>
    <w:rsid w:val="60934D78"/>
    <w:rsid w:val="60A07495"/>
    <w:rsid w:val="60CF188C"/>
    <w:rsid w:val="60D233A9"/>
    <w:rsid w:val="60E6197D"/>
    <w:rsid w:val="60F17CF0"/>
    <w:rsid w:val="61552C1D"/>
    <w:rsid w:val="61690053"/>
    <w:rsid w:val="617E4C34"/>
    <w:rsid w:val="61A86761"/>
    <w:rsid w:val="61F07D09"/>
    <w:rsid w:val="621D78F7"/>
    <w:rsid w:val="622761A1"/>
    <w:rsid w:val="62377985"/>
    <w:rsid w:val="62397BA1"/>
    <w:rsid w:val="623A3B65"/>
    <w:rsid w:val="628A0D3C"/>
    <w:rsid w:val="63123C13"/>
    <w:rsid w:val="63184E76"/>
    <w:rsid w:val="632E7EA5"/>
    <w:rsid w:val="639336B7"/>
    <w:rsid w:val="63AB4186"/>
    <w:rsid w:val="63E063A9"/>
    <w:rsid w:val="64495241"/>
    <w:rsid w:val="647C0409"/>
    <w:rsid w:val="649C7005"/>
    <w:rsid w:val="64B5468E"/>
    <w:rsid w:val="64E46C19"/>
    <w:rsid w:val="655824E7"/>
    <w:rsid w:val="65914E14"/>
    <w:rsid w:val="65B5753E"/>
    <w:rsid w:val="65C920FD"/>
    <w:rsid w:val="65D911ED"/>
    <w:rsid w:val="65F918CA"/>
    <w:rsid w:val="6622616C"/>
    <w:rsid w:val="66316133"/>
    <w:rsid w:val="66495ED8"/>
    <w:rsid w:val="66665541"/>
    <w:rsid w:val="6679056C"/>
    <w:rsid w:val="66A82BFF"/>
    <w:rsid w:val="66C20165"/>
    <w:rsid w:val="66C3148E"/>
    <w:rsid w:val="672938A2"/>
    <w:rsid w:val="67366396"/>
    <w:rsid w:val="67430B73"/>
    <w:rsid w:val="674E7D7F"/>
    <w:rsid w:val="6755677A"/>
    <w:rsid w:val="67852F40"/>
    <w:rsid w:val="67A94E81"/>
    <w:rsid w:val="67C82C7D"/>
    <w:rsid w:val="67D80005"/>
    <w:rsid w:val="67E6412F"/>
    <w:rsid w:val="68023194"/>
    <w:rsid w:val="684F3696"/>
    <w:rsid w:val="68C46512"/>
    <w:rsid w:val="68D51CA5"/>
    <w:rsid w:val="69245608"/>
    <w:rsid w:val="694035C3"/>
    <w:rsid w:val="69407A67"/>
    <w:rsid w:val="695423FF"/>
    <w:rsid w:val="699D0A15"/>
    <w:rsid w:val="69E76134"/>
    <w:rsid w:val="69F06D97"/>
    <w:rsid w:val="6A2137C1"/>
    <w:rsid w:val="6A470981"/>
    <w:rsid w:val="6A4B3567"/>
    <w:rsid w:val="6A505A87"/>
    <w:rsid w:val="6A5D659B"/>
    <w:rsid w:val="6A7204BD"/>
    <w:rsid w:val="6A8219B9"/>
    <w:rsid w:val="6ABE0C43"/>
    <w:rsid w:val="6ABF49BB"/>
    <w:rsid w:val="6AD85943"/>
    <w:rsid w:val="6B014FD4"/>
    <w:rsid w:val="6B2D386B"/>
    <w:rsid w:val="6B6E5445"/>
    <w:rsid w:val="6B871A7C"/>
    <w:rsid w:val="6B8D6867"/>
    <w:rsid w:val="6BC12AD2"/>
    <w:rsid w:val="6BF1619D"/>
    <w:rsid w:val="6C156F89"/>
    <w:rsid w:val="6C367643"/>
    <w:rsid w:val="6C4F4735"/>
    <w:rsid w:val="6C7472EF"/>
    <w:rsid w:val="6C9D0D2C"/>
    <w:rsid w:val="6CAB3449"/>
    <w:rsid w:val="6CBD64D2"/>
    <w:rsid w:val="6CF956D0"/>
    <w:rsid w:val="6CFE17CB"/>
    <w:rsid w:val="6D097EC3"/>
    <w:rsid w:val="6D255409"/>
    <w:rsid w:val="6D4C4F50"/>
    <w:rsid w:val="6D5056EE"/>
    <w:rsid w:val="6DA51E65"/>
    <w:rsid w:val="6DAF46E4"/>
    <w:rsid w:val="6DCF467B"/>
    <w:rsid w:val="6DF1132F"/>
    <w:rsid w:val="6E02353D"/>
    <w:rsid w:val="6E1F7508"/>
    <w:rsid w:val="6E2E4063"/>
    <w:rsid w:val="6E7A3B2D"/>
    <w:rsid w:val="6E9435BA"/>
    <w:rsid w:val="6F377216"/>
    <w:rsid w:val="6F7264A0"/>
    <w:rsid w:val="6F9C5852"/>
    <w:rsid w:val="6FB22D40"/>
    <w:rsid w:val="6FF173C5"/>
    <w:rsid w:val="6FF37601"/>
    <w:rsid w:val="708A0F59"/>
    <w:rsid w:val="70F339EB"/>
    <w:rsid w:val="711F4406"/>
    <w:rsid w:val="7154037D"/>
    <w:rsid w:val="71551BD5"/>
    <w:rsid w:val="71557E27"/>
    <w:rsid w:val="719A5669"/>
    <w:rsid w:val="71A02ADC"/>
    <w:rsid w:val="71F621BB"/>
    <w:rsid w:val="723839D1"/>
    <w:rsid w:val="72545C72"/>
    <w:rsid w:val="72615CC6"/>
    <w:rsid w:val="732800D8"/>
    <w:rsid w:val="7332261A"/>
    <w:rsid w:val="733D54C3"/>
    <w:rsid w:val="73526BE4"/>
    <w:rsid w:val="73645B7A"/>
    <w:rsid w:val="747C76EC"/>
    <w:rsid w:val="74B80BDB"/>
    <w:rsid w:val="74BB61F3"/>
    <w:rsid w:val="751B4EE4"/>
    <w:rsid w:val="75263FB5"/>
    <w:rsid w:val="75491A51"/>
    <w:rsid w:val="75630D65"/>
    <w:rsid w:val="75640639"/>
    <w:rsid w:val="75695AE6"/>
    <w:rsid w:val="75B255EF"/>
    <w:rsid w:val="761E2EDE"/>
    <w:rsid w:val="76621D63"/>
    <w:rsid w:val="76D4359C"/>
    <w:rsid w:val="76F673ED"/>
    <w:rsid w:val="77115B46"/>
    <w:rsid w:val="7720462A"/>
    <w:rsid w:val="7725411F"/>
    <w:rsid w:val="77277B70"/>
    <w:rsid w:val="77305701"/>
    <w:rsid w:val="775238BE"/>
    <w:rsid w:val="77903EA6"/>
    <w:rsid w:val="77A56C97"/>
    <w:rsid w:val="77D378FF"/>
    <w:rsid w:val="77DA4FEF"/>
    <w:rsid w:val="784C1F84"/>
    <w:rsid w:val="78633F33"/>
    <w:rsid w:val="786A0598"/>
    <w:rsid w:val="78A74CC3"/>
    <w:rsid w:val="78AA2807"/>
    <w:rsid w:val="78B8161B"/>
    <w:rsid w:val="78C87131"/>
    <w:rsid w:val="78CB6FBD"/>
    <w:rsid w:val="78EC549A"/>
    <w:rsid w:val="7902466F"/>
    <w:rsid w:val="792265D2"/>
    <w:rsid w:val="793B3DA7"/>
    <w:rsid w:val="794A172E"/>
    <w:rsid w:val="796E6E64"/>
    <w:rsid w:val="79794DDA"/>
    <w:rsid w:val="797F5A41"/>
    <w:rsid w:val="79AB6FC2"/>
    <w:rsid w:val="79DC0B7B"/>
    <w:rsid w:val="7A222C5F"/>
    <w:rsid w:val="7A396538"/>
    <w:rsid w:val="7A5C4D93"/>
    <w:rsid w:val="7AAE210B"/>
    <w:rsid w:val="7AF1296F"/>
    <w:rsid w:val="7AFD18AC"/>
    <w:rsid w:val="7B086E11"/>
    <w:rsid w:val="7B0F7299"/>
    <w:rsid w:val="7B18439F"/>
    <w:rsid w:val="7B2D4678"/>
    <w:rsid w:val="7B737828"/>
    <w:rsid w:val="7B7B048A"/>
    <w:rsid w:val="7B9A6B62"/>
    <w:rsid w:val="7BB86445"/>
    <w:rsid w:val="7BC94B17"/>
    <w:rsid w:val="7BE81FC4"/>
    <w:rsid w:val="7BF0277D"/>
    <w:rsid w:val="7C507B69"/>
    <w:rsid w:val="7C574A54"/>
    <w:rsid w:val="7C86646D"/>
    <w:rsid w:val="7D16490F"/>
    <w:rsid w:val="7D1B5B99"/>
    <w:rsid w:val="7D285EC2"/>
    <w:rsid w:val="7D863BB0"/>
    <w:rsid w:val="7DBA173E"/>
    <w:rsid w:val="7DD80DFC"/>
    <w:rsid w:val="7DDD542C"/>
    <w:rsid w:val="7DE40F4A"/>
    <w:rsid w:val="7E0835B5"/>
    <w:rsid w:val="7E0B62F8"/>
    <w:rsid w:val="7E132BFC"/>
    <w:rsid w:val="7E754C2A"/>
    <w:rsid w:val="7EFF7910"/>
    <w:rsid w:val="7F280929"/>
    <w:rsid w:val="7F2D18D7"/>
    <w:rsid w:val="7F4E220C"/>
    <w:rsid w:val="7F796B98"/>
    <w:rsid w:val="7F9D30C5"/>
    <w:rsid w:val="7FCE14D1"/>
    <w:rsid w:val="7FDD0F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99" w:semiHidden="0" w:name="heading 1"/>
    <w:lsdException w:qFormat="1" w:unhideWhenUsed="0" w:uiPriority="99" w:semiHidden="0" w:name="heading 2"/>
    <w:lsdException w:qFormat="1" w:uiPriority="9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99"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qFormat="1"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99" w:semiHidden="0" w:name="Table Grid"/>
    <w:lsdException w:uiPriority="99"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adjustRightInd w:val="0"/>
      <w:snapToGrid w:val="0"/>
      <w:spacing w:line="360" w:lineRule="auto"/>
      <w:ind w:firstLine="560" w:firstLineChars="200"/>
      <w:jc w:val="both"/>
    </w:pPr>
    <w:rPr>
      <w:rFonts w:ascii="Times New Roman" w:hAnsi="Times New Roman" w:eastAsia="仿宋_GB2312" w:cs="Times New Roman"/>
      <w:color w:val="000000" w:themeColor="text1"/>
      <w:sz w:val="28"/>
      <w:szCs w:val="28"/>
      <w:lang w:val="en-US" w:eastAsia="zh-CN" w:bidi="zh-CN"/>
      <w14:textFill>
        <w14:solidFill>
          <w14:schemeClr w14:val="tx1"/>
        </w14:solidFill>
      </w14:textFill>
    </w:rPr>
  </w:style>
  <w:style w:type="paragraph" w:styleId="2">
    <w:name w:val="heading 1"/>
    <w:basedOn w:val="1"/>
    <w:next w:val="1"/>
    <w:link w:val="35"/>
    <w:qFormat/>
    <w:uiPriority w:val="99"/>
    <w:pPr>
      <w:spacing w:before="54"/>
      <w:ind w:right="45" w:firstLine="0" w:firstLineChars="0"/>
      <w:jc w:val="center"/>
      <w:outlineLvl w:val="0"/>
    </w:pPr>
    <w:rPr>
      <w:rFonts w:ascii="黑体" w:hAnsi="黑体" w:eastAsia="黑体" w:cs="黑体"/>
      <w:sz w:val="32"/>
      <w:szCs w:val="32"/>
    </w:rPr>
  </w:style>
  <w:style w:type="paragraph" w:styleId="3">
    <w:name w:val="heading 2"/>
    <w:basedOn w:val="1"/>
    <w:next w:val="4"/>
    <w:link w:val="36"/>
    <w:qFormat/>
    <w:uiPriority w:val="99"/>
    <w:pPr>
      <w:ind w:firstLine="0" w:firstLineChars="0"/>
      <w:outlineLvl w:val="1"/>
    </w:pPr>
    <w:rPr>
      <w:b/>
      <w:bCs/>
      <w:sz w:val="30"/>
      <w:szCs w:val="30"/>
    </w:rPr>
  </w:style>
  <w:style w:type="paragraph" w:styleId="4">
    <w:name w:val="heading 3"/>
    <w:basedOn w:val="1"/>
    <w:next w:val="1"/>
    <w:link w:val="37"/>
    <w:unhideWhenUsed/>
    <w:qFormat/>
    <w:uiPriority w:val="99"/>
    <w:pPr>
      <w:keepNext/>
      <w:keepLines/>
      <w:ind w:firstLine="0" w:firstLineChars="0"/>
      <w:outlineLvl w:val="2"/>
    </w:pPr>
    <w:rPr>
      <w:b/>
      <w:bCs/>
      <w:szCs w:val="32"/>
    </w:rPr>
  </w:style>
  <w:style w:type="paragraph" w:styleId="5">
    <w:name w:val="heading 4"/>
    <w:basedOn w:val="1"/>
    <w:next w:val="1"/>
    <w:link w:val="56"/>
    <w:unhideWhenUsed/>
    <w:qFormat/>
    <w:uiPriority w:val="9"/>
    <w:pPr>
      <w:keepNext/>
      <w:keepLines/>
      <w:ind w:firstLine="0" w:firstLineChars="0"/>
      <w:outlineLvl w:val="3"/>
    </w:pPr>
    <w:rPr>
      <w:b/>
      <w:bCs/>
      <w:color w:val="auto"/>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1680"/>
    </w:pPr>
    <w:rPr>
      <w:rFonts w:asciiTheme="minorHAnsi" w:eastAsiaTheme="minorHAnsi"/>
      <w:sz w:val="18"/>
      <w:szCs w:val="18"/>
    </w:rPr>
  </w:style>
  <w:style w:type="paragraph" w:styleId="7">
    <w:name w:val="annotation text"/>
    <w:basedOn w:val="1"/>
    <w:link w:val="47"/>
    <w:unhideWhenUsed/>
    <w:qFormat/>
    <w:uiPriority w:val="99"/>
  </w:style>
  <w:style w:type="paragraph" w:styleId="8">
    <w:name w:val="Body Text"/>
    <w:basedOn w:val="1"/>
    <w:link w:val="34"/>
    <w:qFormat/>
    <w:uiPriority w:val="99"/>
    <w:pPr>
      <w:wordWrap w:val="0"/>
    </w:pPr>
  </w:style>
  <w:style w:type="paragraph" w:styleId="9">
    <w:name w:val="Body Text Indent"/>
    <w:basedOn w:val="1"/>
    <w:link w:val="40"/>
    <w:semiHidden/>
    <w:unhideWhenUsed/>
    <w:qFormat/>
    <w:uiPriority w:val="99"/>
    <w:pPr>
      <w:spacing w:after="120"/>
      <w:ind w:left="420" w:leftChars="200"/>
    </w:pPr>
  </w:style>
  <w:style w:type="paragraph" w:styleId="10">
    <w:name w:val="toc 5"/>
    <w:basedOn w:val="1"/>
    <w:next w:val="1"/>
    <w:unhideWhenUsed/>
    <w:qFormat/>
    <w:uiPriority w:val="39"/>
    <w:pPr>
      <w:ind w:left="1120"/>
    </w:pPr>
    <w:rPr>
      <w:rFonts w:asciiTheme="minorHAnsi" w:eastAsiaTheme="minorHAnsi"/>
      <w:sz w:val="18"/>
      <w:szCs w:val="18"/>
    </w:rPr>
  </w:style>
  <w:style w:type="paragraph" w:styleId="11">
    <w:name w:val="toc 3"/>
    <w:basedOn w:val="1"/>
    <w:next w:val="1"/>
    <w:unhideWhenUsed/>
    <w:qFormat/>
    <w:uiPriority w:val="39"/>
    <w:pPr>
      <w:ind w:left="560"/>
    </w:pPr>
    <w:rPr>
      <w:rFonts w:asciiTheme="minorHAnsi" w:eastAsiaTheme="minorHAnsi"/>
      <w:i/>
      <w:iCs/>
      <w:sz w:val="20"/>
      <w:szCs w:val="20"/>
    </w:rPr>
  </w:style>
  <w:style w:type="paragraph" w:styleId="12">
    <w:name w:val="toc 8"/>
    <w:basedOn w:val="1"/>
    <w:next w:val="1"/>
    <w:unhideWhenUsed/>
    <w:qFormat/>
    <w:uiPriority w:val="39"/>
    <w:pPr>
      <w:ind w:left="1960"/>
    </w:pPr>
    <w:rPr>
      <w:rFonts w:asciiTheme="minorHAnsi" w:eastAsiaTheme="minorHAnsi"/>
      <w:sz w:val="18"/>
      <w:szCs w:val="18"/>
    </w:rPr>
  </w:style>
  <w:style w:type="paragraph" w:styleId="13">
    <w:name w:val="Date"/>
    <w:basedOn w:val="1"/>
    <w:next w:val="1"/>
    <w:link w:val="49"/>
    <w:semiHidden/>
    <w:unhideWhenUsed/>
    <w:qFormat/>
    <w:uiPriority w:val="99"/>
    <w:pPr>
      <w:ind w:left="100" w:leftChars="2500"/>
    </w:pPr>
  </w:style>
  <w:style w:type="paragraph" w:styleId="14">
    <w:name w:val="Balloon Text"/>
    <w:basedOn w:val="1"/>
    <w:link w:val="46"/>
    <w:semiHidden/>
    <w:unhideWhenUsed/>
    <w:qFormat/>
    <w:uiPriority w:val="99"/>
    <w:pPr>
      <w:spacing w:line="240" w:lineRule="auto"/>
    </w:pPr>
    <w:rPr>
      <w:sz w:val="18"/>
      <w:szCs w:val="18"/>
    </w:rPr>
  </w:style>
  <w:style w:type="paragraph" w:styleId="15">
    <w:name w:val="footer"/>
    <w:basedOn w:val="1"/>
    <w:link w:val="39"/>
    <w:unhideWhenUsed/>
    <w:qFormat/>
    <w:uiPriority w:val="99"/>
    <w:pPr>
      <w:tabs>
        <w:tab w:val="center" w:pos="4153"/>
        <w:tab w:val="right" w:pos="8306"/>
      </w:tabs>
    </w:pPr>
    <w:rPr>
      <w:sz w:val="18"/>
      <w:szCs w:val="18"/>
    </w:rPr>
  </w:style>
  <w:style w:type="paragraph" w:styleId="16">
    <w:name w:val="header"/>
    <w:basedOn w:val="1"/>
    <w:link w:val="38"/>
    <w:unhideWhenUsed/>
    <w:qFormat/>
    <w:uiPriority w:val="99"/>
    <w:pPr>
      <w:pBdr>
        <w:bottom w:val="single" w:color="auto" w:sz="6" w:space="1"/>
      </w:pBdr>
      <w:tabs>
        <w:tab w:val="center" w:pos="4153"/>
        <w:tab w:val="right" w:pos="8306"/>
      </w:tabs>
      <w:spacing w:line="240" w:lineRule="auto"/>
      <w:ind w:firstLine="360"/>
      <w:jc w:val="center"/>
    </w:pPr>
    <w:rPr>
      <w:sz w:val="18"/>
      <w:szCs w:val="18"/>
    </w:rPr>
  </w:style>
  <w:style w:type="paragraph" w:styleId="17">
    <w:name w:val="toc 1"/>
    <w:basedOn w:val="1"/>
    <w:next w:val="1"/>
    <w:unhideWhenUsed/>
    <w:qFormat/>
    <w:uiPriority w:val="39"/>
    <w:pPr>
      <w:tabs>
        <w:tab w:val="right" w:leader="dot" w:pos="9130"/>
      </w:tabs>
      <w:ind w:firstLine="0" w:firstLineChars="0"/>
      <w:jc w:val="center"/>
    </w:pPr>
    <w:rPr>
      <w:rFonts w:ascii="宋体" w:hAnsi="宋体" w:eastAsia="宋体"/>
      <w:b/>
      <w:bCs/>
      <w:caps/>
      <w:color w:val="auto"/>
      <w:sz w:val="32"/>
      <w:szCs w:val="32"/>
    </w:rPr>
  </w:style>
  <w:style w:type="paragraph" w:styleId="18">
    <w:name w:val="toc 4"/>
    <w:basedOn w:val="1"/>
    <w:next w:val="1"/>
    <w:unhideWhenUsed/>
    <w:qFormat/>
    <w:uiPriority w:val="39"/>
    <w:pPr>
      <w:ind w:left="840"/>
    </w:pPr>
    <w:rPr>
      <w:rFonts w:asciiTheme="minorHAnsi" w:eastAsiaTheme="minorHAnsi"/>
      <w:sz w:val="18"/>
      <w:szCs w:val="18"/>
    </w:rPr>
  </w:style>
  <w:style w:type="paragraph" w:styleId="19">
    <w:name w:val="toc 6"/>
    <w:basedOn w:val="1"/>
    <w:next w:val="1"/>
    <w:unhideWhenUsed/>
    <w:qFormat/>
    <w:uiPriority w:val="39"/>
    <w:pPr>
      <w:ind w:left="1400"/>
    </w:pPr>
    <w:rPr>
      <w:rFonts w:asciiTheme="minorHAnsi" w:eastAsiaTheme="minorHAnsi"/>
      <w:sz w:val="18"/>
      <w:szCs w:val="18"/>
    </w:rPr>
  </w:style>
  <w:style w:type="paragraph" w:styleId="20">
    <w:name w:val="toc 2"/>
    <w:basedOn w:val="1"/>
    <w:next w:val="1"/>
    <w:unhideWhenUsed/>
    <w:qFormat/>
    <w:uiPriority w:val="39"/>
    <w:pPr>
      <w:ind w:left="280"/>
    </w:pPr>
    <w:rPr>
      <w:rFonts w:asciiTheme="minorHAnsi" w:eastAsiaTheme="minorHAnsi"/>
      <w:smallCaps/>
      <w:sz w:val="20"/>
      <w:szCs w:val="20"/>
    </w:rPr>
  </w:style>
  <w:style w:type="paragraph" w:styleId="21">
    <w:name w:val="toc 9"/>
    <w:basedOn w:val="1"/>
    <w:next w:val="1"/>
    <w:unhideWhenUsed/>
    <w:qFormat/>
    <w:uiPriority w:val="39"/>
    <w:pPr>
      <w:ind w:left="2240"/>
    </w:pPr>
    <w:rPr>
      <w:rFonts w:asciiTheme="minorHAnsi" w:eastAsiaTheme="minorHAnsi"/>
      <w:sz w:val="18"/>
      <w:szCs w:val="18"/>
    </w:rPr>
  </w:style>
  <w:style w:type="paragraph" w:styleId="22">
    <w:name w:val="Normal (Web)"/>
    <w:basedOn w:val="1"/>
    <w:unhideWhenUsed/>
    <w:qFormat/>
    <w:uiPriority w:val="99"/>
    <w:pPr>
      <w:widowControl/>
      <w:spacing w:before="100" w:beforeAutospacing="1" w:after="100" w:afterAutospacing="1"/>
    </w:pPr>
    <w:rPr>
      <w:rFonts w:hint="eastAsia" w:ascii="Arial Unicode MS" w:hAnsi="Arial Unicode MS" w:eastAsia="Arial Unicode MS"/>
      <w:sz w:val="24"/>
      <w:szCs w:val="24"/>
    </w:rPr>
  </w:style>
  <w:style w:type="paragraph" w:styleId="23">
    <w:name w:val="annotation subject"/>
    <w:basedOn w:val="7"/>
    <w:next w:val="7"/>
    <w:link w:val="50"/>
    <w:semiHidden/>
    <w:unhideWhenUsed/>
    <w:qFormat/>
    <w:uiPriority w:val="99"/>
    <w:rPr>
      <w:b/>
      <w:bCs/>
    </w:rPr>
  </w:style>
  <w:style w:type="paragraph" w:styleId="24">
    <w:name w:val="Body Text First Indent 2"/>
    <w:basedOn w:val="9"/>
    <w:link w:val="41"/>
    <w:semiHidden/>
    <w:unhideWhenUsed/>
    <w:qFormat/>
    <w:uiPriority w:val="99"/>
    <w:pPr>
      <w:adjustRightInd/>
      <w:snapToGrid/>
      <w:spacing w:line="240" w:lineRule="auto"/>
      <w:ind w:firstLine="420"/>
    </w:pPr>
    <w:rPr>
      <w:sz w:val="22"/>
    </w:rPr>
  </w:style>
  <w:style w:type="table" w:styleId="26">
    <w:name w:val="Table Grid"/>
    <w:basedOn w:val="25"/>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uiPriority w:val="22"/>
    <w:rPr>
      <w:b/>
    </w:rPr>
  </w:style>
  <w:style w:type="character" w:styleId="29">
    <w:name w:val="FollowedHyperlink"/>
    <w:basedOn w:val="27"/>
    <w:unhideWhenUsed/>
    <w:qFormat/>
    <w:uiPriority w:val="99"/>
    <w:rPr>
      <w:color w:val="800080"/>
      <w:u w:val="single"/>
    </w:rPr>
  </w:style>
  <w:style w:type="character" w:styleId="30">
    <w:name w:val="Emphasis"/>
    <w:basedOn w:val="27"/>
    <w:qFormat/>
    <w:uiPriority w:val="20"/>
    <w:rPr>
      <w:i/>
    </w:rPr>
  </w:style>
  <w:style w:type="character" w:styleId="31">
    <w:name w:val="Hyperlink"/>
    <w:basedOn w:val="27"/>
    <w:unhideWhenUsed/>
    <w:qFormat/>
    <w:uiPriority w:val="99"/>
    <w:rPr>
      <w:color w:val="0563C1" w:themeColor="hyperlink"/>
      <w:u w:val="single"/>
      <w14:textFill>
        <w14:solidFill>
          <w14:schemeClr w14:val="hlink"/>
        </w14:solidFill>
      </w14:textFill>
    </w:rPr>
  </w:style>
  <w:style w:type="character" w:styleId="32">
    <w:name w:val="annotation reference"/>
    <w:basedOn w:val="27"/>
    <w:semiHidden/>
    <w:unhideWhenUsed/>
    <w:qFormat/>
    <w:uiPriority w:val="99"/>
    <w:rPr>
      <w:sz w:val="21"/>
      <w:szCs w:val="21"/>
    </w:rPr>
  </w:style>
  <w:style w:type="paragraph" w:customStyle="1" w:styleId="33">
    <w:name w:val="Default"/>
    <w:qFormat/>
    <w:uiPriority w:val="0"/>
    <w:pPr>
      <w:widowControl w:val="0"/>
      <w:autoSpaceDE w:val="0"/>
      <w:autoSpaceDN w:val="0"/>
      <w:adjustRightInd w:val="0"/>
      <w:jc w:val="center"/>
    </w:pPr>
    <w:rPr>
      <w:rFonts w:ascii="Times New Roman" w:hAnsi="Times New Roman" w:eastAsia="仿宋_GB2312" w:cs="Times New Roman"/>
      <w:color w:val="000000" w:themeColor="text1"/>
      <w:sz w:val="44"/>
      <w:szCs w:val="44"/>
      <w:lang w:val="en-US" w:eastAsia="zh-CN" w:bidi="ar-SA"/>
      <w14:textFill>
        <w14:solidFill>
          <w14:schemeClr w14:val="tx1"/>
        </w14:solidFill>
      </w14:textFill>
    </w:rPr>
  </w:style>
  <w:style w:type="character" w:customStyle="1" w:styleId="34">
    <w:name w:val="正文文本 字符"/>
    <w:basedOn w:val="27"/>
    <w:link w:val="8"/>
    <w:qFormat/>
    <w:uiPriority w:val="99"/>
    <w:rPr>
      <w:rFonts w:ascii="仿宋" w:hAnsi="仿宋" w:eastAsia="仿宋" w:cs="仿宋"/>
      <w:sz w:val="28"/>
      <w:szCs w:val="28"/>
      <w:lang w:val="zh-CN" w:bidi="zh-CN"/>
    </w:rPr>
  </w:style>
  <w:style w:type="character" w:customStyle="1" w:styleId="35">
    <w:name w:val="标题 1 字符"/>
    <w:basedOn w:val="27"/>
    <w:link w:val="2"/>
    <w:qFormat/>
    <w:uiPriority w:val="99"/>
    <w:rPr>
      <w:rFonts w:ascii="黑体" w:hAnsi="黑体" w:eastAsia="黑体" w:cs="黑体"/>
      <w:kern w:val="0"/>
      <w:sz w:val="32"/>
      <w:szCs w:val="32"/>
      <w:lang w:val="zh-CN" w:bidi="zh-CN"/>
    </w:rPr>
  </w:style>
  <w:style w:type="character" w:customStyle="1" w:styleId="36">
    <w:name w:val="标题 2 字符"/>
    <w:basedOn w:val="27"/>
    <w:link w:val="3"/>
    <w:qFormat/>
    <w:uiPriority w:val="99"/>
    <w:rPr>
      <w:rFonts w:ascii="仿宋" w:hAnsi="仿宋" w:eastAsia="仿宋" w:cs="仿宋"/>
      <w:b/>
      <w:bCs/>
      <w:kern w:val="0"/>
      <w:sz w:val="30"/>
      <w:szCs w:val="30"/>
      <w:lang w:val="zh-CN" w:bidi="zh-CN"/>
    </w:rPr>
  </w:style>
  <w:style w:type="character" w:customStyle="1" w:styleId="37">
    <w:name w:val="标题 3 字符"/>
    <w:basedOn w:val="27"/>
    <w:link w:val="4"/>
    <w:qFormat/>
    <w:uiPriority w:val="99"/>
    <w:rPr>
      <w:rFonts w:ascii="Times New Roman" w:hAnsi="Times New Roman" w:eastAsia="仿宋" w:cs="仿宋"/>
      <w:b/>
      <w:bCs/>
      <w:kern w:val="0"/>
      <w:sz w:val="28"/>
      <w:szCs w:val="32"/>
      <w:lang w:val="zh-CN" w:bidi="zh-CN"/>
    </w:rPr>
  </w:style>
  <w:style w:type="character" w:customStyle="1" w:styleId="38">
    <w:name w:val="页眉 字符"/>
    <w:basedOn w:val="27"/>
    <w:link w:val="16"/>
    <w:qFormat/>
    <w:uiPriority w:val="99"/>
    <w:rPr>
      <w:rFonts w:eastAsia="仿宋_GB2312"/>
      <w:color w:val="000000" w:themeColor="text1"/>
      <w:sz w:val="18"/>
      <w:szCs w:val="18"/>
      <w:lang w:bidi="zh-CN"/>
      <w14:textFill>
        <w14:solidFill>
          <w14:schemeClr w14:val="tx1"/>
        </w14:solidFill>
      </w14:textFill>
    </w:rPr>
  </w:style>
  <w:style w:type="character" w:customStyle="1" w:styleId="39">
    <w:name w:val="页脚 字符"/>
    <w:basedOn w:val="27"/>
    <w:link w:val="15"/>
    <w:qFormat/>
    <w:uiPriority w:val="99"/>
    <w:rPr>
      <w:rFonts w:ascii="仿宋" w:hAnsi="仿宋" w:eastAsia="仿宋" w:cs="仿宋"/>
      <w:kern w:val="0"/>
      <w:sz w:val="18"/>
      <w:szCs w:val="18"/>
      <w:lang w:val="zh-CN" w:bidi="zh-CN"/>
    </w:rPr>
  </w:style>
  <w:style w:type="character" w:customStyle="1" w:styleId="40">
    <w:name w:val="正文文本缩进 字符"/>
    <w:basedOn w:val="27"/>
    <w:link w:val="9"/>
    <w:semiHidden/>
    <w:qFormat/>
    <w:uiPriority w:val="99"/>
    <w:rPr>
      <w:rFonts w:ascii="仿宋" w:hAnsi="仿宋" w:eastAsia="仿宋" w:cs="仿宋"/>
      <w:kern w:val="0"/>
      <w:sz w:val="28"/>
      <w:lang w:val="zh-CN" w:bidi="zh-CN"/>
    </w:rPr>
  </w:style>
  <w:style w:type="character" w:customStyle="1" w:styleId="41">
    <w:name w:val="正文文本首行缩进 2 字符"/>
    <w:basedOn w:val="40"/>
    <w:link w:val="24"/>
    <w:semiHidden/>
    <w:qFormat/>
    <w:uiPriority w:val="99"/>
    <w:rPr>
      <w:rFonts w:ascii="仿宋" w:hAnsi="仿宋" w:eastAsia="仿宋" w:cs="仿宋"/>
      <w:kern w:val="0"/>
      <w:sz w:val="22"/>
      <w:lang w:val="zh-CN" w:bidi="zh-CN"/>
    </w:rPr>
  </w:style>
  <w:style w:type="character" w:customStyle="1" w:styleId="42">
    <w:name w:val="无间隔 字符"/>
    <w:link w:val="43"/>
    <w:qFormat/>
    <w:uiPriority w:val="0"/>
    <w:rPr>
      <w:rFonts w:ascii="Times New Roman" w:hAnsi="Times New Roman"/>
      <w:sz w:val="24"/>
    </w:rPr>
  </w:style>
  <w:style w:type="paragraph" w:styleId="43">
    <w:name w:val="No Spacing"/>
    <w:link w:val="42"/>
    <w:qFormat/>
    <w:uiPriority w:val="0"/>
    <w:pPr>
      <w:widowControl w:val="0"/>
      <w:spacing w:line="300" w:lineRule="auto"/>
      <w:jc w:val="center"/>
    </w:pPr>
    <w:rPr>
      <w:rFonts w:ascii="Times New Roman" w:hAnsi="Times New Roman" w:eastAsiaTheme="minorEastAsia" w:cstheme="minorBidi"/>
      <w:kern w:val="2"/>
      <w:sz w:val="24"/>
      <w:szCs w:val="22"/>
      <w:lang w:val="en-US" w:eastAsia="zh-CN" w:bidi="ar-SA"/>
    </w:rPr>
  </w:style>
  <w:style w:type="paragraph" w:customStyle="1" w:styleId="44">
    <w:name w:val="图表标题"/>
    <w:qFormat/>
    <w:uiPriority w:val="0"/>
    <w:pPr>
      <w:widowControl w:val="0"/>
      <w:spacing w:before="120" w:after="120"/>
      <w:jc w:val="center"/>
    </w:pPr>
    <w:rPr>
      <w:rFonts w:ascii="仿宋_GB2312" w:hAnsi="华文仿宋" w:eastAsia="宋体" w:cs="Times New Roman"/>
      <w:kern w:val="2"/>
      <w:sz w:val="24"/>
      <w:szCs w:val="24"/>
      <w:lang w:val="en-US" w:eastAsia="zh-CN" w:bidi="ar-SA"/>
    </w:rPr>
  </w:style>
  <w:style w:type="paragraph" w:styleId="45">
    <w:name w:val="List Paragraph"/>
    <w:basedOn w:val="1"/>
    <w:qFormat/>
    <w:uiPriority w:val="1"/>
    <w:pPr>
      <w:adjustRightInd/>
      <w:snapToGrid/>
      <w:spacing w:line="240" w:lineRule="auto"/>
      <w:ind w:left="848" w:hanging="721" w:firstLineChars="0"/>
    </w:pPr>
    <w:rPr>
      <w:sz w:val="22"/>
    </w:rPr>
  </w:style>
  <w:style w:type="character" w:customStyle="1" w:styleId="46">
    <w:name w:val="批注框文本 字符"/>
    <w:basedOn w:val="27"/>
    <w:link w:val="14"/>
    <w:semiHidden/>
    <w:qFormat/>
    <w:uiPriority w:val="99"/>
    <w:rPr>
      <w:rFonts w:ascii="仿宋" w:hAnsi="仿宋" w:eastAsia="仿宋" w:cs="仿宋"/>
      <w:kern w:val="0"/>
      <w:sz w:val="18"/>
      <w:szCs w:val="18"/>
      <w:lang w:val="zh-CN" w:bidi="zh-CN"/>
    </w:rPr>
  </w:style>
  <w:style w:type="character" w:customStyle="1" w:styleId="47">
    <w:name w:val="批注文字 字符"/>
    <w:basedOn w:val="27"/>
    <w:link w:val="7"/>
    <w:qFormat/>
    <w:uiPriority w:val="99"/>
    <w:rPr>
      <w:rFonts w:ascii="仿宋" w:hAnsi="仿宋" w:eastAsia="仿宋" w:cs="仿宋"/>
      <w:sz w:val="28"/>
      <w:szCs w:val="22"/>
      <w:lang w:val="zh-CN" w:bidi="zh-CN"/>
    </w:rPr>
  </w:style>
  <w:style w:type="paragraph" w:customStyle="1" w:styleId="48">
    <w:name w:val="规划正文"/>
    <w:basedOn w:val="1"/>
    <w:qFormat/>
    <w:uiPriority w:val="0"/>
    <w:pPr>
      <w:autoSpaceDE/>
      <w:autoSpaceDN/>
      <w:adjustRightInd/>
      <w:snapToGrid/>
      <w:spacing w:line="240" w:lineRule="auto"/>
      <w:ind w:firstLine="0" w:firstLineChars="0"/>
      <w:jc w:val="center"/>
    </w:pPr>
    <w:rPr>
      <w:b/>
      <w:bCs/>
      <w:color w:val="FF0000"/>
      <w:kern w:val="2"/>
    </w:rPr>
  </w:style>
  <w:style w:type="character" w:customStyle="1" w:styleId="49">
    <w:name w:val="日期 字符"/>
    <w:basedOn w:val="27"/>
    <w:link w:val="13"/>
    <w:semiHidden/>
    <w:qFormat/>
    <w:uiPriority w:val="99"/>
    <w:rPr>
      <w:rFonts w:ascii="仿宋" w:hAnsi="仿宋" w:eastAsia="仿宋" w:cs="仿宋"/>
      <w:sz w:val="28"/>
      <w:szCs w:val="22"/>
      <w:lang w:val="zh-CN" w:bidi="zh-CN"/>
    </w:rPr>
  </w:style>
  <w:style w:type="character" w:customStyle="1" w:styleId="50">
    <w:name w:val="批注主题 字符"/>
    <w:basedOn w:val="47"/>
    <w:link w:val="23"/>
    <w:semiHidden/>
    <w:qFormat/>
    <w:uiPriority w:val="99"/>
    <w:rPr>
      <w:rFonts w:ascii="仿宋" w:hAnsi="仿宋" w:eastAsia="仿宋" w:cs="仿宋"/>
      <w:b/>
      <w:bCs/>
      <w:sz w:val="28"/>
      <w:szCs w:val="22"/>
      <w:lang w:val="zh-CN" w:bidi="zh-CN"/>
    </w:rPr>
  </w:style>
  <w:style w:type="paragraph" w:customStyle="1" w:styleId="51">
    <w:name w:val="修订1"/>
    <w:hidden/>
    <w:unhideWhenUsed/>
    <w:qFormat/>
    <w:uiPriority w:val="99"/>
    <w:rPr>
      <w:rFonts w:ascii="仿宋" w:hAnsi="仿宋" w:eastAsia="仿宋" w:cs="仿宋"/>
      <w:sz w:val="28"/>
      <w:szCs w:val="22"/>
      <w:lang w:val="zh-CN" w:eastAsia="zh-CN" w:bidi="zh-CN"/>
    </w:rPr>
  </w:style>
  <w:style w:type="character" w:customStyle="1" w:styleId="52">
    <w:name w:val="font21"/>
    <w:basedOn w:val="27"/>
    <w:qFormat/>
    <w:uiPriority w:val="0"/>
    <w:rPr>
      <w:rFonts w:hint="eastAsia" w:ascii="宋体" w:hAnsi="宋体" w:eastAsia="宋体"/>
      <w:color w:val="333333"/>
      <w:sz w:val="24"/>
      <w:szCs w:val="24"/>
      <w:u w:val="none"/>
    </w:rPr>
  </w:style>
  <w:style w:type="character" w:customStyle="1" w:styleId="53">
    <w:name w:val="font31"/>
    <w:basedOn w:val="27"/>
    <w:qFormat/>
    <w:uiPriority w:val="0"/>
    <w:rPr>
      <w:rFonts w:hint="default" w:ascii="Times New Roman" w:hAnsi="Times New Roman" w:cs="Times New Roman"/>
      <w:color w:val="333333"/>
      <w:sz w:val="24"/>
      <w:szCs w:val="24"/>
      <w:u w:val="none"/>
      <w:vertAlign w:val="subscript"/>
    </w:rPr>
  </w:style>
  <w:style w:type="character" w:customStyle="1" w:styleId="54">
    <w:name w:val="font51"/>
    <w:basedOn w:val="27"/>
    <w:qFormat/>
    <w:uiPriority w:val="0"/>
    <w:rPr>
      <w:rFonts w:hint="eastAsia" w:ascii="宋体" w:hAnsi="宋体" w:eastAsia="宋体"/>
      <w:color w:val="333333"/>
      <w:sz w:val="24"/>
      <w:szCs w:val="24"/>
      <w:u w:val="none"/>
      <w:vertAlign w:val="subscript"/>
    </w:rPr>
  </w:style>
  <w:style w:type="character" w:customStyle="1" w:styleId="55">
    <w:name w:val="font41"/>
    <w:basedOn w:val="27"/>
    <w:qFormat/>
    <w:uiPriority w:val="0"/>
    <w:rPr>
      <w:rFonts w:hint="default" w:ascii="Times New Roman" w:hAnsi="Times New Roman" w:cs="Times New Roman"/>
      <w:color w:val="000000"/>
      <w:sz w:val="24"/>
      <w:szCs w:val="24"/>
      <w:u w:val="none"/>
      <w:vertAlign w:val="subscript"/>
    </w:rPr>
  </w:style>
  <w:style w:type="character" w:customStyle="1" w:styleId="56">
    <w:name w:val="标题 4 字符"/>
    <w:basedOn w:val="27"/>
    <w:link w:val="5"/>
    <w:qFormat/>
    <w:uiPriority w:val="9"/>
    <w:rPr>
      <w:rFonts w:eastAsia="仿宋_GB2312"/>
      <w:b/>
      <w:bCs/>
      <w:sz w:val="28"/>
      <w:szCs w:val="28"/>
      <w:lang w:bidi="zh-CN"/>
    </w:rPr>
  </w:style>
  <w:style w:type="character" w:customStyle="1" w:styleId="57">
    <w:name w:val="标题1"/>
    <w:basedOn w:val="27"/>
    <w:qFormat/>
    <w:uiPriority w:val="0"/>
  </w:style>
  <w:style w:type="paragraph" w:customStyle="1" w:styleId="58">
    <w:name w:val="H0正文标准样式"/>
    <w:basedOn w:val="1"/>
    <w:link w:val="59"/>
    <w:qFormat/>
    <w:uiPriority w:val="0"/>
    <w:pPr>
      <w:widowControl/>
      <w:autoSpaceDE/>
      <w:autoSpaceDN/>
      <w:adjustRightInd/>
      <w:snapToGrid/>
      <w:ind w:firstLine="480"/>
    </w:pPr>
    <w:rPr>
      <w:rFonts w:ascii="宋体" w:hAnsi="宋体" w:cs="Times New Roman (正文 CS 字体)"/>
      <w:kern w:val="2"/>
      <w:lang w:bidi="ar-SA"/>
    </w:rPr>
  </w:style>
  <w:style w:type="character" w:customStyle="1" w:styleId="59">
    <w:name w:val="H0正文标准样式 Char"/>
    <w:basedOn w:val="27"/>
    <w:link w:val="58"/>
    <w:qFormat/>
    <w:uiPriority w:val="0"/>
    <w:rPr>
      <w:rFonts w:ascii="宋体" w:hAnsi="宋体" w:eastAsia="仿宋" w:cs="Times New Roman (正文 CS 字体)"/>
      <w:kern w:val="2"/>
      <w:sz w:val="28"/>
      <w:szCs w:val="22"/>
    </w:rPr>
  </w:style>
  <w:style w:type="paragraph" w:customStyle="1" w:styleId="60">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61">
    <w:name w:val="正文首行缩进 21"/>
    <w:basedOn w:val="9"/>
    <w:semiHidden/>
    <w:qFormat/>
    <w:uiPriority w:val="0"/>
    <w:pPr>
      <w:adjustRightInd/>
      <w:snapToGrid/>
      <w:spacing w:before="100" w:beforeAutospacing="1" w:line="240" w:lineRule="auto"/>
      <w:ind w:firstLine="420"/>
    </w:pPr>
    <w:rPr>
      <w:color w:val="000000"/>
      <w:sz w:val="22"/>
      <w:szCs w:val="22"/>
      <w:lang w:bidi="ar-SA"/>
    </w:rPr>
  </w:style>
  <w:style w:type="paragraph" w:customStyle="1" w:styleId="62">
    <w:name w:val="msonormal"/>
    <w:basedOn w:val="1"/>
    <w:qFormat/>
    <w:uiPriority w:val="0"/>
    <w:pPr>
      <w:widowControl/>
      <w:autoSpaceDE/>
      <w:autoSpaceDN/>
      <w:adjustRightInd/>
      <w:snapToGrid/>
      <w:spacing w:before="100" w:beforeAutospacing="1" w:after="100" w:afterAutospacing="1" w:line="240" w:lineRule="auto"/>
      <w:ind w:firstLine="0" w:firstLineChars="0"/>
      <w:jc w:val="left"/>
    </w:pPr>
    <w:rPr>
      <w:rFonts w:ascii="宋体" w:hAnsi="宋体" w:eastAsia="宋体" w:cs="宋体"/>
      <w:color w:val="auto"/>
      <w:sz w:val="24"/>
      <w:szCs w:val="24"/>
      <w:lang w:bidi="ar-SA"/>
    </w:rPr>
  </w:style>
  <w:style w:type="paragraph" w:customStyle="1" w:styleId="63">
    <w:name w:val="目录 11"/>
    <w:basedOn w:val="1"/>
    <w:next w:val="1"/>
    <w:semiHidden/>
    <w:qFormat/>
    <w:uiPriority w:val="0"/>
    <w:pPr>
      <w:spacing w:line="240" w:lineRule="auto"/>
      <w:ind w:firstLine="400"/>
    </w:pPr>
    <w:rPr>
      <w:rFonts w:ascii="等线" w:eastAsia="等线"/>
      <w:b/>
      <w:bCs/>
      <w:caps/>
      <w:color w:val="000000"/>
      <w:sz w:val="20"/>
      <w:szCs w:val="20"/>
      <w:lang w:bidi="ar-SA"/>
    </w:rPr>
  </w:style>
  <w:style w:type="paragraph" w:customStyle="1" w:styleId="64">
    <w:name w:val="目录 21"/>
    <w:basedOn w:val="1"/>
    <w:next w:val="1"/>
    <w:semiHidden/>
    <w:qFormat/>
    <w:uiPriority w:val="0"/>
    <w:pPr>
      <w:spacing w:before="100" w:beforeAutospacing="1" w:after="100" w:afterAutospacing="1"/>
      <w:ind w:left="280"/>
    </w:pPr>
    <w:rPr>
      <w:rFonts w:ascii="等线" w:eastAsia="等线"/>
      <w:smallCaps/>
      <w:color w:val="000000"/>
      <w:sz w:val="20"/>
      <w:szCs w:val="20"/>
      <w:lang w:bidi="ar-SA"/>
    </w:rPr>
  </w:style>
  <w:style w:type="paragraph" w:customStyle="1" w:styleId="65">
    <w:name w:val="No Spacing1"/>
    <w:basedOn w:val="1"/>
    <w:qFormat/>
    <w:uiPriority w:val="0"/>
    <w:pPr>
      <w:autoSpaceDE/>
      <w:autoSpaceDN/>
      <w:adjustRightInd/>
      <w:snapToGrid/>
      <w:spacing w:line="300" w:lineRule="auto"/>
      <w:ind w:firstLine="0" w:firstLineChars="0"/>
      <w:jc w:val="center"/>
    </w:pPr>
    <w:rPr>
      <w:rFonts w:eastAsia="等线"/>
      <w:color w:val="auto"/>
      <w:kern w:val="2"/>
      <w:sz w:val="24"/>
      <w:szCs w:val="24"/>
      <w:lang w:bidi="ar-SA"/>
    </w:rPr>
  </w:style>
  <w:style w:type="character" w:customStyle="1" w:styleId="66">
    <w:name w:val="Unresolved Mention"/>
    <w:basedOn w:val="27"/>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83.jpeg"/><Relationship Id="rId98" Type="http://schemas.openxmlformats.org/officeDocument/2006/relationships/image" Target="media/image82.jpeg"/><Relationship Id="rId97" Type="http://schemas.openxmlformats.org/officeDocument/2006/relationships/image" Target="media/image81.jpeg"/><Relationship Id="rId96" Type="http://schemas.openxmlformats.org/officeDocument/2006/relationships/image" Target="media/image80.jpeg"/><Relationship Id="rId95" Type="http://schemas.openxmlformats.org/officeDocument/2006/relationships/image" Target="media/image79.jpeg"/><Relationship Id="rId94" Type="http://schemas.openxmlformats.org/officeDocument/2006/relationships/image" Target="media/image78.jpeg"/><Relationship Id="rId93" Type="http://schemas.openxmlformats.org/officeDocument/2006/relationships/image" Target="media/image77.jpeg"/><Relationship Id="rId92" Type="http://schemas.openxmlformats.org/officeDocument/2006/relationships/image" Target="media/image76.jpeg"/><Relationship Id="rId91" Type="http://schemas.openxmlformats.org/officeDocument/2006/relationships/image" Target="media/image75.jpeg"/><Relationship Id="rId90" Type="http://schemas.openxmlformats.org/officeDocument/2006/relationships/image" Target="media/image74.jpeg"/><Relationship Id="rId9" Type="http://schemas.openxmlformats.org/officeDocument/2006/relationships/footer" Target="footer4.xml"/><Relationship Id="rId89" Type="http://schemas.openxmlformats.org/officeDocument/2006/relationships/image" Target="media/image73.jpeg"/><Relationship Id="rId88" Type="http://schemas.openxmlformats.org/officeDocument/2006/relationships/image" Target="media/image72.jpeg"/><Relationship Id="rId87" Type="http://schemas.openxmlformats.org/officeDocument/2006/relationships/image" Target="media/image71.jpeg"/><Relationship Id="rId86" Type="http://schemas.openxmlformats.org/officeDocument/2006/relationships/image" Target="media/image70.jpeg"/><Relationship Id="rId85" Type="http://schemas.openxmlformats.org/officeDocument/2006/relationships/image" Target="media/image69.jpeg"/><Relationship Id="rId84" Type="http://schemas.openxmlformats.org/officeDocument/2006/relationships/image" Target="media/image68.jpeg"/><Relationship Id="rId83" Type="http://schemas.openxmlformats.org/officeDocument/2006/relationships/image" Target="media/image67.jpeg"/><Relationship Id="rId82" Type="http://schemas.openxmlformats.org/officeDocument/2006/relationships/image" Target="media/image66.jpeg"/><Relationship Id="rId81" Type="http://schemas.openxmlformats.org/officeDocument/2006/relationships/image" Target="media/image65.jpeg"/><Relationship Id="rId80" Type="http://schemas.openxmlformats.org/officeDocument/2006/relationships/image" Target="media/image64.jpeg"/><Relationship Id="rId8" Type="http://schemas.openxmlformats.org/officeDocument/2006/relationships/header" Target="header1.xml"/><Relationship Id="rId79" Type="http://schemas.openxmlformats.org/officeDocument/2006/relationships/image" Target="media/image63.jpeg"/><Relationship Id="rId78" Type="http://schemas.openxmlformats.org/officeDocument/2006/relationships/image" Target="media/image62.jpeg"/><Relationship Id="rId77" Type="http://schemas.openxmlformats.org/officeDocument/2006/relationships/image" Target="media/image61.jpeg"/><Relationship Id="rId76" Type="http://schemas.openxmlformats.org/officeDocument/2006/relationships/image" Target="media/image60.jpeg"/><Relationship Id="rId75" Type="http://schemas.openxmlformats.org/officeDocument/2006/relationships/image" Target="media/image59.jpeg"/><Relationship Id="rId74" Type="http://schemas.openxmlformats.org/officeDocument/2006/relationships/image" Target="media/image58.jpeg"/><Relationship Id="rId73" Type="http://schemas.openxmlformats.org/officeDocument/2006/relationships/image" Target="media/image57.jpeg"/><Relationship Id="rId72" Type="http://schemas.openxmlformats.org/officeDocument/2006/relationships/image" Target="media/image56.jpeg"/><Relationship Id="rId71" Type="http://schemas.openxmlformats.org/officeDocument/2006/relationships/image" Target="media/image55.jpeg"/><Relationship Id="rId70" Type="http://schemas.openxmlformats.org/officeDocument/2006/relationships/image" Target="media/image54.jpeg"/><Relationship Id="rId7" Type="http://schemas.openxmlformats.org/officeDocument/2006/relationships/footer" Target="footer3.xml"/><Relationship Id="rId69" Type="http://schemas.openxmlformats.org/officeDocument/2006/relationships/image" Target="media/image53.jpeg"/><Relationship Id="rId68" Type="http://schemas.openxmlformats.org/officeDocument/2006/relationships/image" Target="media/image52.jpeg"/><Relationship Id="rId67" Type="http://schemas.openxmlformats.org/officeDocument/2006/relationships/image" Target="media/image51.jpeg"/><Relationship Id="rId66" Type="http://schemas.openxmlformats.org/officeDocument/2006/relationships/image" Target="media/image50.jpeg"/><Relationship Id="rId65" Type="http://schemas.openxmlformats.org/officeDocument/2006/relationships/image" Target="media/image49.jpeg"/><Relationship Id="rId64" Type="http://schemas.openxmlformats.org/officeDocument/2006/relationships/image" Target="media/image48.jpeg"/><Relationship Id="rId63" Type="http://schemas.openxmlformats.org/officeDocument/2006/relationships/image" Target="media/image47.jpe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footer" Target="footer2.xml"/><Relationship Id="rId59" Type="http://schemas.openxmlformats.org/officeDocument/2006/relationships/image" Target="media/image43.jpeg"/><Relationship Id="rId58" Type="http://schemas.openxmlformats.org/officeDocument/2006/relationships/image" Target="media/image42.jpeg"/><Relationship Id="rId57" Type="http://schemas.openxmlformats.org/officeDocument/2006/relationships/image" Target="media/image41.jpeg"/><Relationship Id="rId56" Type="http://schemas.openxmlformats.org/officeDocument/2006/relationships/image" Target="media/image40.jpeg"/><Relationship Id="rId55" Type="http://schemas.openxmlformats.org/officeDocument/2006/relationships/image" Target="media/image39.jpeg"/><Relationship Id="rId54" Type="http://schemas.openxmlformats.org/officeDocument/2006/relationships/image" Target="media/image38.jpeg"/><Relationship Id="rId53" Type="http://schemas.openxmlformats.org/officeDocument/2006/relationships/image" Target="media/image37.jpeg"/><Relationship Id="rId52" Type="http://schemas.openxmlformats.org/officeDocument/2006/relationships/image" Target="media/image36.jpeg"/><Relationship Id="rId51" Type="http://schemas.openxmlformats.org/officeDocument/2006/relationships/image" Target="media/image35.jpeg"/><Relationship Id="rId50" Type="http://schemas.openxmlformats.org/officeDocument/2006/relationships/image" Target="media/image34.jpeg"/><Relationship Id="rId5" Type="http://schemas.openxmlformats.org/officeDocument/2006/relationships/footer" Target="footer1.xml"/><Relationship Id="rId49" Type="http://schemas.openxmlformats.org/officeDocument/2006/relationships/image" Target="media/image33.jpeg"/><Relationship Id="rId48" Type="http://schemas.openxmlformats.org/officeDocument/2006/relationships/image" Target="media/image32.jpeg"/><Relationship Id="rId47" Type="http://schemas.openxmlformats.org/officeDocument/2006/relationships/image" Target="media/image31.jpeg"/><Relationship Id="rId46" Type="http://schemas.openxmlformats.org/officeDocument/2006/relationships/image" Target="media/image30.jpeg"/><Relationship Id="rId45" Type="http://schemas.openxmlformats.org/officeDocument/2006/relationships/image" Target="media/image29.jpeg"/><Relationship Id="rId44" Type="http://schemas.openxmlformats.org/officeDocument/2006/relationships/image" Target="media/image28.jpeg"/><Relationship Id="rId43" Type="http://schemas.openxmlformats.org/officeDocument/2006/relationships/image" Target="media/image27.jpeg"/><Relationship Id="rId42" Type="http://schemas.openxmlformats.org/officeDocument/2006/relationships/image" Target="media/image26.jpeg"/><Relationship Id="rId41" Type="http://schemas.openxmlformats.org/officeDocument/2006/relationships/image" Target="media/image25.jpeg"/><Relationship Id="rId40" Type="http://schemas.openxmlformats.org/officeDocument/2006/relationships/image" Target="media/image24.jpeg"/><Relationship Id="rId4" Type="http://schemas.openxmlformats.org/officeDocument/2006/relationships/endnotes" Target="endnotes.xml"/><Relationship Id="rId39" Type="http://schemas.openxmlformats.org/officeDocument/2006/relationships/image" Target="media/image23.jpeg"/><Relationship Id="rId38" Type="http://schemas.openxmlformats.org/officeDocument/2006/relationships/image" Target="media/image22.jpeg"/><Relationship Id="rId37" Type="http://schemas.openxmlformats.org/officeDocument/2006/relationships/image" Target="media/image21.jpe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jpeg"/><Relationship Id="rId33" Type="http://schemas.openxmlformats.org/officeDocument/2006/relationships/image" Target="media/image17.jpe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notes" Target="footnotes.xml"/><Relationship Id="rId29" Type="http://schemas.openxmlformats.org/officeDocument/2006/relationships/image" Target="media/image13.jpeg"/><Relationship Id="rId28" Type="http://schemas.openxmlformats.org/officeDocument/2006/relationships/image" Target="media/image12.jpeg"/><Relationship Id="rId27" Type="http://schemas.openxmlformats.org/officeDocument/2006/relationships/image" Target="media/image11.jpeg"/><Relationship Id="rId26" Type="http://schemas.openxmlformats.org/officeDocument/2006/relationships/image" Target="media/image10.jpeg"/><Relationship Id="rId25" Type="http://schemas.openxmlformats.org/officeDocument/2006/relationships/image" Target="media/image9.png"/><Relationship Id="rId24" Type="http://schemas.openxmlformats.org/officeDocument/2006/relationships/image" Target="media/image8.jpeg"/><Relationship Id="rId23" Type="http://schemas.openxmlformats.org/officeDocument/2006/relationships/image" Target="media/image7.jpe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jpe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header" Target="header3.xml"/><Relationship Id="rId109" Type="http://schemas.openxmlformats.org/officeDocument/2006/relationships/fontTable" Target="fontTable.xml"/><Relationship Id="rId108" Type="http://schemas.openxmlformats.org/officeDocument/2006/relationships/customXml" Target="../customXml/item2.xml"/><Relationship Id="rId107" Type="http://schemas.openxmlformats.org/officeDocument/2006/relationships/customXml" Target="../customXml/item1.xml"/><Relationship Id="rId106" Type="http://schemas.openxmlformats.org/officeDocument/2006/relationships/image" Target="media/image90.jpeg"/><Relationship Id="rId105" Type="http://schemas.openxmlformats.org/officeDocument/2006/relationships/image" Target="media/image89.jpeg"/><Relationship Id="rId104" Type="http://schemas.openxmlformats.org/officeDocument/2006/relationships/image" Target="media/image88.jpeg"/><Relationship Id="rId103" Type="http://schemas.openxmlformats.org/officeDocument/2006/relationships/image" Target="media/image87.jpeg"/><Relationship Id="rId102" Type="http://schemas.openxmlformats.org/officeDocument/2006/relationships/image" Target="media/image86.jpeg"/><Relationship Id="rId101" Type="http://schemas.openxmlformats.org/officeDocument/2006/relationships/image" Target="media/image85.jpeg"/><Relationship Id="rId100" Type="http://schemas.openxmlformats.org/officeDocument/2006/relationships/image" Target="media/image84.jpeg"/><Relationship Id="rId10" Type="http://schemas.openxmlformats.org/officeDocument/2006/relationships/header" Target="header2.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4F4E460-D185-496B-92C2-3D96A78C6873}">
  <ds:schemaRefs/>
</ds:datastoreItem>
</file>

<file path=docProps/app.xml><?xml version="1.0" encoding="utf-8"?>
<Properties xmlns="http://schemas.openxmlformats.org/officeDocument/2006/extended-properties" xmlns:vt="http://schemas.openxmlformats.org/officeDocument/2006/docPropsVTypes">
  <Template>Normal</Template>
  <Pages>183</Pages>
  <Words>52833</Words>
  <Characters>55617</Characters>
  <Lines>461</Lines>
  <Paragraphs>129</Paragraphs>
  <TotalTime>546</TotalTime>
  <ScaleCrop>false</ScaleCrop>
  <LinksUpToDate>false</LinksUpToDate>
  <CharactersWithSpaces>56032</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2024-01-29T03:07:00Z</dcterms:created>
  <dc:creator>徐龙 祥源科技</dc:creator>
  <cp:lastModifiedBy>李鹤</cp:lastModifiedBy>
  <cp:lastPrinted>2025-02-11T02:49:00Z</cp:lastPrinted>
  <dcterms:modified xsi:type="dcterms:W3CDTF">2025-05-27T02:48:20Z</dcterms:modified>
  <cp:revision>316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A3B6E547AEFA487AA3012D9732BAA0E9_13</vt:lpwstr>
  </property>
</Properties>
</file>