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768D">
      <w:pPr>
        <w:jc w:val="center"/>
        <w:rPr>
          <w:rFonts w:hint="eastAsia"/>
          <w:sz w:val="40"/>
          <w:szCs w:val="48"/>
          <w:lang w:eastAsia="zh-CN"/>
        </w:rPr>
      </w:pPr>
    </w:p>
    <w:p w14:paraId="08438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淮南经济技术开发区预算绩效工作开展情况的说明</w:t>
      </w:r>
    </w:p>
    <w:p w14:paraId="61D69CB4">
      <w:pPr>
        <w:pStyle w:val="4"/>
        <w:widowControl/>
        <w:shd w:val="clear" w:color="auto" w:fill="FFFFFF"/>
        <w:spacing w:before="0" w:beforeAutospacing="0" w:after="0" w:afterAutospacing="0"/>
        <w:ind w:firstLine="1140" w:firstLineChars="200"/>
        <w:jc w:val="both"/>
        <w:rPr>
          <w:rFonts w:hint="eastAsia" w:asciiTheme="majorEastAsia" w:hAnsiTheme="majorEastAsia" w:eastAsiaTheme="majorEastAsia" w:cstheme="majorEastAsia"/>
          <w:color w:val="333333"/>
          <w:spacing w:val="5"/>
          <w:sz w:val="56"/>
          <w:szCs w:val="56"/>
          <w:shd w:val="clear" w:color="auto" w:fill="FFFFFF"/>
        </w:rPr>
      </w:pPr>
    </w:p>
    <w:p w14:paraId="4B245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333333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2024年，经开区财政持续</w:t>
      </w:r>
      <w:r>
        <w:rPr>
          <w:rFonts w:hint="eastAsia" w:ascii="仿宋_GB2312" w:hAnsi="仿宋" w:eastAsia="仿宋_GB2312" w:cs="仿宋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省委省政府、市委市政府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关于全面实施预算绩效管理工作的决策部署，按照《安徽省省级预算绩效管理暂行办法》和《淮南市委、市政府关于全面实施预算绩效管理的落实意见》（淮发〔2019〕24号）等有关规定，立足本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实际，积极开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展绩效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工作，现将202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年预算绩效管理工作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开展情况说明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如下：</w:t>
      </w:r>
    </w:p>
    <w:p w14:paraId="1C2A8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" w:eastAsia="仿宋_GB2312" w:cs="仿宋"/>
          <w:b/>
          <w:bCs/>
          <w:color w:val="333333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一、事前-强化预算绩效目标管理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在编制2024年预算时，我们强化了绩效目标管理，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申报项目预算资金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时，同步报送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项目绩效目标申报表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同时以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突出部门核心职能为标准，设置部门整体总体绩效目标和年度绩效目标。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绩效目标编制环节的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绩效目标与部门预算同步编报、同步审核、同步批复。并及时对99条重点项目进行了绩效目标公开，覆盖财政资金10199.02万元。</w:t>
      </w:r>
    </w:p>
    <w:p w14:paraId="4335C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  <w:t>二、事中-预算绩效运行“双监控”扎实开展</w:t>
      </w:r>
      <w:r>
        <w:rPr>
          <w:rFonts w:hint="eastAsia" w:ascii="仿宋_GB2312" w:hAnsi="仿宋" w:eastAsia="仿宋_GB2312" w:cs="仿宋"/>
          <w:color w:val="333333"/>
          <w:spacing w:val="5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2024年9月，区财政按照市绩效考核工作要求，针对12家内设部门154条预算项目和部门整体1-8月预算资金执行情况和绩效目标完成情况进行了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“线上+线下”两种方式的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绩效运行监控工作，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监控过程主要包括项目预计产出的完成进度及趋势、预计效果的实现进度及趋势、服务对象满意度及趋势，以及预算资金拨付情况、预算执行单位实际支出情况和预计结转结余情况等实施开展。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并对有些项目出具了整改监控结果反馈书，及时要求预算部门查明原因并提出整改，确保年度目标按期实现。</w:t>
      </w:r>
    </w:p>
    <w:p w14:paraId="442F941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63" w:firstLineChars="200"/>
        <w:jc w:val="both"/>
        <w:textAlignment w:val="auto"/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  <w:t>三、事后-绩效评价工作稳步开展（项目绩效自评、部门评价、财政重点绩效评价）。</w:t>
      </w:r>
    </w:p>
    <w:p w14:paraId="4592DA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63" w:firstLineChars="200"/>
        <w:jc w:val="both"/>
        <w:textAlignment w:val="auto"/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  <w:t>（一）项目绩效自评</w:t>
      </w:r>
    </w:p>
    <w:p w14:paraId="0903E9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1.中央对地方转移支付预算执行情况绩效自评</w:t>
      </w:r>
    </w:p>
    <w:p w14:paraId="0AC0387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2024年3月，按照财政部印发的2024年中央对地方转移支付绩效自评清单目录，落实2023年度中央对地方转移支付绩效自评项目21个，涉及资金4618.29万元，填写并报送《转移支付区域（项目）绩效目标自评表》和《绩效自评报告》。</w:t>
      </w:r>
    </w:p>
    <w:p w14:paraId="717ACC8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2.2024年区级预算项目预算执行绩效自评工作</w:t>
      </w:r>
    </w:p>
    <w:p w14:paraId="7839AB1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2024年按照省、市考核要求，针对2023年度区级预算项目开展绩效自评工作。填写并报送《项目支出绩效自评表》及重点项目的《绩效自评报告》。</w:t>
      </w:r>
    </w:p>
    <w:p w14:paraId="122819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63" w:firstLineChars="200"/>
        <w:jc w:val="both"/>
        <w:textAlignment w:val="auto"/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  <w:t>（二）部门评价</w:t>
      </w:r>
    </w:p>
    <w:p w14:paraId="0D0B398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2024年对全区12家内设部门2022年度部门整体支出开展绩效自评工作，全区12家内设部门报送了《部门整体支出绩效自评表》，实现部门整体支出绩效自评全覆盖。</w:t>
      </w:r>
    </w:p>
    <w:p w14:paraId="1A1D9A09"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31" w:firstLineChars="100"/>
        <w:jc w:val="both"/>
        <w:textAlignment w:val="auto"/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333333"/>
          <w:spacing w:val="5"/>
          <w:sz w:val="32"/>
          <w:szCs w:val="32"/>
          <w:shd w:val="clear" w:color="auto" w:fill="FFFFFF"/>
          <w:lang w:val="en-US" w:eastAsia="zh-CN"/>
        </w:rPr>
        <w:t>（三）财政重点评价</w:t>
      </w:r>
    </w:p>
    <w:p w14:paraId="21398DF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2024年按照上级文件精神，组织预算部门开展财政重点绩效评价工作。区财政印发《淮南经济技术开发区财政局关于开展2024年区级财政重点绩效评价工作的通知》（淮开财[2024]7号），具体包括3个重点评价项目、1个部门整体评价，涉及金额469.5万元。其中涵盖了基础设施建设、产业扶持、民生保障。委托第三方机构通过查阅资料、实地调研、满意度调查、综合评价、反馈意见等方式开展绩效评价。同时加强对第三方机构的指导和监督管理，确保绩效评价独立、客观、公正。</w:t>
      </w:r>
    </w:p>
    <w:p w14:paraId="4B5B45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Hans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 w:bidi="ar"/>
        </w:rPr>
        <w:t>四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Hans"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Hans" w:bidi="ar"/>
        </w:rPr>
        <w:t>落实预算绩效管理信息公开制度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根据预算批复原则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同步批复绩效目标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同步公开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年重点项目绩效目标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对于财政重点绩效评价项目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主动向社会公开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。</w:t>
      </w:r>
    </w:p>
    <w:p w14:paraId="0220FE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mNlZTA0ZmMxYjdhYmQ2MmE5OTEzYzg0ZmYyZmMifQ=="/>
  </w:docVars>
  <w:rsids>
    <w:rsidRoot w:val="00000000"/>
    <w:rsid w:val="09527BE5"/>
    <w:rsid w:val="0D825CF1"/>
    <w:rsid w:val="1BE17A2A"/>
    <w:rsid w:val="1CEB58CF"/>
    <w:rsid w:val="1F704B0F"/>
    <w:rsid w:val="23DC7B98"/>
    <w:rsid w:val="24266566"/>
    <w:rsid w:val="29E3551A"/>
    <w:rsid w:val="2CAE109E"/>
    <w:rsid w:val="32CF1DCC"/>
    <w:rsid w:val="33271DB7"/>
    <w:rsid w:val="33DF6F74"/>
    <w:rsid w:val="3FBBC273"/>
    <w:rsid w:val="4764084E"/>
    <w:rsid w:val="4AF924C9"/>
    <w:rsid w:val="58886B3C"/>
    <w:rsid w:val="5EEA61FD"/>
    <w:rsid w:val="6E806683"/>
    <w:rsid w:val="718C0910"/>
    <w:rsid w:val="743864B4"/>
    <w:rsid w:val="762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 w:afterLines="0"/>
      <w:ind w:firstLine="420" w:firstLineChars="200"/>
    </w:pPr>
    <w:rPr>
      <w:rFonts w:hint="default" w:ascii="Times New Roman" w:hAnsi="Times New Roman" w:eastAsia="宋体" w:cs="Times New Roman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2615</Words>
  <Characters>2723</Characters>
  <Lines>0</Lines>
  <Paragraphs>0</Paragraphs>
  <TotalTime>22</TotalTime>
  <ScaleCrop>false</ScaleCrop>
  <LinksUpToDate>false</LinksUpToDate>
  <CharactersWithSpaces>2755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2022-12-14T16:10:00Z</dcterms:created>
  <dc:creator>owner</dc:creator>
  <cp:lastModifiedBy>晴空万里</cp:lastModifiedBy>
  <cp:lastPrinted>2022-12-29T17:28:00Z</cp:lastPrinted>
  <dcterms:modified xsi:type="dcterms:W3CDTF">2025-06-04T00:49:06Z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E79FFB022701425EB52A0860C93C7B1E_13</vt:lpwstr>
  </property>
  <property fmtid="{D5CDD505-2E9C-101B-9397-08002B2CF9AE}" pid="4" name="KSOTemplateDocerSaveRecord">
    <vt:lpwstr>eyJoZGlkIjoiNzg4YmNlZTA0ZmMxYjdhYmQ2MmE5OTEzYzg0ZmYyZmMiLCJ1c2VySWQiOiIxNTY3NTc3Nzg5In0=</vt:lpwstr>
  </property>
</Properties>
</file>