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7D67C">
      <w:pPr>
        <w:spacing w:before="36"/>
        <w:ind w:right="390"/>
        <w:jc w:val="center"/>
        <w:rPr>
          <w:rFonts w:ascii="仿宋" w:hAnsi="仿宋" w:eastAsia="仿宋" w:cs="仿宋"/>
          <w:b/>
          <w:sz w:val="49"/>
        </w:rPr>
      </w:pPr>
      <w:bookmarkStart w:id="138" w:name="_GoBack"/>
      <w:bookmarkEnd w:id="138"/>
    </w:p>
    <w:p w14:paraId="150F3096">
      <w:pPr>
        <w:spacing w:before="36"/>
        <w:ind w:right="390"/>
        <w:jc w:val="center"/>
        <w:rPr>
          <w:rFonts w:ascii="仿宋" w:hAnsi="仿宋" w:eastAsia="仿宋" w:cs="仿宋"/>
          <w:b/>
          <w:sz w:val="49"/>
        </w:rPr>
      </w:pPr>
    </w:p>
    <w:p w14:paraId="7D0FB08F">
      <w:pPr>
        <w:spacing w:before="36"/>
        <w:ind w:right="390"/>
        <w:jc w:val="center"/>
        <w:rPr>
          <w:rFonts w:ascii="仿宋" w:hAnsi="仿宋" w:eastAsia="仿宋" w:cs="仿宋"/>
          <w:b/>
          <w:sz w:val="52"/>
        </w:rPr>
      </w:pPr>
      <w:r>
        <w:rPr>
          <w:rFonts w:hint="eastAsia" w:ascii="仿宋" w:hAnsi="仿宋" w:eastAsia="仿宋" w:cs="仿宋"/>
          <w:b/>
          <w:sz w:val="52"/>
        </w:rPr>
        <w:t>淮南经济技术开发区所属公办学校智慧课堂及智慧黑板采购项目</w:t>
      </w:r>
    </w:p>
    <w:p w14:paraId="12EF8E2A">
      <w:pPr>
        <w:pStyle w:val="23"/>
        <w:rPr>
          <w:rFonts w:ascii="仿宋" w:hAnsi="仿宋" w:eastAsia="仿宋" w:cs="仿宋"/>
          <w:b/>
          <w:sz w:val="50"/>
        </w:rPr>
      </w:pPr>
    </w:p>
    <w:p w14:paraId="313ADEFB">
      <w:pPr>
        <w:pStyle w:val="23"/>
        <w:spacing w:before="11"/>
        <w:rPr>
          <w:rFonts w:ascii="仿宋" w:hAnsi="仿宋" w:eastAsia="仿宋" w:cs="仿宋"/>
          <w:b/>
          <w:sz w:val="45"/>
        </w:rPr>
      </w:pPr>
    </w:p>
    <w:p w14:paraId="5F9D17A3">
      <w:pPr>
        <w:pStyle w:val="23"/>
        <w:spacing w:before="11"/>
        <w:rPr>
          <w:rFonts w:ascii="仿宋" w:hAnsi="仿宋" w:eastAsia="仿宋" w:cs="仿宋"/>
          <w:b/>
          <w:sz w:val="45"/>
        </w:rPr>
      </w:pPr>
    </w:p>
    <w:p w14:paraId="33DC35B1">
      <w:pPr>
        <w:pStyle w:val="23"/>
        <w:spacing w:before="11"/>
        <w:rPr>
          <w:rFonts w:ascii="仿宋" w:hAnsi="仿宋" w:eastAsia="仿宋" w:cs="仿宋"/>
          <w:b/>
          <w:sz w:val="45"/>
        </w:rPr>
      </w:pPr>
    </w:p>
    <w:p w14:paraId="270621F0">
      <w:pPr>
        <w:pStyle w:val="32"/>
        <w:rPr>
          <w:rFonts w:ascii="仿宋" w:hAnsi="仿宋" w:eastAsia="仿宋" w:cs="仿宋"/>
          <w:sz w:val="45"/>
        </w:rPr>
      </w:pPr>
    </w:p>
    <w:p w14:paraId="22A8E8B8">
      <w:pPr>
        <w:rPr>
          <w:rFonts w:ascii="仿宋" w:hAnsi="仿宋" w:eastAsia="仿宋" w:cs="仿宋"/>
        </w:rPr>
      </w:pPr>
    </w:p>
    <w:p w14:paraId="0055D979">
      <w:pPr>
        <w:spacing w:before="1"/>
        <w:ind w:left="385" w:right="388"/>
        <w:jc w:val="center"/>
        <w:rPr>
          <w:rFonts w:ascii="仿宋" w:hAnsi="仿宋" w:eastAsia="仿宋" w:cs="仿宋"/>
          <w:sz w:val="28"/>
        </w:rPr>
      </w:pPr>
      <w:r>
        <w:rPr>
          <w:rFonts w:hint="eastAsia" w:ascii="仿宋" w:hAnsi="仿宋" w:eastAsia="仿宋" w:cs="仿宋"/>
          <w:b/>
          <w:sz w:val="56"/>
          <w:szCs w:val="20"/>
        </w:rPr>
        <w:t>招 标 文 件</w:t>
      </w:r>
      <w:bookmarkStart w:id="0" w:name="项目编号：2018GCBG017"/>
      <w:bookmarkEnd w:id="0"/>
    </w:p>
    <w:p w14:paraId="2C06E12E">
      <w:pPr>
        <w:ind w:left="385" w:right="377"/>
        <w:jc w:val="center"/>
        <w:rPr>
          <w:rFonts w:ascii="仿宋" w:hAnsi="仿宋" w:eastAsia="仿宋" w:cs="仿宋"/>
          <w:sz w:val="28"/>
        </w:rPr>
      </w:pPr>
    </w:p>
    <w:p w14:paraId="4680E691">
      <w:pPr>
        <w:ind w:left="385" w:right="377"/>
        <w:jc w:val="center"/>
        <w:rPr>
          <w:rFonts w:ascii="仿宋" w:hAnsi="仿宋" w:eastAsia="仿宋" w:cs="仿宋"/>
          <w:sz w:val="28"/>
        </w:rPr>
      </w:pPr>
      <w:r>
        <w:rPr>
          <w:rFonts w:hint="eastAsia" w:ascii="仿宋" w:hAnsi="仿宋" w:eastAsia="仿宋" w:cs="仿宋"/>
          <w:sz w:val="28"/>
        </w:rPr>
        <w:t>项目编号：AHKCDY20-91</w:t>
      </w:r>
    </w:p>
    <w:p w14:paraId="2B643963">
      <w:pPr>
        <w:ind w:left="385" w:right="377"/>
        <w:jc w:val="center"/>
        <w:rPr>
          <w:rFonts w:ascii="仿宋" w:hAnsi="仿宋" w:eastAsia="仿宋" w:cs="仿宋"/>
          <w:sz w:val="28"/>
        </w:rPr>
      </w:pPr>
    </w:p>
    <w:p w14:paraId="075F907A">
      <w:pPr>
        <w:pStyle w:val="23"/>
        <w:rPr>
          <w:rFonts w:ascii="仿宋" w:hAnsi="仿宋" w:eastAsia="仿宋" w:cs="仿宋"/>
        </w:rPr>
      </w:pPr>
    </w:p>
    <w:p w14:paraId="176A79A3">
      <w:pPr>
        <w:pStyle w:val="23"/>
        <w:rPr>
          <w:rFonts w:ascii="仿宋" w:hAnsi="仿宋" w:eastAsia="仿宋" w:cs="仿宋"/>
        </w:rPr>
      </w:pPr>
    </w:p>
    <w:p w14:paraId="7D305B30">
      <w:pPr>
        <w:tabs>
          <w:tab w:val="left" w:pos="8551"/>
        </w:tabs>
        <w:jc w:val="left"/>
        <w:rPr>
          <w:rFonts w:ascii="仿宋" w:hAnsi="仿宋" w:eastAsia="仿宋" w:cs="仿宋"/>
          <w:sz w:val="30"/>
        </w:rPr>
      </w:pPr>
    </w:p>
    <w:p w14:paraId="78E54EE7">
      <w:pPr>
        <w:tabs>
          <w:tab w:val="left" w:pos="8551"/>
        </w:tabs>
        <w:jc w:val="left"/>
        <w:rPr>
          <w:rFonts w:ascii="仿宋" w:hAnsi="仿宋" w:eastAsia="仿宋" w:cs="仿宋"/>
          <w:sz w:val="30"/>
        </w:rPr>
      </w:pPr>
    </w:p>
    <w:p w14:paraId="7D69DADD">
      <w:pPr>
        <w:tabs>
          <w:tab w:val="left" w:pos="8551"/>
        </w:tabs>
        <w:jc w:val="left"/>
        <w:rPr>
          <w:rFonts w:ascii="仿宋" w:hAnsi="仿宋" w:eastAsia="仿宋" w:cs="仿宋"/>
          <w:sz w:val="30"/>
        </w:rPr>
      </w:pPr>
    </w:p>
    <w:p w14:paraId="52EA383F">
      <w:pPr>
        <w:pStyle w:val="2"/>
        <w:ind w:firstLine="600"/>
        <w:rPr>
          <w:rFonts w:ascii="仿宋" w:hAnsi="仿宋" w:eastAsia="仿宋" w:cs="仿宋"/>
          <w:sz w:val="30"/>
        </w:rPr>
      </w:pPr>
    </w:p>
    <w:p w14:paraId="5734F37B">
      <w:pPr>
        <w:pStyle w:val="2"/>
        <w:ind w:firstLine="600"/>
        <w:rPr>
          <w:rFonts w:ascii="仿宋" w:hAnsi="仿宋" w:eastAsia="仿宋" w:cs="仿宋"/>
          <w:sz w:val="30"/>
        </w:rPr>
      </w:pPr>
    </w:p>
    <w:p w14:paraId="2B50F4DB">
      <w:pPr>
        <w:tabs>
          <w:tab w:val="left" w:pos="8551"/>
        </w:tabs>
        <w:ind w:firstLine="1200" w:firstLineChars="400"/>
        <w:jc w:val="left"/>
        <w:rPr>
          <w:rFonts w:ascii="仿宋" w:hAnsi="仿宋" w:eastAsia="仿宋" w:cs="仿宋"/>
          <w:sz w:val="30"/>
        </w:rPr>
      </w:pPr>
    </w:p>
    <w:p w14:paraId="480122AF">
      <w:pPr>
        <w:tabs>
          <w:tab w:val="left" w:pos="8551"/>
        </w:tabs>
        <w:ind w:firstLine="1200" w:firstLineChars="400"/>
        <w:jc w:val="left"/>
        <w:rPr>
          <w:rFonts w:ascii="仿宋" w:hAnsi="仿宋" w:eastAsia="仿宋" w:cs="仿宋"/>
          <w:sz w:val="20"/>
        </w:rPr>
      </w:pPr>
      <w:r>
        <w:rPr>
          <w:rFonts w:hint="eastAsia" w:ascii="仿宋" w:hAnsi="仿宋" w:eastAsia="仿宋" w:cs="仿宋"/>
          <w:sz w:val="30"/>
        </w:rPr>
        <w:t>招</w:t>
      </w:r>
      <w:r>
        <w:rPr>
          <w:rFonts w:hint="eastAsia" w:ascii="仿宋" w:hAnsi="仿宋" w:eastAsia="仿宋" w:cs="仿宋"/>
          <w:spacing w:val="4"/>
          <w:sz w:val="30"/>
        </w:rPr>
        <w:t xml:space="preserve"> </w:t>
      </w:r>
      <w:r>
        <w:rPr>
          <w:rFonts w:hint="eastAsia" w:ascii="仿宋" w:hAnsi="仿宋" w:eastAsia="仿宋" w:cs="仿宋"/>
          <w:sz w:val="30"/>
        </w:rPr>
        <w:t>标人：</w:t>
      </w:r>
      <w:r>
        <w:rPr>
          <w:rFonts w:hint="eastAsia" w:ascii="仿宋" w:hAnsi="仿宋" w:eastAsia="仿宋" w:cs="仿宋"/>
          <w:sz w:val="30"/>
          <w:u w:val="single"/>
        </w:rPr>
        <w:t xml:space="preserve">淮南经济技术开发区社会发展局 </w:t>
      </w:r>
      <w:r>
        <w:rPr>
          <w:rFonts w:hint="eastAsia" w:ascii="仿宋" w:hAnsi="仿宋" w:eastAsia="仿宋" w:cs="仿宋"/>
          <w:sz w:val="30"/>
        </w:rPr>
        <w:t>（盖章）</w:t>
      </w:r>
    </w:p>
    <w:p w14:paraId="70D7B18E">
      <w:pPr>
        <w:spacing w:before="212"/>
        <w:ind w:firstLine="1200" w:firstLineChars="400"/>
        <w:jc w:val="left"/>
        <w:rPr>
          <w:rFonts w:ascii="仿宋" w:hAnsi="仿宋" w:eastAsia="仿宋" w:cs="仿宋"/>
          <w:sz w:val="30"/>
        </w:rPr>
      </w:pPr>
      <w:r>
        <w:rPr>
          <w:rFonts w:hint="eastAsia" w:ascii="仿宋" w:hAnsi="仿宋" w:eastAsia="仿宋" w:cs="仿宋"/>
          <w:sz w:val="30"/>
        </w:rPr>
        <w:t>招标代理：</w:t>
      </w:r>
      <w:r>
        <w:rPr>
          <w:rFonts w:hint="eastAsia" w:ascii="仿宋" w:hAnsi="仿宋" w:eastAsia="仿宋" w:cs="仿宋"/>
          <w:sz w:val="30"/>
          <w:u w:val="single"/>
        </w:rPr>
        <w:t>安徽科创工程项目管理有限公司</w:t>
      </w:r>
      <w:r>
        <w:rPr>
          <w:rFonts w:hint="eastAsia" w:ascii="仿宋" w:hAnsi="仿宋" w:eastAsia="仿宋" w:cs="仿宋"/>
          <w:sz w:val="30"/>
        </w:rPr>
        <w:t>（盖章）</w:t>
      </w:r>
    </w:p>
    <w:p w14:paraId="2C5CBC2E">
      <w:pPr>
        <w:pStyle w:val="23"/>
        <w:rPr>
          <w:rFonts w:ascii="仿宋" w:hAnsi="仿宋" w:eastAsia="仿宋" w:cs="仿宋"/>
          <w:sz w:val="20"/>
        </w:rPr>
      </w:pPr>
    </w:p>
    <w:p w14:paraId="73B08853">
      <w:pPr>
        <w:pStyle w:val="23"/>
        <w:rPr>
          <w:rFonts w:ascii="仿宋" w:hAnsi="仿宋" w:eastAsia="仿宋" w:cs="仿宋"/>
          <w:sz w:val="20"/>
        </w:rPr>
      </w:pPr>
    </w:p>
    <w:p w14:paraId="36A2468D">
      <w:pPr>
        <w:spacing w:before="61"/>
        <w:ind w:right="388"/>
        <w:rPr>
          <w:rFonts w:ascii="仿宋" w:hAnsi="仿宋" w:eastAsia="仿宋" w:cs="仿宋"/>
          <w:spacing w:val="5"/>
          <w:sz w:val="31"/>
        </w:rPr>
      </w:pPr>
    </w:p>
    <w:p w14:paraId="4A903ED1">
      <w:pPr>
        <w:jc w:val="center"/>
        <w:rPr>
          <w:rFonts w:ascii="仿宋" w:hAnsi="仿宋" w:eastAsia="仿宋" w:cs="仿宋"/>
          <w:sz w:val="28"/>
          <w:szCs w:val="28"/>
        </w:rPr>
      </w:pPr>
      <w:r>
        <w:rPr>
          <w:rFonts w:hint="eastAsia" w:ascii="仿宋" w:hAnsi="仿宋" w:eastAsia="仿宋" w:cs="仿宋"/>
          <w:sz w:val="28"/>
          <w:szCs w:val="28"/>
        </w:rPr>
        <w:t>二〇二〇年九月</w:t>
      </w:r>
    </w:p>
    <w:p w14:paraId="5B87578D">
      <w:pPr>
        <w:rPr>
          <w:rFonts w:ascii="仿宋" w:hAnsi="仿宋" w:eastAsia="仿宋" w:cs="仿宋"/>
          <w:highlight w:val="cyan"/>
        </w:rPr>
      </w:pPr>
    </w:p>
    <w:p w14:paraId="191A428F">
      <w:pPr>
        <w:tabs>
          <w:tab w:val="left" w:pos="4620"/>
        </w:tabs>
        <w:spacing w:line="500" w:lineRule="exact"/>
        <w:jc w:val="center"/>
        <w:rPr>
          <w:rFonts w:ascii="仿宋" w:hAnsi="仿宋" w:eastAsia="仿宋" w:cs="仿宋"/>
          <w:b/>
          <w:sz w:val="44"/>
          <w:szCs w:val="44"/>
          <w:highlight w:val="white"/>
        </w:rPr>
      </w:pPr>
    </w:p>
    <w:p w14:paraId="648F8BAF">
      <w:pPr>
        <w:tabs>
          <w:tab w:val="left" w:pos="4620"/>
        </w:tabs>
        <w:spacing w:line="500" w:lineRule="exact"/>
        <w:jc w:val="center"/>
        <w:rPr>
          <w:rFonts w:ascii="仿宋" w:hAnsi="仿宋" w:eastAsia="仿宋" w:cs="仿宋"/>
          <w:b/>
          <w:sz w:val="44"/>
          <w:szCs w:val="44"/>
        </w:rPr>
      </w:pPr>
      <w:r>
        <w:rPr>
          <w:rFonts w:hint="eastAsia" w:ascii="仿宋" w:hAnsi="仿宋" w:eastAsia="仿宋" w:cs="仿宋"/>
          <w:b/>
          <w:sz w:val="44"/>
          <w:szCs w:val="44"/>
          <w:highlight w:val="white"/>
        </w:rPr>
        <w:t>目  录</w:t>
      </w:r>
    </w:p>
    <w:p w14:paraId="0C1D8F28">
      <w:pPr>
        <w:tabs>
          <w:tab w:val="left" w:pos="4620"/>
        </w:tabs>
        <w:spacing w:line="500" w:lineRule="exact"/>
        <w:jc w:val="center"/>
        <w:rPr>
          <w:rFonts w:ascii="仿宋" w:hAnsi="仿宋" w:eastAsia="仿宋" w:cs="仿宋"/>
          <w:b/>
          <w:sz w:val="44"/>
          <w:szCs w:val="44"/>
        </w:rPr>
      </w:pPr>
    </w:p>
    <w:sdt>
      <w:sdtPr>
        <w:rPr>
          <w:rFonts w:hint="eastAsia" w:ascii="仿宋" w:hAnsi="仿宋" w:eastAsia="仿宋" w:cs="仿宋"/>
        </w:rPr>
        <w:id w:val="147476058"/>
        <w:docPartObj>
          <w:docPartGallery w:val="Table of Contents"/>
          <w:docPartUnique/>
        </w:docPartObj>
      </w:sdtPr>
      <w:sdtEndPr>
        <w:rPr>
          <w:rFonts w:hint="eastAsia" w:ascii="仿宋" w:hAnsi="仿宋" w:eastAsia="仿宋" w:cs="仿宋"/>
          <w:highlight w:val="white"/>
        </w:rPr>
      </w:sdtEndPr>
      <w:sdtContent>
        <w:p w14:paraId="45F6B73B">
          <w:pPr>
            <w:jc w:val="center"/>
            <w:rPr>
              <w:rFonts w:ascii="仿宋" w:hAnsi="仿宋" w:eastAsia="仿宋" w:cs="仿宋"/>
            </w:rPr>
          </w:pPr>
          <w:bookmarkStart w:id="1" w:name="_Hlt533241375"/>
          <w:bookmarkEnd w:id="1"/>
          <w:bookmarkStart w:id="2" w:name="_Hlt526418134"/>
          <w:bookmarkEnd w:id="2"/>
          <w:bookmarkStart w:id="3" w:name="_Hlt519045295"/>
          <w:bookmarkEnd w:id="3"/>
          <w:bookmarkStart w:id="4" w:name="_Toc407096143"/>
        </w:p>
        <w:p w14:paraId="2B5D2245">
          <w:pPr>
            <w:pStyle w:val="204"/>
            <w:tabs>
              <w:tab w:val="right" w:leader="dot" w:pos="9298"/>
            </w:tabs>
            <w:spacing w:line="360" w:lineRule="auto"/>
            <w:rPr>
              <w:rFonts w:ascii="仿宋" w:hAnsi="仿宋" w:eastAsia="仿宋" w:cs="仿宋"/>
              <w:sz w:val="28"/>
              <w:szCs w:val="28"/>
            </w:rPr>
          </w:pPr>
          <w:r>
            <w:rPr>
              <w:rFonts w:hint="eastAsia" w:ascii="仿宋" w:hAnsi="仿宋" w:eastAsia="仿宋" w:cs="仿宋"/>
              <w:highlight w:val="white"/>
            </w:rPr>
            <w:fldChar w:fldCharType="begin"/>
          </w:r>
          <w:r>
            <w:rPr>
              <w:rFonts w:hint="eastAsia" w:ascii="仿宋" w:hAnsi="仿宋" w:eastAsia="仿宋" w:cs="仿宋"/>
              <w:highlight w:val="white"/>
            </w:rPr>
            <w:instrText xml:space="preserve">TOC \o "1-1" \h \u </w:instrText>
          </w:r>
          <w:r>
            <w:rPr>
              <w:rFonts w:hint="eastAsia" w:ascii="仿宋" w:hAnsi="仿宋" w:eastAsia="仿宋" w:cs="仿宋"/>
              <w:highlight w:val="white"/>
            </w:rPr>
            <w:fldChar w:fldCharType="separate"/>
          </w:r>
          <w:r>
            <w:fldChar w:fldCharType="begin"/>
          </w:r>
          <w:r>
            <w:instrText xml:space="preserve"> HYPERLINK \l "_Toc1923" </w:instrText>
          </w:r>
          <w:r>
            <w:fldChar w:fldCharType="separate"/>
          </w:r>
          <w:r>
            <w:rPr>
              <w:rFonts w:hint="eastAsia" w:ascii="仿宋" w:hAnsi="仿宋" w:eastAsia="仿宋" w:cs="仿宋"/>
              <w:sz w:val="28"/>
              <w:szCs w:val="28"/>
            </w:rPr>
            <w:t>第一章  招标公告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_Toc1923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5EE79F3">
          <w:pPr>
            <w:pStyle w:val="204"/>
            <w:tabs>
              <w:tab w:val="right" w:leader="dot" w:pos="9298"/>
            </w:tabs>
            <w:spacing w:line="360" w:lineRule="auto"/>
            <w:rPr>
              <w:rFonts w:ascii="仿宋" w:hAnsi="仿宋" w:eastAsia="仿宋" w:cs="仿宋"/>
              <w:sz w:val="28"/>
              <w:szCs w:val="28"/>
            </w:rPr>
          </w:pPr>
          <w:r>
            <w:fldChar w:fldCharType="begin"/>
          </w:r>
          <w:r>
            <w:instrText xml:space="preserve"> HYPERLINK \l "_Toc18874" </w:instrText>
          </w:r>
          <w:r>
            <w:fldChar w:fldCharType="separate"/>
          </w:r>
          <w:r>
            <w:rPr>
              <w:rFonts w:hint="eastAsia" w:ascii="仿宋" w:hAnsi="仿宋" w:eastAsia="仿宋" w:cs="仿宋"/>
              <w:sz w:val="28"/>
              <w:szCs w:val="28"/>
            </w:rPr>
            <w:t>第二章投标须知前附表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_Toc18874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7BA855F">
          <w:pPr>
            <w:pStyle w:val="204"/>
            <w:tabs>
              <w:tab w:val="right" w:leader="dot" w:pos="9298"/>
            </w:tabs>
            <w:spacing w:line="360" w:lineRule="auto"/>
            <w:rPr>
              <w:rFonts w:ascii="仿宋" w:hAnsi="仿宋" w:eastAsia="仿宋" w:cs="仿宋"/>
              <w:sz w:val="28"/>
              <w:szCs w:val="28"/>
            </w:rPr>
          </w:pPr>
          <w:r>
            <w:fldChar w:fldCharType="begin"/>
          </w:r>
          <w:r>
            <w:instrText xml:space="preserve"> HYPERLINK \l "_Toc31866" </w:instrText>
          </w:r>
          <w:r>
            <w:fldChar w:fldCharType="separate"/>
          </w:r>
          <w:r>
            <w:rPr>
              <w:rFonts w:hint="eastAsia" w:ascii="仿宋" w:hAnsi="仿宋" w:eastAsia="仿宋" w:cs="仿宋"/>
              <w:bCs/>
              <w:sz w:val="28"/>
              <w:szCs w:val="48"/>
            </w:rPr>
            <w:t>第三章采购需求一览表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_Toc31866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4B05068">
          <w:pPr>
            <w:pStyle w:val="204"/>
            <w:tabs>
              <w:tab w:val="right" w:leader="dot" w:pos="9298"/>
            </w:tabs>
            <w:spacing w:line="360" w:lineRule="auto"/>
            <w:rPr>
              <w:rFonts w:ascii="仿宋" w:hAnsi="仿宋" w:eastAsia="仿宋" w:cs="仿宋"/>
              <w:sz w:val="28"/>
              <w:szCs w:val="28"/>
            </w:rPr>
          </w:pPr>
          <w:r>
            <w:fldChar w:fldCharType="begin"/>
          </w:r>
          <w:r>
            <w:instrText xml:space="preserve"> HYPERLINK \l "_Toc13438" </w:instrText>
          </w:r>
          <w:r>
            <w:fldChar w:fldCharType="separate"/>
          </w:r>
          <w:r>
            <w:rPr>
              <w:rFonts w:hint="eastAsia" w:ascii="仿宋" w:hAnsi="仿宋" w:eastAsia="仿宋" w:cs="仿宋"/>
              <w:bCs/>
              <w:sz w:val="28"/>
              <w:szCs w:val="48"/>
            </w:rPr>
            <w:t>第四章 评标办法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_Toc13438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7EC7A2E">
          <w:pPr>
            <w:pStyle w:val="204"/>
            <w:tabs>
              <w:tab w:val="right" w:leader="dot" w:pos="9298"/>
            </w:tabs>
            <w:spacing w:line="360" w:lineRule="auto"/>
            <w:rPr>
              <w:rFonts w:ascii="仿宋" w:hAnsi="仿宋" w:eastAsia="仿宋" w:cs="仿宋"/>
              <w:sz w:val="28"/>
              <w:szCs w:val="28"/>
            </w:rPr>
          </w:pPr>
          <w:r>
            <w:fldChar w:fldCharType="begin"/>
          </w:r>
          <w:r>
            <w:instrText xml:space="preserve"> HYPERLINK \l "_Toc9816" </w:instrText>
          </w:r>
          <w:r>
            <w:fldChar w:fldCharType="separate"/>
          </w:r>
          <w:r>
            <w:rPr>
              <w:rFonts w:hint="eastAsia" w:ascii="仿宋" w:hAnsi="仿宋" w:eastAsia="仿宋" w:cs="仿宋"/>
              <w:sz w:val="28"/>
              <w:szCs w:val="28"/>
              <w:highlight w:val="white"/>
            </w:rPr>
            <w:t>第五章投标人须知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_Toc9816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C756154">
          <w:pPr>
            <w:pStyle w:val="204"/>
            <w:tabs>
              <w:tab w:val="right" w:leader="dot" w:pos="9298"/>
            </w:tabs>
            <w:spacing w:line="360" w:lineRule="auto"/>
            <w:rPr>
              <w:rFonts w:ascii="仿宋" w:hAnsi="仿宋" w:eastAsia="仿宋" w:cs="仿宋"/>
              <w:sz w:val="28"/>
              <w:szCs w:val="28"/>
            </w:rPr>
          </w:pPr>
          <w:r>
            <w:fldChar w:fldCharType="begin"/>
          </w:r>
          <w:r>
            <w:instrText xml:space="preserve"> HYPERLINK \l "_Toc8965" </w:instrText>
          </w:r>
          <w:r>
            <w:fldChar w:fldCharType="separate"/>
          </w:r>
          <w:r>
            <w:rPr>
              <w:rFonts w:hint="eastAsia" w:ascii="仿宋" w:hAnsi="仿宋" w:eastAsia="仿宋" w:cs="仿宋"/>
              <w:bCs/>
              <w:kern w:val="44"/>
              <w:sz w:val="28"/>
              <w:szCs w:val="72"/>
            </w:rPr>
            <w:t>第六章 采购合同</w:t>
          </w:r>
          <w:r>
            <w:rPr>
              <w:rFonts w:hint="eastAsia" w:ascii="仿宋" w:hAnsi="仿宋" w:eastAsia="仿宋" w:cs="仿宋"/>
              <w:sz w:val="28"/>
              <w:szCs w:val="28"/>
            </w:rPr>
            <w:tab/>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highlight w:val="white"/>
            </w:rPr>
            <w:t>2</w:t>
          </w:r>
        </w:p>
        <w:p w14:paraId="27F6AC12">
          <w:pPr>
            <w:pStyle w:val="204"/>
            <w:tabs>
              <w:tab w:val="right" w:leader="dot" w:pos="9298"/>
            </w:tabs>
            <w:spacing w:line="360" w:lineRule="auto"/>
            <w:rPr>
              <w:rFonts w:ascii="仿宋" w:hAnsi="仿宋" w:eastAsia="仿宋" w:cs="仿宋"/>
              <w:sz w:val="28"/>
              <w:szCs w:val="28"/>
            </w:rPr>
          </w:pPr>
          <w:r>
            <w:fldChar w:fldCharType="begin"/>
          </w:r>
          <w:r>
            <w:instrText xml:space="preserve"> HYPERLINK \l "_Toc5760" </w:instrText>
          </w:r>
          <w:r>
            <w:fldChar w:fldCharType="separate"/>
          </w:r>
          <w:r>
            <w:rPr>
              <w:rFonts w:hint="eastAsia" w:ascii="仿宋" w:hAnsi="仿宋" w:eastAsia="仿宋" w:cs="仿宋"/>
              <w:bCs/>
              <w:sz w:val="28"/>
              <w:szCs w:val="52"/>
            </w:rPr>
            <w:t>第七章 投标文件格式</w:t>
          </w:r>
          <w:r>
            <w:rPr>
              <w:rFonts w:hint="eastAsia" w:ascii="仿宋" w:hAnsi="仿宋" w:eastAsia="仿宋" w:cs="仿宋"/>
              <w:sz w:val="28"/>
              <w:szCs w:val="28"/>
            </w:rPr>
            <w:tab/>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highlight w:val="white"/>
            </w:rPr>
            <w:t>7</w:t>
          </w:r>
        </w:p>
        <w:p w14:paraId="76EC96F3">
          <w:pPr>
            <w:pStyle w:val="204"/>
            <w:tabs>
              <w:tab w:val="right" w:leader="dot" w:pos="9298"/>
            </w:tabs>
            <w:rPr>
              <w:rFonts w:ascii="仿宋" w:hAnsi="仿宋" w:eastAsia="仿宋" w:cs="仿宋"/>
            </w:rPr>
          </w:pPr>
        </w:p>
        <w:p w14:paraId="0C638608">
          <w:pPr>
            <w:rPr>
              <w:rFonts w:ascii="仿宋" w:hAnsi="仿宋" w:eastAsia="仿宋" w:cs="仿宋"/>
              <w:highlight w:val="white"/>
            </w:rPr>
          </w:pPr>
          <w:r>
            <w:rPr>
              <w:rFonts w:hint="eastAsia" w:ascii="仿宋" w:hAnsi="仿宋" w:eastAsia="仿宋" w:cs="仿宋"/>
              <w:highlight w:val="white"/>
            </w:rPr>
            <w:fldChar w:fldCharType="end"/>
          </w:r>
        </w:p>
      </w:sdtContent>
    </w:sdt>
    <w:p w14:paraId="7839337A">
      <w:pPr>
        <w:rPr>
          <w:rFonts w:ascii="仿宋" w:hAnsi="仿宋" w:eastAsia="仿宋" w:cs="仿宋"/>
          <w:highlight w:val="white"/>
        </w:rPr>
        <w:sectPr>
          <w:headerReference r:id="rId3" w:type="default"/>
          <w:footerReference r:id="rId4" w:type="default"/>
          <w:type w:val="nextColumn"/>
          <w:pgSz w:w="11907" w:h="16840"/>
          <w:pgMar w:top="1323" w:right="1191" w:bottom="851" w:left="1418" w:header="907" w:footer="907" w:gutter="0"/>
          <w:pgNumType w:start="1"/>
          <w:cols w:space="720" w:num="1"/>
          <w:docGrid w:linePitch="530" w:charSpace="2463"/>
        </w:sectPr>
      </w:pPr>
    </w:p>
    <w:bookmarkEnd w:id="4"/>
    <w:p w14:paraId="512141E6">
      <w:pPr>
        <w:pStyle w:val="5"/>
        <w:jc w:val="both"/>
        <w:rPr>
          <w:rFonts w:ascii="仿宋" w:hAnsi="仿宋" w:eastAsia="仿宋" w:cs="仿宋"/>
        </w:rPr>
      </w:pPr>
      <w:bookmarkStart w:id="5" w:name="_Toc456249438"/>
      <w:bookmarkStart w:id="6" w:name="_Toc430438698"/>
      <w:bookmarkStart w:id="7" w:name="_Toc518556905"/>
      <w:bookmarkStart w:id="8" w:name="_Toc456249636"/>
      <w:bookmarkStart w:id="9" w:name="_Toc1923"/>
      <w:bookmarkStart w:id="10" w:name="_Toc407096145"/>
      <w:bookmarkStart w:id="11" w:name="_Toc220232390"/>
    </w:p>
    <w:p w14:paraId="107493F4">
      <w:pPr>
        <w:pStyle w:val="5"/>
        <w:rPr>
          <w:rFonts w:ascii="仿宋" w:hAnsi="仿宋" w:eastAsia="仿宋" w:cs="仿宋"/>
          <w:sz w:val="36"/>
          <w:szCs w:val="36"/>
        </w:rPr>
      </w:pPr>
      <w:r>
        <w:rPr>
          <w:rFonts w:hint="eastAsia" w:ascii="仿宋" w:hAnsi="仿宋" w:eastAsia="仿宋" w:cs="仿宋"/>
          <w:sz w:val="36"/>
          <w:szCs w:val="36"/>
        </w:rPr>
        <w:t>第一章  招标公告</w:t>
      </w:r>
      <w:bookmarkEnd w:id="5"/>
      <w:bookmarkEnd w:id="6"/>
      <w:bookmarkEnd w:id="7"/>
      <w:bookmarkEnd w:id="8"/>
      <w:bookmarkEnd w:id="9"/>
    </w:p>
    <w:p w14:paraId="4F464398">
      <w:pPr>
        <w:keepNext/>
        <w:keepLines/>
        <w:tabs>
          <w:tab w:val="left" w:pos="0"/>
          <w:tab w:val="left" w:pos="3165"/>
          <w:tab w:val="center" w:pos="4153"/>
        </w:tabs>
        <w:autoSpaceDE w:val="0"/>
        <w:autoSpaceDN w:val="0"/>
        <w:adjustRightInd w:val="0"/>
        <w:jc w:val="center"/>
        <w:outlineLvl w:val="0"/>
        <w:rPr>
          <w:rFonts w:ascii="仿宋" w:hAnsi="仿宋" w:eastAsia="仿宋" w:cs="仿宋"/>
          <w:b/>
          <w:bCs/>
          <w:kern w:val="44"/>
          <w:sz w:val="32"/>
          <w:szCs w:val="32"/>
        </w:rPr>
      </w:pPr>
      <w:bookmarkStart w:id="12" w:name="_Toc28359001"/>
      <w:bookmarkStart w:id="13" w:name="_Toc35393789"/>
      <w:bookmarkStart w:id="14" w:name="_Toc430438699"/>
      <w:bookmarkStart w:id="15" w:name="_Toc18874"/>
      <w:bookmarkStart w:id="16" w:name="_Toc456249439"/>
      <w:bookmarkStart w:id="17" w:name="_Toc456249637"/>
      <w:bookmarkStart w:id="18" w:name="_Toc518556906"/>
      <w:bookmarkStart w:id="19" w:name="_Toc382508379"/>
      <w:r>
        <w:rPr>
          <w:rFonts w:hint="eastAsia" w:ascii="仿宋" w:hAnsi="仿宋" w:eastAsia="仿宋" w:cs="仿宋"/>
          <w:b/>
          <w:bCs/>
          <w:kern w:val="44"/>
          <w:sz w:val="32"/>
          <w:szCs w:val="32"/>
        </w:rPr>
        <w:t>淮南经济技术开发区所属公办学校智慧课堂及智慧黑板</w:t>
      </w:r>
    </w:p>
    <w:p w14:paraId="519E927A">
      <w:pPr>
        <w:keepNext/>
        <w:keepLines/>
        <w:tabs>
          <w:tab w:val="left" w:pos="0"/>
          <w:tab w:val="left" w:pos="3165"/>
          <w:tab w:val="center" w:pos="4153"/>
        </w:tabs>
        <w:autoSpaceDE w:val="0"/>
        <w:autoSpaceDN w:val="0"/>
        <w:adjustRightInd w:val="0"/>
        <w:jc w:val="center"/>
        <w:outlineLvl w:val="0"/>
        <w:rPr>
          <w:rFonts w:ascii="仿宋" w:hAnsi="仿宋" w:eastAsia="仿宋" w:cs="仿宋"/>
          <w:b/>
          <w:bCs/>
          <w:kern w:val="44"/>
          <w:sz w:val="32"/>
          <w:szCs w:val="32"/>
        </w:rPr>
      </w:pPr>
      <w:r>
        <w:rPr>
          <w:rFonts w:hint="eastAsia" w:ascii="仿宋" w:hAnsi="仿宋" w:eastAsia="仿宋" w:cs="仿宋"/>
          <w:b/>
          <w:bCs/>
          <w:kern w:val="44"/>
          <w:sz w:val="32"/>
          <w:szCs w:val="32"/>
        </w:rPr>
        <w:t>采购项目招标公告</w:t>
      </w:r>
      <w:bookmarkEnd w:id="12"/>
      <w:bookmarkEnd w:id="13"/>
      <w:r>
        <w:rPr>
          <w:rFonts w:hint="eastAsia" w:ascii="仿宋" w:hAnsi="仿宋" w:eastAsia="仿宋" w:cs="仿宋"/>
          <w:b/>
          <w:bCs/>
          <w:kern w:val="44"/>
          <w:sz w:val="32"/>
          <w:szCs w:val="32"/>
        </w:rPr>
        <w:t>（一次）</w:t>
      </w:r>
    </w:p>
    <w:p w14:paraId="09508B47">
      <w:pPr>
        <w:pBdr>
          <w:top w:val="single" w:color="auto" w:sz="4" w:space="1"/>
          <w:left w:val="single" w:color="auto" w:sz="4" w:space="4"/>
          <w:bottom w:val="single" w:color="auto" w:sz="4" w:space="1"/>
          <w:right w:val="single" w:color="auto" w:sz="4" w:space="4"/>
        </w:pBdr>
        <w:ind w:firstLine="560" w:firstLineChars="200"/>
        <w:rPr>
          <w:rFonts w:ascii="仿宋" w:hAnsi="仿宋" w:eastAsia="仿宋" w:cs="仿宋"/>
          <w:sz w:val="28"/>
          <w:szCs w:val="28"/>
        </w:rPr>
      </w:pPr>
      <w:r>
        <w:rPr>
          <w:rFonts w:hint="eastAsia" w:ascii="仿宋" w:hAnsi="仿宋" w:eastAsia="仿宋" w:cs="仿宋"/>
          <w:sz w:val="28"/>
          <w:szCs w:val="28"/>
        </w:rPr>
        <w:t>项目概况</w:t>
      </w:r>
    </w:p>
    <w:p w14:paraId="500F5862">
      <w:pPr>
        <w:pBdr>
          <w:top w:val="single" w:color="auto" w:sz="4" w:space="1"/>
          <w:left w:val="single" w:color="auto" w:sz="4" w:space="4"/>
          <w:bottom w:val="single" w:color="auto" w:sz="4" w:space="1"/>
          <w:right w:val="single" w:color="auto" w:sz="4" w:space="4"/>
        </w:pBdr>
        <w:ind w:firstLine="560" w:firstLineChars="200"/>
        <w:rPr>
          <w:rFonts w:ascii="仿宋" w:hAnsi="仿宋" w:eastAsia="仿宋" w:cs="仿宋"/>
          <w:sz w:val="28"/>
          <w:szCs w:val="28"/>
        </w:rPr>
      </w:pPr>
      <w:r>
        <w:rPr>
          <w:rFonts w:hint="eastAsia" w:ascii="仿宋" w:hAnsi="仿宋" w:eastAsia="仿宋" w:cs="仿宋"/>
          <w:sz w:val="28"/>
          <w:szCs w:val="28"/>
          <w:u w:val="single"/>
        </w:rPr>
        <w:t>淮南经济技术开发区所属公办学校智慧课堂及智慧黑板采购</w:t>
      </w:r>
      <w:r>
        <w:rPr>
          <w:rFonts w:hint="eastAsia" w:ascii="仿宋" w:hAnsi="仿宋" w:eastAsia="仿宋" w:cs="仿宋"/>
          <w:sz w:val="28"/>
          <w:szCs w:val="28"/>
        </w:rPr>
        <w:t xml:space="preserve"> 招标项目的潜在投标人应在</w:t>
      </w:r>
      <w:r>
        <w:rPr>
          <w:rFonts w:hint="eastAsia" w:ascii="仿宋" w:hAnsi="仿宋" w:eastAsia="仿宋" w:cs="仿宋"/>
          <w:sz w:val="28"/>
          <w:szCs w:val="28"/>
          <w:u w:val="single"/>
        </w:rPr>
        <w:t>淮南经济技术开发区管理委员会网站</w:t>
      </w:r>
      <w:r>
        <w:rPr>
          <w:rFonts w:hint="eastAsia" w:ascii="仿宋" w:hAnsi="仿宋" w:eastAsia="仿宋" w:cs="仿宋"/>
          <w:sz w:val="28"/>
          <w:szCs w:val="28"/>
        </w:rPr>
        <w:t>获取招标文件，并于</w:t>
      </w:r>
      <w:r>
        <w:rPr>
          <w:rFonts w:hint="eastAsia" w:ascii="仿宋" w:hAnsi="仿宋" w:eastAsia="仿宋" w:cs="仿宋"/>
          <w:sz w:val="28"/>
          <w:szCs w:val="28"/>
          <w:u w:val="single"/>
        </w:rPr>
        <w:t xml:space="preserve">  2020</w:t>
      </w:r>
      <w:r>
        <w:rPr>
          <w:rFonts w:hint="eastAsia" w:ascii="仿宋" w:hAnsi="仿宋" w:eastAsia="仿宋" w:cs="仿宋"/>
          <w:bCs/>
          <w:sz w:val="28"/>
          <w:szCs w:val="28"/>
          <w:u w:val="single"/>
        </w:rPr>
        <w:t>年9月 28 日9点00分（</w:t>
      </w:r>
      <w:r>
        <w:rPr>
          <w:rFonts w:hint="eastAsia" w:ascii="仿宋" w:hAnsi="仿宋" w:eastAsia="仿宋" w:cs="仿宋"/>
          <w:bCs/>
          <w:sz w:val="28"/>
          <w:szCs w:val="28"/>
        </w:rPr>
        <w:t>北京时间）前递交投标文件</w:t>
      </w:r>
      <w:r>
        <w:rPr>
          <w:rFonts w:hint="eastAsia" w:ascii="仿宋" w:hAnsi="仿宋" w:eastAsia="仿宋" w:cs="仿宋"/>
          <w:sz w:val="28"/>
          <w:szCs w:val="28"/>
        </w:rPr>
        <w:t>。</w:t>
      </w:r>
    </w:p>
    <w:p w14:paraId="549C42BB">
      <w:pPr>
        <w:keepNext/>
        <w:keepLines/>
        <w:spacing w:before="260" w:after="260" w:line="360" w:lineRule="auto"/>
        <w:outlineLvl w:val="1"/>
        <w:rPr>
          <w:rFonts w:ascii="仿宋" w:hAnsi="仿宋" w:eastAsia="仿宋" w:cs="仿宋"/>
          <w:b/>
          <w:sz w:val="28"/>
          <w:szCs w:val="28"/>
        </w:rPr>
      </w:pPr>
      <w:bookmarkStart w:id="20" w:name="_Toc35393621"/>
      <w:bookmarkStart w:id="21" w:name="_Toc35393790"/>
      <w:bookmarkStart w:id="22" w:name="_Toc28359079"/>
      <w:bookmarkStart w:id="23" w:name="_Toc28359002"/>
      <w:bookmarkStart w:id="24" w:name="_Hlk24379207"/>
      <w:r>
        <w:rPr>
          <w:rFonts w:hint="eastAsia" w:ascii="仿宋" w:hAnsi="仿宋" w:eastAsia="仿宋" w:cs="仿宋"/>
          <w:b/>
          <w:sz w:val="28"/>
          <w:szCs w:val="28"/>
        </w:rPr>
        <w:t>一、项目基本情况</w:t>
      </w:r>
      <w:bookmarkEnd w:id="20"/>
      <w:bookmarkEnd w:id="21"/>
      <w:bookmarkEnd w:id="22"/>
      <w:bookmarkEnd w:id="23"/>
    </w:p>
    <w:p w14:paraId="2D71F4DA">
      <w:pPr>
        <w:spacing w:line="360" w:lineRule="auto"/>
        <w:ind w:firstLine="560" w:firstLineChars="200"/>
        <w:rPr>
          <w:rFonts w:ascii="仿宋" w:hAnsi="仿宋" w:eastAsia="仿宋" w:cs="仿宋"/>
          <w:color w:val="FF0000"/>
          <w:sz w:val="28"/>
          <w:szCs w:val="28"/>
        </w:rPr>
      </w:pPr>
      <w:r>
        <w:rPr>
          <w:rFonts w:hint="eastAsia" w:ascii="仿宋" w:hAnsi="仿宋" w:eastAsia="仿宋" w:cs="仿宋"/>
          <w:sz w:val="28"/>
          <w:szCs w:val="28"/>
        </w:rPr>
        <w:t>项目编号：</w:t>
      </w:r>
      <w:r>
        <w:rPr>
          <w:rFonts w:hint="eastAsia" w:ascii="仿宋" w:hAnsi="仿宋" w:eastAsia="仿宋" w:cs="仿宋"/>
          <w:bCs/>
          <w:sz w:val="28"/>
          <w:szCs w:val="28"/>
        </w:rPr>
        <w:t>AHKCDY20-91</w:t>
      </w:r>
    </w:p>
    <w:p w14:paraId="56E27FF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项目名称：</w:t>
      </w:r>
      <w:r>
        <w:rPr>
          <w:rFonts w:hint="eastAsia" w:ascii="仿宋" w:hAnsi="仿宋" w:eastAsia="仿宋" w:cs="仿宋"/>
          <w:bCs/>
          <w:sz w:val="28"/>
          <w:szCs w:val="28"/>
        </w:rPr>
        <w:t>淮南经济技术开发区所属公办学校智慧课堂及智慧黑板采购项目</w:t>
      </w:r>
    </w:p>
    <w:bookmarkEnd w:id="24"/>
    <w:p w14:paraId="26BB35D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预算金额：800000元，财政资金</w:t>
      </w:r>
    </w:p>
    <w:p w14:paraId="67D256F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最高限价：800000元</w:t>
      </w:r>
    </w:p>
    <w:p w14:paraId="4393B25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采购需求：详见招标文件第三章 采购需求</w:t>
      </w:r>
    </w:p>
    <w:p w14:paraId="4DAC334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合同履行期限：15日历天（交货及安装期）</w:t>
      </w:r>
    </w:p>
    <w:p w14:paraId="7E72C56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本项目</w:t>
      </w:r>
      <w:r>
        <w:rPr>
          <w:rFonts w:hint="eastAsia" w:ascii="仿宋" w:hAnsi="仿宋" w:eastAsia="仿宋" w:cs="仿宋"/>
          <w:sz w:val="28"/>
          <w:szCs w:val="28"/>
          <w:u w:val="single"/>
        </w:rPr>
        <w:t>不接受</w:t>
      </w:r>
      <w:r>
        <w:rPr>
          <w:rFonts w:hint="eastAsia" w:ascii="仿宋" w:hAnsi="仿宋" w:eastAsia="仿宋" w:cs="仿宋"/>
          <w:sz w:val="28"/>
          <w:szCs w:val="28"/>
        </w:rPr>
        <w:t>联合体。</w:t>
      </w:r>
    </w:p>
    <w:p w14:paraId="2B26E910">
      <w:pPr>
        <w:keepNext/>
        <w:keepLines/>
        <w:spacing w:before="260" w:after="260" w:line="360" w:lineRule="auto"/>
        <w:outlineLvl w:val="1"/>
        <w:rPr>
          <w:rFonts w:ascii="仿宋" w:hAnsi="仿宋" w:eastAsia="仿宋" w:cs="仿宋"/>
          <w:b/>
          <w:sz w:val="28"/>
          <w:szCs w:val="28"/>
        </w:rPr>
      </w:pPr>
      <w:bookmarkStart w:id="25" w:name="_Toc35393791"/>
      <w:bookmarkStart w:id="26" w:name="_Toc28359080"/>
      <w:bookmarkStart w:id="27" w:name="_Toc35393622"/>
      <w:bookmarkStart w:id="28" w:name="_Toc28359003"/>
      <w:r>
        <w:rPr>
          <w:rFonts w:hint="eastAsia" w:ascii="仿宋" w:hAnsi="仿宋" w:eastAsia="仿宋" w:cs="仿宋"/>
          <w:b/>
          <w:sz w:val="28"/>
          <w:szCs w:val="28"/>
        </w:rPr>
        <w:t>二、申请人的资格要求：</w:t>
      </w:r>
      <w:bookmarkEnd w:id="25"/>
      <w:bookmarkEnd w:id="26"/>
      <w:bookmarkEnd w:id="27"/>
      <w:bookmarkEnd w:id="28"/>
    </w:p>
    <w:p w14:paraId="3BEB6B71">
      <w:pPr>
        <w:widowControl/>
        <w:spacing w:line="360" w:lineRule="auto"/>
        <w:ind w:firstLine="560" w:firstLineChars="200"/>
        <w:jc w:val="left"/>
        <w:rPr>
          <w:rFonts w:ascii="仿宋" w:hAnsi="仿宋" w:eastAsia="仿宋" w:cs="仿宋"/>
          <w:color w:val="000000" w:themeColor="text1"/>
          <w:sz w:val="28"/>
          <w:szCs w:val="28"/>
        </w:rPr>
      </w:pPr>
      <w:bookmarkStart w:id="29" w:name="_Toc35393792"/>
      <w:bookmarkStart w:id="30" w:name="_Toc28359081"/>
      <w:bookmarkStart w:id="31" w:name="_Toc35393623"/>
      <w:bookmarkStart w:id="32" w:name="_Toc28359004"/>
      <w:r>
        <w:rPr>
          <w:rFonts w:hint="eastAsia" w:ascii="仿宋" w:hAnsi="仿宋" w:eastAsia="仿宋" w:cs="仿宋"/>
          <w:color w:val="000000" w:themeColor="text1"/>
          <w:sz w:val="28"/>
          <w:szCs w:val="28"/>
        </w:rPr>
        <w:t>1、供应商符合《中华人民共和国政府采购法》第二十二条规定的条件；</w:t>
      </w:r>
    </w:p>
    <w:p w14:paraId="59CA7E57">
      <w:pPr>
        <w:widowControl/>
        <w:spacing w:line="360" w:lineRule="auto"/>
        <w:ind w:firstLine="560" w:firstLineChars="200"/>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2、在中国境内注册，具有独立法人资格；</w:t>
      </w:r>
    </w:p>
    <w:p w14:paraId="3890DD42">
      <w:pPr>
        <w:widowControl/>
        <w:spacing w:line="360" w:lineRule="auto"/>
        <w:ind w:firstLine="560" w:firstLineChars="200"/>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3、法定代表人为同一个人的两个及两个以上法人，母公司、全资子公司及其控股公司，不得对本项目同时投标；</w:t>
      </w:r>
    </w:p>
    <w:p w14:paraId="3F704D58">
      <w:pPr>
        <w:widowControl/>
        <w:spacing w:line="360" w:lineRule="auto"/>
        <w:ind w:firstLine="560" w:firstLineChars="200"/>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4、供应商存在以下不良信用记录情形之一的，不得推荐为成交候选供应商，不得确定为成交供应商：</w:t>
      </w:r>
    </w:p>
    <w:p w14:paraId="53EB0B73">
      <w:pPr>
        <w:widowControl/>
        <w:spacing w:line="360" w:lineRule="auto"/>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（1）供应商被人民法院列入失信被执行人的；</w:t>
      </w:r>
    </w:p>
    <w:p w14:paraId="06255591">
      <w:pPr>
        <w:widowControl/>
        <w:spacing w:line="360" w:lineRule="auto"/>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（2）供应商或其法定代表人被人民检察院列入行贿犯罪档案的；</w:t>
      </w:r>
    </w:p>
    <w:p w14:paraId="0525E2AC">
      <w:pPr>
        <w:widowControl/>
        <w:spacing w:line="360" w:lineRule="auto"/>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（3）供应商被工商行政管理部门列入企业经营异常名录的；</w:t>
      </w:r>
    </w:p>
    <w:p w14:paraId="402ED320">
      <w:pPr>
        <w:widowControl/>
        <w:spacing w:line="360" w:lineRule="auto"/>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（4）供应商被税务部门列入重大税收违法案件当事人名单的；</w:t>
      </w:r>
    </w:p>
    <w:p w14:paraId="012BC8F8">
      <w:pPr>
        <w:widowControl/>
        <w:spacing w:line="360" w:lineRule="auto"/>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（5）供应商被政府采购监管部门列入政府采购严重违法失信行为记录名单的；</w:t>
      </w:r>
    </w:p>
    <w:p w14:paraId="79F2BCDF">
      <w:pPr>
        <w:widowControl/>
        <w:spacing w:line="360" w:lineRule="auto"/>
        <w:ind w:firstLine="560" w:firstLineChars="200"/>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5、主要设备或产品提供相同品牌产品且通过资格审查、符合性审查的不同投标人参加同一合同项下投标的，按一家投标人计算（以评审后得分最高的同品牌投标人为准，其他投标人做无效标处理，评审得分相同的采取摇号方式确定）。</w:t>
      </w:r>
    </w:p>
    <w:p w14:paraId="29232FD8">
      <w:pPr>
        <w:widowControl/>
        <w:spacing w:line="360" w:lineRule="auto"/>
        <w:ind w:firstLine="560" w:firstLineChars="200"/>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6、根据《政府采购促进中小企业发展暂行办法》规定，计算价格得分时，对小微型企业提供的供货的价格给予6%的扣除，对中型企业提供的供货的价格给予3%的扣除，用扣除后的价格参与评审，落实优先采购节能产品、环保标志产品等政策）</w:t>
      </w:r>
    </w:p>
    <w:p w14:paraId="3D8461D9">
      <w:pPr>
        <w:widowControl/>
        <w:spacing w:line="360" w:lineRule="auto"/>
        <w:ind w:firstLine="562" w:firstLineChars="200"/>
        <w:jc w:val="left"/>
        <w:rPr>
          <w:rFonts w:ascii="仿宋" w:hAnsi="仿宋" w:eastAsia="仿宋" w:cs="仿宋"/>
          <w:b/>
          <w:color w:val="000000" w:themeColor="text1"/>
          <w:sz w:val="28"/>
          <w:szCs w:val="28"/>
        </w:rPr>
      </w:pPr>
      <w:r>
        <w:rPr>
          <w:rFonts w:hint="eastAsia" w:ascii="仿宋" w:hAnsi="仿宋" w:eastAsia="仿宋" w:cs="仿宋"/>
          <w:b/>
          <w:sz w:val="28"/>
          <w:szCs w:val="28"/>
        </w:rPr>
        <w:t>三、</w:t>
      </w:r>
      <w:r>
        <w:rPr>
          <w:rFonts w:hint="eastAsia" w:ascii="仿宋" w:hAnsi="仿宋" w:eastAsia="仿宋" w:cs="仿宋"/>
          <w:b/>
          <w:color w:val="000000" w:themeColor="text1"/>
          <w:sz w:val="28"/>
          <w:szCs w:val="28"/>
        </w:rPr>
        <w:t>获取招标文件</w:t>
      </w:r>
      <w:bookmarkEnd w:id="29"/>
      <w:bookmarkEnd w:id="30"/>
      <w:bookmarkEnd w:id="31"/>
      <w:bookmarkEnd w:id="32"/>
    </w:p>
    <w:p w14:paraId="322D18DA">
      <w:pPr>
        <w:widowControl/>
        <w:spacing w:line="360" w:lineRule="auto"/>
        <w:ind w:firstLine="560" w:firstLineChars="200"/>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时间：自公告发布之日起至开标截止时间（北京时间，以本中心网站服务器时间为准）</w:t>
      </w:r>
    </w:p>
    <w:p w14:paraId="5A35186E">
      <w:pPr>
        <w:widowControl/>
        <w:spacing w:line="360" w:lineRule="auto"/>
        <w:ind w:firstLine="560" w:firstLineChars="200"/>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地点：：网上获取。淮南经济技术开发区管理委员会网站招标采购栏（http://jkq.huainan.gov.cn/zwgk/zbcg/index.html）</w:t>
      </w:r>
    </w:p>
    <w:p w14:paraId="79C5A36D">
      <w:pPr>
        <w:widowControl/>
        <w:spacing w:line="360" w:lineRule="auto"/>
        <w:ind w:firstLine="560" w:firstLineChars="200"/>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方式：网上下载</w:t>
      </w:r>
    </w:p>
    <w:p w14:paraId="4CA835E1">
      <w:pPr>
        <w:widowControl/>
        <w:spacing w:line="360" w:lineRule="auto"/>
        <w:ind w:firstLine="560" w:firstLineChars="200"/>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售价：0元</w:t>
      </w:r>
    </w:p>
    <w:p w14:paraId="78121226">
      <w:pPr>
        <w:widowControl/>
        <w:spacing w:line="360" w:lineRule="auto"/>
        <w:ind w:firstLine="562" w:firstLineChars="200"/>
        <w:jc w:val="left"/>
        <w:rPr>
          <w:rFonts w:ascii="仿宋" w:hAnsi="仿宋" w:eastAsia="仿宋" w:cs="仿宋"/>
        </w:rPr>
      </w:pPr>
      <w:r>
        <w:rPr>
          <w:rFonts w:hint="eastAsia" w:ascii="仿宋" w:hAnsi="仿宋" w:eastAsia="仿宋" w:cs="仿宋"/>
          <w:b/>
          <w:bCs/>
          <w:color w:val="000000" w:themeColor="text1"/>
          <w:sz w:val="28"/>
          <w:szCs w:val="28"/>
        </w:rPr>
        <w:t>注：投标人员须至开标现场递交视频演示文件（U盘形式），递交截止时间同投标截止时间， 具体要求详见第四章评标办法中的视频演示流程及评审细则。</w:t>
      </w:r>
      <w:r>
        <w:rPr>
          <w:rFonts w:hint="eastAsia" w:ascii="仿宋" w:hAnsi="仿宋" w:eastAsia="仿宋" w:cs="仿宋"/>
          <w:color w:val="000000" w:themeColor="text1"/>
          <w:sz w:val="28"/>
          <w:szCs w:val="28"/>
        </w:rPr>
        <w:t xml:space="preserve"> </w:t>
      </w:r>
    </w:p>
    <w:p w14:paraId="02F607A6">
      <w:pPr>
        <w:keepNext/>
        <w:keepLines/>
        <w:spacing w:before="260" w:after="260" w:line="360" w:lineRule="auto"/>
        <w:outlineLvl w:val="1"/>
        <w:rPr>
          <w:rFonts w:ascii="仿宋" w:hAnsi="仿宋" w:eastAsia="仿宋" w:cs="仿宋"/>
          <w:b/>
          <w:sz w:val="28"/>
          <w:szCs w:val="28"/>
        </w:rPr>
      </w:pPr>
      <w:bookmarkStart w:id="33" w:name="_Toc28359005"/>
      <w:bookmarkStart w:id="34" w:name="_Toc28359082"/>
      <w:bookmarkStart w:id="35" w:name="_Toc35393793"/>
      <w:bookmarkStart w:id="36" w:name="_Toc35393624"/>
      <w:r>
        <w:rPr>
          <w:rFonts w:hint="eastAsia" w:ascii="仿宋" w:hAnsi="仿宋" w:eastAsia="仿宋" w:cs="仿宋"/>
          <w:b/>
          <w:sz w:val="28"/>
          <w:szCs w:val="28"/>
        </w:rPr>
        <w:t>四、提交投标文件</w:t>
      </w:r>
      <w:bookmarkEnd w:id="33"/>
      <w:bookmarkEnd w:id="34"/>
      <w:r>
        <w:rPr>
          <w:rFonts w:hint="eastAsia" w:ascii="仿宋" w:hAnsi="仿宋" w:eastAsia="仿宋" w:cs="仿宋"/>
          <w:b/>
          <w:sz w:val="28"/>
          <w:szCs w:val="28"/>
        </w:rPr>
        <w:t>截止时间、开标时间和地点</w:t>
      </w:r>
      <w:bookmarkEnd w:id="35"/>
      <w:bookmarkEnd w:id="36"/>
    </w:p>
    <w:p w14:paraId="14C18DDF">
      <w:pPr>
        <w:spacing w:line="360" w:lineRule="auto"/>
        <w:ind w:firstLine="560" w:firstLineChars="200"/>
        <w:rPr>
          <w:rFonts w:ascii="仿宋" w:hAnsi="仿宋" w:eastAsia="仿宋" w:cs="仿宋"/>
          <w:bCs/>
          <w:sz w:val="28"/>
          <w:szCs w:val="28"/>
          <w:u w:val="single"/>
        </w:rPr>
      </w:pPr>
      <w:r>
        <w:rPr>
          <w:rFonts w:hint="eastAsia" w:ascii="仿宋" w:hAnsi="仿宋" w:eastAsia="仿宋" w:cs="仿宋"/>
          <w:bCs/>
          <w:sz w:val="28"/>
          <w:szCs w:val="28"/>
        </w:rPr>
        <w:t>2020年9月28日9点00分（北京时间）</w:t>
      </w:r>
    </w:p>
    <w:p w14:paraId="073471C5">
      <w:pPr>
        <w:widowControl/>
        <w:spacing w:line="360" w:lineRule="auto"/>
        <w:ind w:firstLine="560" w:firstLineChars="200"/>
        <w:jc w:val="left"/>
        <w:rPr>
          <w:rFonts w:ascii="仿宋" w:hAnsi="仿宋" w:eastAsia="仿宋" w:cs="仿宋"/>
          <w:bCs/>
          <w:sz w:val="28"/>
          <w:szCs w:val="28"/>
          <w:u w:val="single"/>
        </w:rPr>
      </w:pPr>
      <w:r>
        <w:rPr>
          <w:rFonts w:hint="eastAsia" w:ascii="仿宋" w:hAnsi="仿宋" w:eastAsia="仿宋" w:cs="仿宋"/>
          <w:sz w:val="28"/>
          <w:szCs w:val="28"/>
        </w:rPr>
        <w:t>地点：</w:t>
      </w:r>
      <w:r>
        <w:rPr>
          <w:rFonts w:hint="eastAsia" w:ascii="仿宋" w:hAnsi="仿宋" w:eastAsia="仿宋" w:cs="仿宋"/>
          <w:color w:val="000000" w:themeColor="text1"/>
          <w:sz w:val="28"/>
          <w:szCs w:val="28"/>
        </w:rPr>
        <w:t>淮南经济技术开发区管委会大楼10楼会议室</w:t>
      </w:r>
    </w:p>
    <w:p w14:paraId="0CF1F23B">
      <w:pPr>
        <w:keepNext/>
        <w:keepLines/>
        <w:spacing w:before="260" w:after="260" w:line="360" w:lineRule="auto"/>
        <w:outlineLvl w:val="1"/>
        <w:rPr>
          <w:rFonts w:ascii="仿宋" w:hAnsi="仿宋" w:eastAsia="仿宋" w:cs="仿宋"/>
          <w:b/>
          <w:sz w:val="28"/>
          <w:szCs w:val="28"/>
        </w:rPr>
      </w:pPr>
      <w:bookmarkStart w:id="37" w:name="_Toc28359007"/>
      <w:bookmarkStart w:id="38" w:name="_Toc28359084"/>
      <w:bookmarkStart w:id="39" w:name="_Toc35393794"/>
      <w:bookmarkStart w:id="40" w:name="_Toc35393625"/>
      <w:r>
        <w:rPr>
          <w:rFonts w:hint="eastAsia" w:ascii="仿宋" w:hAnsi="仿宋" w:eastAsia="仿宋" w:cs="仿宋"/>
          <w:b/>
          <w:sz w:val="28"/>
          <w:szCs w:val="28"/>
        </w:rPr>
        <w:t>五、公告期限</w:t>
      </w:r>
      <w:bookmarkEnd w:id="37"/>
      <w:bookmarkEnd w:id="38"/>
      <w:bookmarkEnd w:id="39"/>
      <w:bookmarkEnd w:id="40"/>
    </w:p>
    <w:p w14:paraId="4C3A6282">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自本公告发布之日起5个工作日。</w:t>
      </w:r>
    </w:p>
    <w:p w14:paraId="3284BF48">
      <w:pPr>
        <w:keepNext/>
        <w:keepLines/>
        <w:spacing w:before="260" w:after="260" w:line="360" w:lineRule="auto"/>
        <w:outlineLvl w:val="1"/>
        <w:rPr>
          <w:rFonts w:ascii="仿宋" w:hAnsi="仿宋" w:eastAsia="仿宋" w:cs="仿宋"/>
          <w:b/>
          <w:kern w:val="0"/>
          <w:sz w:val="28"/>
          <w:szCs w:val="28"/>
        </w:rPr>
      </w:pPr>
      <w:bookmarkStart w:id="41" w:name="_Toc35393795"/>
      <w:bookmarkStart w:id="42" w:name="_Toc35393626"/>
      <w:r>
        <w:rPr>
          <w:rFonts w:hint="eastAsia" w:ascii="仿宋" w:hAnsi="仿宋" w:eastAsia="仿宋" w:cs="仿宋"/>
          <w:b/>
          <w:sz w:val="28"/>
          <w:szCs w:val="28"/>
        </w:rPr>
        <w:t>六、其</w:t>
      </w:r>
      <w:r>
        <w:rPr>
          <w:rFonts w:hint="eastAsia" w:ascii="仿宋" w:hAnsi="仿宋" w:eastAsia="仿宋" w:cs="仿宋"/>
          <w:b/>
          <w:kern w:val="0"/>
          <w:sz w:val="28"/>
          <w:szCs w:val="28"/>
        </w:rPr>
        <w:t>他补充事宜</w:t>
      </w:r>
      <w:bookmarkEnd w:id="41"/>
      <w:bookmarkEnd w:id="42"/>
    </w:p>
    <w:p w14:paraId="7AA0E36F">
      <w:pPr>
        <w:pStyle w:val="48"/>
        <w:spacing w:before="0" w:beforeAutospacing="0" w:after="0" w:afterAutospacing="0" w:line="360" w:lineRule="auto"/>
        <w:ind w:firstLine="480"/>
        <w:rPr>
          <w:rFonts w:ascii="仿宋" w:hAnsi="仿宋" w:eastAsia="仿宋" w:cs="仿宋"/>
          <w:sz w:val="28"/>
          <w:szCs w:val="28"/>
        </w:rPr>
      </w:pPr>
      <w:r>
        <w:rPr>
          <w:rFonts w:hint="eastAsia" w:ascii="仿宋" w:hAnsi="仿宋" w:eastAsia="仿宋" w:cs="仿宋"/>
          <w:sz w:val="28"/>
          <w:szCs w:val="28"/>
        </w:rPr>
        <w:t>资格审查方式：资格后审</w:t>
      </w:r>
    </w:p>
    <w:p w14:paraId="51EE9AF8">
      <w:pPr>
        <w:keepNext/>
        <w:keepLines/>
        <w:spacing w:before="260" w:after="260" w:line="360" w:lineRule="auto"/>
        <w:outlineLvl w:val="1"/>
        <w:rPr>
          <w:rFonts w:ascii="仿宋" w:hAnsi="仿宋" w:eastAsia="仿宋" w:cs="仿宋"/>
          <w:b/>
          <w:bCs/>
          <w:sz w:val="28"/>
          <w:szCs w:val="28"/>
        </w:rPr>
      </w:pPr>
      <w:bookmarkStart w:id="43" w:name="_Toc28359008"/>
      <w:bookmarkStart w:id="44" w:name="_Toc35393627"/>
      <w:bookmarkStart w:id="45" w:name="_Toc28359085"/>
      <w:bookmarkStart w:id="46" w:name="_Toc35393796"/>
      <w:r>
        <w:rPr>
          <w:rFonts w:hint="eastAsia" w:ascii="仿宋" w:hAnsi="仿宋" w:eastAsia="仿宋" w:cs="仿宋"/>
          <w:b/>
          <w:bCs/>
          <w:kern w:val="0"/>
          <w:sz w:val="28"/>
          <w:szCs w:val="28"/>
        </w:rPr>
        <w:t>七、对本次招标提</w:t>
      </w:r>
      <w:r>
        <w:rPr>
          <w:rFonts w:hint="eastAsia" w:ascii="仿宋" w:hAnsi="仿宋" w:eastAsia="仿宋" w:cs="仿宋"/>
          <w:b/>
          <w:bCs/>
          <w:sz w:val="28"/>
          <w:szCs w:val="28"/>
        </w:rPr>
        <w:t>出询问，请按以下方式联系。</w:t>
      </w:r>
      <w:bookmarkEnd w:id="43"/>
      <w:bookmarkEnd w:id="44"/>
      <w:bookmarkEnd w:id="45"/>
      <w:bookmarkEnd w:id="46"/>
    </w:p>
    <w:p w14:paraId="3D10C826">
      <w:pPr>
        <w:widowControl/>
        <w:spacing w:line="360" w:lineRule="auto"/>
        <w:jc w:val="left"/>
        <w:rPr>
          <w:rFonts w:ascii="仿宋" w:hAnsi="仿宋" w:eastAsia="仿宋" w:cs="仿宋"/>
          <w:sz w:val="28"/>
          <w:szCs w:val="28"/>
        </w:rPr>
      </w:pPr>
      <w:r>
        <w:rPr>
          <w:rFonts w:hint="eastAsia" w:ascii="仿宋" w:hAnsi="仿宋" w:eastAsia="仿宋" w:cs="仿宋"/>
          <w:sz w:val="28"/>
          <w:szCs w:val="28"/>
        </w:rPr>
        <w:t>　　　1.采购人信息</w:t>
      </w:r>
    </w:p>
    <w:p w14:paraId="6598E322">
      <w:pPr>
        <w:widowControl/>
        <w:spacing w:line="360" w:lineRule="auto"/>
        <w:ind w:firstLine="840" w:firstLineChars="300"/>
        <w:jc w:val="left"/>
        <w:rPr>
          <w:rFonts w:ascii="仿宋" w:hAnsi="仿宋" w:eastAsia="仿宋" w:cs="仿宋"/>
          <w:sz w:val="28"/>
          <w:szCs w:val="28"/>
        </w:rPr>
      </w:pPr>
      <w:r>
        <w:rPr>
          <w:rFonts w:hint="eastAsia" w:ascii="仿宋" w:hAnsi="仿宋" w:eastAsia="仿宋" w:cs="仿宋"/>
          <w:sz w:val="28"/>
          <w:szCs w:val="28"/>
        </w:rPr>
        <w:t>名 称：</w:t>
      </w:r>
      <w:r>
        <w:rPr>
          <w:rFonts w:hint="eastAsia" w:ascii="仿宋" w:hAnsi="仿宋" w:eastAsia="仿宋" w:cs="仿宋"/>
          <w:sz w:val="28"/>
          <w:szCs w:val="28"/>
          <w:u w:val="single"/>
        </w:rPr>
        <w:t>　</w:t>
      </w:r>
      <w:r>
        <w:rPr>
          <w:rFonts w:hint="eastAsia" w:ascii="仿宋" w:hAnsi="仿宋" w:eastAsia="仿宋" w:cs="仿宋"/>
          <w:color w:val="000000" w:themeColor="text1"/>
          <w:sz w:val="28"/>
          <w:szCs w:val="28"/>
          <w:u w:val="single"/>
        </w:rPr>
        <w:t>淮南经济技术开发区社会发展局</w:t>
      </w:r>
      <w:r>
        <w:rPr>
          <w:rFonts w:hint="eastAsia" w:ascii="仿宋" w:hAnsi="仿宋" w:eastAsia="仿宋" w:cs="仿宋"/>
          <w:sz w:val="28"/>
          <w:szCs w:val="28"/>
          <w:u w:val="single"/>
        </w:rPr>
        <w:t xml:space="preserve">　　 </w:t>
      </w:r>
    </w:p>
    <w:p w14:paraId="215E4259">
      <w:pPr>
        <w:spacing w:line="360" w:lineRule="auto"/>
        <w:ind w:left="1129" w:leftChars="371" w:hanging="350" w:hangingChars="125"/>
        <w:jc w:val="left"/>
        <w:rPr>
          <w:rFonts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　</w:t>
      </w:r>
      <w:r>
        <w:rPr>
          <w:rFonts w:hint="eastAsia" w:ascii="仿宋" w:hAnsi="仿宋" w:eastAsia="仿宋" w:cs="仿宋"/>
          <w:color w:val="000000" w:themeColor="text1"/>
          <w:sz w:val="28"/>
          <w:szCs w:val="28"/>
          <w:u w:val="single"/>
        </w:rPr>
        <w:t>淮南经济技术开发区</w:t>
      </w:r>
      <w:r>
        <w:rPr>
          <w:rFonts w:hint="eastAsia" w:ascii="仿宋" w:hAnsi="仿宋" w:eastAsia="仿宋" w:cs="仿宋"/>
          <w:sz w:val="28"/>
          <w:szCs w:val="28"/>
          <w:u w:val="single"/>
        </w:rPr>
        <w:t>　　　　　　  　</w:t>
      </w:r>
    </w:p>
    <w:p w14:paraId="10FDE692">
      <w:pPr>
        <w:spacing w:line="360" w:lineRule="auto"/>
        <w:ind w:left="1129" w:leftChars="371" w:hanging="350" w:hangingChars="125"/>
        <w:jc w:val="left"/>
        <w:rPr>
          <w:rFonts w:ascii="仿宋" w:hAnsi="仿宋" w:eastAsia="仿宋" w:cs="仿宋"/>
          <w:sz w:val="28"/>
          <w:szCs w:val="28"/>
          <w:u w:val="single"/>
        </w:rPr>
      </w:pPr>
      <w:r>
        <w:rPr>
          <w:rFonts w:hint="eastAsia" w:ascii="仿宋" w:hAnsi="仿宋" w:eastAsia="仿宋" w:cs="仿宋"/>
          <w:sz w:val="28"/>
          <w:szCs w:val="28"/>
        </w:rPr>
        <w:t>联系方式：</w:t>
      </w:r>
      <w:r>
        <w:rPr>
          <w:rFonts w:hint="eastAsia" w:ascii="仿宋" w:hAnsi="仿宋" w:eastAsia="仿宋" w:cs="仿宋"/>
          <w:sz w:val="28"/>
          <w:szCs w:val="28"/>
          <w:u w:val="single"/>
        </w:rPr>
        <w:t>　　</w:t>
      </w:r>
      <w:r>
        <w:rPr>
          <w:rFonts w:hint="eastAsia" w:ascii="仿宋" w:hAnsi="仿宋" w:eastAsia="仿宋" w:cs="仿宋"/>
          <w:color w:val="000000" w:themeColor="text1"/>
          <w:sz w:val="28"/>
          <w:szCs w:val="28"/>
          <w:u w:val="single"/>
        </w:rPr>
        <w:t>0554-</w:t>
      </w:r>
      <w:r>
        <w:rPr>
          <w:rFonts w:hint="eastAsia" w:ascii="仿宋" w:hAnsi="仿宋" w:eastAsia="仿宋" w:cs="仿宋"/>
          <w:sz w:val="28"/>
          <w:szCs w:val="28"/>
          <w:u w:val="single"/>
        </w:rPr>
        <w:t>6801208　　　　　  　</w:t>
      </w:r>
      <w:bookmarkStart w:id="47" w:name="_Toc28359086"/>
      <w:bookmarkStart w:id="48" w:name="_Toc28359009"/>
      <w:r>
        <w:rPr>
          <w:rFonts w:hint="eastAsia" w:ascii="仿宋" w:hAnsi="仿宋" w:eastAsia="仿宋" w:cs="仿宋"/>
          <w:sz w:val="28"/>
          <w:szCs w:val="28"/>
          <w:u w:val="single"/>
        </w:rPr>
        <w:t xml:space="preserve">   </w:t>
      </w:r>
    </w:p>
    <w:p w14:paraId="256AA07D">
      <w:pPr>
        <w:spacing w:line="360" w:lineRule="auto"/>
        <w:ind w:left="1129" w:leftChars="371" w:hanging="350" w:hangingChars="125"/>
        <w:jc w:val="left"/>
        <w:rPr>
          <w:rFonts w:ascii="仿宋" w:hAnsi="仿宋" w:eastAsia="仿宋" w:cs="仿宋"/>
          <w:sz w:val="28"/>
          <w:szCs w:val="28"/>
        </w:rPr>
      </w:pPr>
      <w:r>
        <w:rPr>
          <w:rFonts w:hint="eastAsia" w:ascii="仿宋" w:hAnsi="仿宋" w:eastAsia="仿宋" w:cs="仿宋"/>
          <w:sz w:val="28"/>
          <w:szCs w:val="28"/>
        </w:rPr>
        <w:t>2.采购代理机构信息（如有）</w:t>
      </w:r>
      <w:bookmarkEnd w:id="47"/>
      <w:bookmarkEnd w:id="48"/>
    </w:p>
    <w:p w14:paraId="0BD148BB">
      <w:pPr>
        <w:spacing w:line="360" w:lineRule="auto"/>
        <w:ind w:firstLine="840" w:firstLineChars="300"/>
        <w:rPr>
          <w:rFonts w:ascii="仿宋" w:hAnsi="仿宋" w:eastAsia="仿宋" w:cs="仿宋"/>
          <w:sz w:val="28"/>
          <w:szCs w:val="28"/>
        </w:rPr>
      </w:pPr>
      <w:r>
        <w:rPr>
          <w:rFonts w:hint="eastAsia" w:ascii="仿宋" w:hAnsi="仿宋" w:eastAsia="仿宋" w:cs="仿宋"/>
          <w:sz w:val="28"/>
          <w:szCs w:val="28"/>
        </w:rPr>
        <w:t>名 称：</w:t>
      </w:r>
      <w:r>
        <w:rPr>
          <w:rFonts w:hint="eastAsia" w:ascii="仿宋" w:hAnsi="仿宋" w:eastAsia="仿宋" w:cs="仿宋"/>
          <w:sz w:val="28"/>
          <w:szCs w:val="28"/>
          <w:u w:val="single"/>
        </w:rPr>
        <w:t>　</w:t>
      </w:r>
      <w:r>
        <w:rPr>
          <w:rFonts w:hint="eastAsia" w:ascii="仿宋" w:hAnsi="仿宋" w:eastAsia="仿宋" w:cs="仿宋"/>
          <w:color w:val="000000" w:themeColor="text1"/>
          <w:sz w:val="28"/>
          <w:szCs w:val="28"/>
          <w:u w:val="single"/>
        </w:rPr>
        <w:t>安徽科创工程项目管理有限公司</w:t>
      </w:r>
      <w:r>
        <w:rPr>
          <w:rFonts w:hint="eastAsia" w:ascii="仿宋" w:hAnsi="仿宋" w:eastAsia="仿宋" w:cs="仿宋"/>
          <w:sz w:val="28"/>
          <w:szCs w:val="28"/>
          <w:u w:val="single"/>
        </w:rPr>
        <w:t>　 　</w:t>
      </w:r>
    </w:p>
    <w:p w14:paraId="46291996">
      <w:pPr>
        <w:pStyle w:val="48"/>
        <w:spacing w:before="0" w:beforeAutospacing="0" w:after="0" w:afterAutospacing="0" w:line="360" w:lineRule="auto"/>
        <w:ind w:firstLine="840" w:firstLineChars="300"/>
        <w:jc w:val="both"/>
        <w:rPr>
          <w:rFonts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color w:val="333333"/>
          <w:sz w:val="28"/>
          <w:szCs w:val="28"/>
          <w:u w:val="single"/>
        </w:rPr>
        <w:t>合肥市经开区桃花工业园工投立恒工业广场B-7栋1-4层</w:t>
      </w:r>
    </w:p>
    <w:p w14:paraId="09F5853D">
      <w:pPr>
        <w:spacing w:line="360" w:lineRule="auto"/>
        <w:ind w:firstLine="840" w:firstLineChars="300"/>
        <w:rPr>
          <w:rFonts w:ascii="仿宋" w:hAnsi="仿宋" w:eastAsia="仿宋" w:cs="仿宋"/>
          <w:sz w:val="28"/>
          <w:szCs w:val="28"/>
        </w:rPr>
      </w:pPr>
      <w:r>
        <w:rPr>
          <w:rFonts w:hint="eastAsia" w:ascii="仿宋" w:hAnsi="仿宋" w:eastAsia="仿宋" w:cs="仿宋"/>
          <w:sz w:val="28"/>
          <w:szCs w:val="28"/>
        </w:rPr>
        <w:t>联系方式：</w:t>
      </w:r>
      <w:bookmarkStart w:id="49" w:name="_Toc28359010"/>
      <w:bookmarkStart w:id="50" w:name="_Toc28359087"/>
      <w:r>
        <w:rPr>
          <w:rFonts w:hint="eastAsia" w:ascii="仿宋" w:hAnsi="仿宋" w:eastAsia="仿宋" w:cs="仿宋"/>
          <w:sz w:val="28"/>
          <w:szCs w:val="28"/>
          <w:u w:val="single"/>
        </w:rPr>
        <w:t>　</w:t>
      </w:r>
      <w:r>
        <w:rPr>
          <w:rFonts w:hint="eastAsia" w:ascii="仿宋" w:hAnsi="仿宋" w:eastAsia="仿宋" w:cs="仿宋"/>
          <w:color w:val="000000" w:themeColor="text1"/>
          <w:sz w:val="28"/>
          <w:szCs w:val="28"/>
          <w:u w:val="single"/>
        </w:rPr>
        <w:t>13721152147、0554-2199077</w:t>
      </w:r>
      <w:r>
        <w:rPr>
          <w:rFonts w:hint="eastAsia" w:ascii="仿宋" w:hAnsi="仿宋" w:eastAsia="仿宋" w:cs="仿宋"/>
          <w:sz w:val="28"/>
          <w:szCs w:val="28"/>
          <w:u w:val="single"/>
        </w:rPr>
        <w:t>　　</w:t>
      </w:r>
    </w:p>
    <w:p w14:paraId="259EF4EA">
      <w:pPr>
        <w:spacing w:line="360" w:lineRule="auto"/>
        <w:ind w:firstLine="840" w:firstLineChars="300"/>
        <w:rPr>
          <w:rFonts w:ascii="仿宋" w:hAnsi="仿宋" w:eastAsia="仿宋" w:cs="仿宋"/>
          <w:sz w:val="28"/>
          <w:szCs w:val="28"/>
          <w:u w:val="single"/>
        </w:rPr>
      </w:pPr>
      <w:r>
        <w:rPr>
          <w:rFonts w:hint="eastAsia" w:ascii="仿宋" w:hAnsi="仿宋" w:eastAsia="仿宋" w:cs="仿宋"/>
          <w:sz w:val="28"/>
          <w:szCs w:val="28"/>
        </w:rPr>
        <w:t>3.项目联系方式</w:t>
      </w:r>
      <w:bookmarkEnd w:id="49"/>
      <w:bookmarkEnd w:id="50"/>
    </w:p>
    <w:p w14:paraId="0FA39731">
      <w:pPr>
        <w:spacing w:line="360" w:lineRule="auto"/>
        <w:ind w:firstLine="840" w:firstLineChars="300"/>
        <w:rPr>
          <w:rFonts w:ascii="仿宋" w:hAnsi="仿宋" w:eastAsia="仿宋" w:cs="仿宋"/>
          <w:sz w:val="28"/>
          <w:szCs w:val="28"/>
        </w:rPr>
      </w:pPr>
      <w:r>
        <w:rPr>
          <w:rFonts w:hint="eastAsia" w:ascii="仿宋" w:hAnsi="仿宋" w:eastAsia="仿宋" w:cs="仿宋"/>
          <w:sz w:val="28"/>
          <w:szCs w:val="28"/>
        </w:rPr>
        <w:t>项目联系人：</w:t>
      </w:r>
      <w:r>
        <w:rPr>
          <w:rFonts w:hint="eastAsia" w:ascii="仿宋" w:hAnsi="仿宋" w:eastAsia="仿宋" w:cs="仿宋"/>
          <w:sz w:val="28"/>
          <w:szCs w:val="28"/>
          <w:u w:val="single"/>
        </w:rPr>
        <w:t xml:space="preserve">胡老师、邓宏瑶               </w:t>
      </w:r>
    </w:p>
    <w:p w14:paraId="4806061F">
      <w:pPr>
        <w:ind w:firstLine="840" w:firstLineChars="300"/>
        <w:rPr>
          <w:rFonts w:ascii="仿宋" w:hAnsi="仿宋" w:eastAsia="仿宋" w:cs="仿宋"/>
          <w:sz w:val="28"/>
          <w:szCs w:val="28"/>
          <w:u w:val="single"/>
        </w:rPr>
      </w:pPr>
      <w:r>
        <w:rPr>
          <w:rFonts w:hint="eastAsia" w:ascii="仿宋" w:hAnsi="仿宋" w:eastAsia="仿宋" w:cs="仿宋"/>
          <w:sz w:val="28"/>
          <w:szCs w:val="28"/>
        </w:rPr>
        <w:t>电　话：</w:t>
      </w:r>
      <w:r>
        <w:rPr>
          <w:rFonts w:hint="eastAsia" w:ascii="仿宋" w:hAnsi="仿宋" w:eastAsia="仿宋" w:cs="仿宋"/>
          <w:sz w:val="28"/>
          <w:szCs w:val="28"/>
          <w:u w:val="single"/>
        </w:rPr>
        <w:t>　</w:t>
      </w:r>
      <w:r>
        <w:rPr>
          <w:rFonts w:hint="eastAsia" w:ascii="仿宋" w:hAnsi="仿宋" w:eastAsia="仿宋" w:cs="仿宋"/>
          <w:color w:val="000000" w:themeColor="text1"/>
          <w:sz w:val="28"/>
          <w:szCs w:val="28"/>
          <w:u w:val="single"/>
        </w:rPr>
        <w:t>0554-</w:t>
      </w:r>
      <w:r>
        <w:rPr>
          <w:rFonts w:hint="eastAsia" w:ascii="仿宋" w:hAnsi="仿宋" w:eastAsia="仿宋" w:cs="仿宋"/>
          <w:sz w:val="28"/>
          <w:szCs w:val="28"/>
          <w:u w:val="single"/>
        </w:rPr>
        <w:t>3311635、</w:t>
      </w:r>
      <w:r>
        <w:rPr>
          <w:rFonts w:hint="eastAsia" w:ascii="仿宋" w:hAnsi="仿宋" w:eastAsia="仿宋" w:cs="仿宋"/>
          <w:color w:val="000000" w:themeColor="text1"/>
          <w:sz w:val="28"/>
          <w:szCs w:val="28"/>
          <w:u w:val="single"/>
        </w:rPr>
        <w:t>13721152147</w:t>
      </w:r>
      <w:r>
        <w:rPr>
          <w:rFonts w:hint="eastAsia" w:ascii="仿宋" w:hAnsi="仿宋" w:eastAsia="仿宋" w:cs="仿宋"/>
          <w:sz w:val="28"/>
          <w:szCs w:val="28"/>
          <w:u w:val="single"/>
        </w:rPr>
        <w:t>　  　</w:t>
      </w:r>
    </w:p>
    <w:p w14:paraId="0B58C598">
      <w:pPr>
        <w:pStyle w:val="5"/>
        <w:rPr>
          <w:rFonts w:ascii="仿宋" w:hAnsi="仿宋" w:eastAsia="仿宋" w:cs="仿宋"/>
        </w:rPr>
      </w:pPr>
    </w:p>
    <w:p w14:paraId="4DFB809F">
      <w:pPr>
        <w:pStyle w:val="5"/>
        <w:jc w:val="both"/>
        <w:rPr>
          <w:rFonts w:ascii="仿宋" w:hAnsi="仿宋" w:eastAsia="仿宋" w:cs="仿宋"/>
        </w:rPr>
      </w:pPr>
    </w:p>
    <w:p w14:paraId="5B5282F5">
      <w:pPr>
        <w:rPr>
          <w:rFonts w:ascii="仿宋" w:hAnsi="仿宋" w:eastAsia="仿宋" w:cs="仿宋"/>
        </w:rPr>
      </w:pPr>
    </w:p>
    <w:p w14:paraId="4F4572A2">
      <w:pPr>
        <w:pStyle w:val="2"/>
        <w:ind w:firstLine="640"/>
        <w:rPr>
          <w:rFonts w:ascii="仿宋" w:hAnsi="仿宋" w:eastAsia="仿宋" w:cs="仿宋"/>
        </w:rPr>
      </w:pPr>
    </w:p>
    <w:p w14:paraId="5720069D">
      <w:pPr>
        <w:pStyle w:val="5"/>
        <w:rPr>
          <w:rFonts w:ascii="仿宋" w:hAnsi="仿宋" w:eastAsia="仿宋" w:cs="仿宋"/>
        </w:rPr>
      </w:pPr>
    </w:p>
    <w:p w14:paraId="4D57F35B">
      <w:pPr>
        <w:rPr>
          <w:rFonts w:ascii="仿宋" w:hAnsi="仿宋" w:eastAsia="仿宋" w:cs="仿宋"/>
        </w:rPr>
      </w:pPr>
    </w:p>
    <w:p w14:paraId="79DDBDD1">
      <w:pPr>
        <w:pStyle w:val="2"/>
        <w:ind w:firstLine="640"/>
        <w:rPr>
          <w:rFonts w:ascii="仿宋" w:hAnsi="仿宋" w:eastAsia="仿宋" w:cs="仿宋"/>
        </w:rPr>
      </w:pPr>
    </w:p>
    <w:p w14:paraId="5AE9A120">
      <w:pPr>
        <w:pStyle w:val="2"/>
        <w:ind w:firstLine="640"/>
        <w:rPr>
          <w:rFonts w:ascii="仿宋" w:hAnsi="仿宋" w:eastAsia="仿宋" w:cs="仿宋"/>
        </w:rPr>
      </w:pPr>
    </w:p>
    <w:p w14:paraId="19ED5A2E">
      <w:pPr>
        <w:rPr>
          <w:rFonts w:ascii="仿宋" w:hAnsi="仿宋" w:eastAsia="仿宋" w:cs="仿宋"/>
        </w:rPr>
      </w:pPr>
    </w:p>
    <w:p w14:paraId="4F1A4DAE">
      <w:pPr>
        <w:rPr>
          <w:rFonts w:ascii="仿宋" w:hAnsi="仿宋" w:eastAsia="仿宋" w:cs="仿宋"/>
        </w:rPr>
      </w:pPr>
    </w:p>
    <w:p w14:paraId="4BC8F3B8">
      <w:pPr>
        <w:jc w:val="center"/>
        <w:rPr>
          <w:rFonts w:ascii="仿宋" w:hAnsi="仿宋" w:eastAsia="仿宋" w:cs="仿宋"/>
          <w:b/>
          <w:bCs/>
          <w:sz w:val="28"/>
          <w:szCs w:val="32"/>
        </w:rPr>
      </w:pPr>
    </w:p>
    <w:p w14:paraId="7FEA7580">
      <w:pPr>
        <w:jc w:val="center"/>
        <w:rPr>
          <w:rFonts w:ascii="仿宋" w:hAnsi="仿宋" w:eastAsia="仿宋" w:cs="仿宋"/>
          <w:b/>
          <w:bCs/>
          <w:sz w:val="28"/>
          <w:szCs w:val="32"/>
        </w:rPr>
      </w:pPr>
    </w:p>
    <w:p w14:paraId="3D9B3EDC">
      <w:pPr>
        <w:jc w:val="center"/>
        <w:rPr>
          <w:rFonts w:ascii="仿宋" w:hAnsi="仿宋" w:eastAsia="仿宋" w:cs="仿宋"/>
          <w:b/>
          <w:bCs/>
          <w:sz w:val="28"/>
          <w:szCs w:val="32"/>
        </w:rPr>
      </w:pPr>
    </w:p>
    <w:p w14:paraId="2B6BB463">
      <w:pPr>
        <w:jc w:val="center"/>
        <w:rPr>
          <w:rFonts w:ascii="仿宋" w:hAnsi="仿宋" w:eastAsia="仿宋" w:cs="仿宋"/>
          <w:b/>
          <w:bCs/>
          <w:sz w:val="28"/>
          <w:szCs w:val="32"/>
        </w:rPr>
      </w:pPr>
    </w:p>
    <w:p w14:paraId="1717BADB">
      <w:pPr>
        <w:jc w:val="center"/>
        <w:rPr>
          <w:rFonts w:ascii="仿宋" w:hAnsi="仿宋" w:eastAsia="仿宋" w:cs="仿宋"/>
          <w:b/>
          <w:bCs/>
          <w:sz w:val="28"/>
          <w:szCs w:val="32"/>
        </w:rPr>
      </w:pPr>
      <w:r>
        <w:rPr>
          <w:rFonts w:hint="eastAsia" w:ascii="仿宋" w:hAnsi="仿宋" w:eastAsia="仿宋" w:cs="仿宋"/>
          <w:b/>
          <w:bCs/>
          <w:sz w:val="28"/>
          <w:szCs w:val="32"/>
        </w:rPr>
        <w:t>第二章投标须知前附表</w:t>
      </w:r>
      <w:bookmarkEnd w:id="14"/>
      <w:bookmarkEnd w:id="15"/>
      <w:bookmarkEnd w:id="16"/>
      <w:bookmarkEnd w:id="17"/>
      <w:bookmarkEnd w:id="18"/>
      <w:bookmarkEnd w:id="19"/>
    </w:p>
    <w:p w14:paraId="21ED6804">
      <w:pPr>
        <w:pStyle w:val="2"/>
        <w:ind w:firstLine="640"/>
        <w:rPr>
          <w:rFonts w:ascii="仿宋" w:hAnsi="仿宋" w:eastAsia="仿宋" w:cs="仿宋"/>
        </w:rPr>
      </w:pPr>
    </w:p>
    <w:tbl>
      <w:tblPr>
        <w:tblStyle w:val="53"/>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977"/>
        <w:gridCol w:w="6876"/>
      </w:tblGrid>
      <w:tr w14:paraId="71BF2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65" w:type="dxa"/>
            <w:vAlign w:val="center"/>
          </w:tcPr>
          <w:p w14:paraId="09C7E97E">
            <w:pPr>
              <w:spacing w:line="400" w:lineRule="exact"/>
              <w:jc w:val="center"/>
              <w:rPr>
                <w:rFonts w:ascii="仿宋" w:hAnsi="仿宋" w:eastAsia="仿宋" w:cs="仿宋"/>
                <w:b/>
                <w:kern w:val="0"/>
                <w:sz w:val="24"/>
                <w:szCs w:val="24"/>
              </w:rPr>
            </w:pPr>
            <w:r>
              <w:rPr>
                <w:rFonts w:hint="eastAsia" w:ascii="仿宋" w:hAnsi="仿宋" w:eastAsia="仿宋" w:cs="仿宋"/>
                <w:b/>
                <w:kern w:val="0"/>
                <w:sz w:val="24"/>
                <w:szCs w:val="24"/>
              </w:rPr>
              <w:t>序号</w:t>
            </w:r>
          </w:p>
        </w:tc>
        <w:tc>
          <w:tcPr>
            <w:tcW w:w="1977" w:type="dxa"/>
            <w:vAlign w:val="center"/>
          </w:tcPr>
          <w:p w14:paraId="02840A7B">
            <w:pPr>
              <w:spacing w:line="400" w:lineRule="exact"/>
              <w:jc w:val="center"/>
              <w:textAlignment w:val="center"/>
              <w:rPr>
                <w:rFonts w:ascii="仿宋" w:hAnsi="仿宋" w:eastAsia="仿宋" w:cs="仿宋"/>
                <w:b/>
                <w:kern w:val="0"/>
                <w:sz w:val="24"/>
                <w:szCs w:val="24"/>
              </w:rPr>
            </w:pPr>
            <w:r>
              <w:rPr>
                <w:rFonts w:hint="eastAsia" w:ascii="仿宋" w:hAnsi="仿宋" w:eastAsia="仿宋" w:cs="仿宋"/>
                <w:b/>
                <w:kern w:val="0"/>
                <w:sz w:val="24"/>
                <w:szCs w:val="24"/>
              </w:rPr>
              <w:t>条款名称</w:t>
            </w:r>
          </w:p>
        </w:tc>
        <w:tc>
          <w:tcPr>
            <w:tcW w:w="6876" w:type="dxa"/>
            <w:vAlign w:val="center"/>
          </w:tcPr>
          <w:p w14:paraId="4E864A30">
            <w:pPr>
              <w:spacing w:line="400" w:lineRule="exact"/>
              <w:jc w:val="center"/>
              <w:textAlignment w:val="center"/>
              <w:rPr>
                <w:rFonts w:ascii="仿宋" w:hAnsi="仿宋" w:eastAsia="仿宋" w:cs="仿宋"/>
                <w:b/>
                <w:kern w:val="0"/>
                <w:sz w:val="24"/>
                <w:szCs w:val="24"/>
              </w:rPr>
            </w:pPr>
            <w:r>
              <w:rPr>
                <w:rFonts w:hint="eastAsia" w:ascii="仿宋" w:hAnsi="仿宋" w:eastAsia="仿宋" w:cs="仿宋"/>
                <w:b/>
                <w:kern w:val="0"/>
                <w:sz w:val="24"/>
                <w:szCs w:val="24"/>
              </w:rPr>
              <w:t>编列内容</w:t>
            </w:r>
          </w:p>
        </w:tc>
      </w:tr>
      <w:tr w14:paraId="504B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65" w:type="dxa"/>
            <w:vAlign w:val="center"/>
          </w:tcPr>
          <w:p w14:paraId="64198B7D">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977" w:type="dxa"/>
            <w:vAlign w:val="center"/>
          </w:tcPr>
          <w:p w14:paraId="7F6A30F3">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项目名称</w:t>
            </w:r>
          </w:p>
        </w:tc>
        <w:tc>
          <w:tcPr>
            <w:tcW w:w="6876" w:type="dxa"/>
            <w:vAlign w:val="center"/>
          </w:tcPr>
          <w:p w14:paraId="3DCF2C9D">
            <w:pPr>
              <w:spacing w:line="400" w:lineRule="exact"/>
              <w:jc w:val="left"/>
              <w:rPr>
                <w:rFonts w:ascii="仿宋" w:hAnsi="仿宋" w:eastAsia="仿宋" w:cs="仿宋"/>
                <w:kern w:val="0"/>
                <w:sz w:val="24"/>
                <w:szCs w:val="24"/>
              </w:rPr>
            </w:pPr>
            <w:r>
              <w:rPr>
                <w:rFonts w:hint="eastAsia" w:ascii="仿宋" w:hAnsi="仿宋" w:eastAsia="仿宋" w:cs="仿宋"/>
                <w:bCs/>
                <w:color w:val="000000" w:themeColor="text1"/>
                <w:sz w:val="24"/>
                <w:szCs w:val="24"/>
              </w:rPr>
              <w:t>淮南经济技术开发区所属公办学校智慧课堂及智慧黑板采购项目</w:t>
            </w:r>
          </w:p>
        </w:tc>
      </w:tr>
      <w:tr w14:paraId="4231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65" w:type="dxa"/>
            <w:vAlign w:val="center"/>
          </w:tcPr>
          <w:p w14:paraId="76EAE8AE">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977" w:type="dxa"/>
            <w:vAlign w:val="center"/>
          </w:tcPr>
          <w:p w14:paraId="375C0279">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交货地点</w:t>
            </w:r>
          </w:p>
        </w:tc>
        <w:tc>
          <w:tcPr>
            <w:tcW w:w="6876" w:type="dxa"/>
            <w:vAlign w:val="center"/>
          </w:tcPr>
          <w:p w14:paraId="6DB08A09">
            <w:pPr>
              <w:spacing w:line="400" w:lineRule="exact"/>
              <w:jc w:val="left"/>
              <w:rPr>
                <w:rFonts w:ascii="仿宋" w:hAnsi="仿宋" w:eastAsia="仿宋" w:cs="仿宋"/>
                <w:kern w:val="0"/>
                <w:sz w:val="24"/>
                <w:szCs w:val="24"/>
              </w:rPr>
            </w:pPr>
            <w:r>
              <w:rPr>
                <w:rFonts w:hint="eastAsia" w:ascii="仿宋" w:hAnsi="仿宋" w:eastAsia="仿宋" w:cs="仿宋"/>
                <w:kern w:val="0"/>
                <w:sz w:val="24"/>
                <w:szCs w:val="24"/>
              </w:rPr>
              <w:t>业主指定地点</w:t>
            </w:r>
          </w:p>
        </w:tc>
      </w:tr>
      <w:tr w14:paraId="1E7CC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65" w:type="dxa"/>
            <w:vAlign w:val="center"/>
          </w:tcPr>
          <w:p w14:paraId="78C62C54">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1977" w:type="dxa"/>
            <w:vAlign w:val="center"/>
          </w:tcPr>
          <w:p w14:paraId="27998AA4">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资金来源及落实情况</w:t>
            </w:r>
          </w:p>
        </w:tc>
        <w:tc>
          <w:tcPr>
            <w:tcW w:w="6876" w:type="dxa"/>
            <w:vAlign w:val="center"/>
          </w:tcPr>
          <w:p w14:paraId="045EC69C">
            <w:pPr>
              <w:spacing w:line="400" w:lineRule="exact"/>
              <w:jc w:val="left"/>
              <w:rPr>
                <w:rFonts w:ascii="仿宋" w:hAnsi="仿宋" w:eastAsia="仿宋" w:cs="仿宋"/>
                <w:kern w:val="0"/>
                <w:sz w:val="24"/>
                <w:szCs w:val="24"/>
              </w:rPr>
            </w:pPr>
            <w:r>
              <w:rPr>
                <w:rFonts w:hint="eastAsia" w:ascii="仿宋" w:hAnsi="仿宋" w:eastAsia="仿宋" w:cs="仿宋"/>
                <w:bCs/>
                <w:sz w:val="24"/>
                <w:szCs w:val="24"/>
              </w:rPr>
              <w:t>财政资金，已落实</w:t>
            </w:r>
          </w:p>
        </w:tc>
      </w:tr>
      <w:tr w14:paraId="43F80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65" w:type="dxa"/>
            <w:vAlign w:val="center"/>
          </w:tcPr>
          <w:p w14:paraId="390121AF">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1977" w:type="dxa"/>
            <w:vAlign w:val="center"/>
          </w:tcPr>
          <w:p w14:paraId="706ABF01">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采购范围</w:t>
            </w:r>
          </w:p>
        </w:tc>
        <w:tc>
          <w:tcPr>
            <w:tcW w:w="6876" w:type="dxa"/>
            <w:vAlign w:val="center"/>
          </w:tcPr>
          <w:p w14:paraId="26C90D7D">
            <w:pPr>
              <w:spacing w:line="400" w:lineRule="exact"/>
              <w:jc w:val="left"/>
              <w:rPr>
                <w:rFonts w:ascii="仿宋" w:hAnsi="仿宋" w:eastAsia="仿宋" w:cs="仿宋"/>
                <w:kern w:val="0"/>
                <w:sz w:val="24"/>
                <w:szCs w:val="24"/>
              </w:rPr>
            </w:pPr>
            <w:r>
              <w:rPr>
                <w:rFonts w:hint="eastAsia" w:ascii="仿宋" w:hAnsi="仿宋" w:eastAsia="仿宋" w:cs="仿宋"/>
                <w:kern w:val="0"/>
                <w:sz w:val="24"/>
                <w:szCs w:val="24"/>
              </w:rPr>
              <w:t>详见招标文件采购需求</w:t>
            </w:r>
          </w:p>
        </w:tc>
      </w:tr>
      <w:tr w14:paraId="09606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65" w:type="dxa"/>
            <w:vAlign w:val="center"/>
          </w:tcPr>
          <w:p w14:paraId="0FFAA8E2">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5</w:t>
            </w:r>
          </w:p>
        </w:tc>
        <w:tc>
          <w:tcPr>
            <w:tcW w:w="1977" w:type="dxa"/>
            <w:vAlign w:val="center"/>
          </w:tcPr>
          <w:p w14:paraId="56358091">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报价要求</w:t>
            </w:r>
          </w:p>
        </w:tc>
        <w:tc>
          <w:tcPr>
            <w:tcW w:w="6876" w:type="dxa"/>
            <w:vAlign w:val="center"/>
          </w:tcPr>
          <w:p w14:paraId="63A50FCE">
            <w:pPr>
              <w:spacing w:line="400" w:lineRule="exact"/>
              <w:jc w:val="left"/>
              <w:rPr>
                <w:rFonts w:ascii="仿宋" w:hAnsi="仿宋" w:eastAsia="仿宋" w:cs="仿宋"/>
                <w:b/>
                <w:kern w:val="0"/>
                <w:sz w:val="24"/>
                <w:szCs w:val="24"/>
              </w:rPr>
            </w:pPr>
            <w:r>
              <w:rPr>
                <w:rFonts w:hint="eastAsia" w:ascii="仿宋" w:hAnsi="仿宋" w:eastAsia="仿宋" w:cs="仿宋"/>
                <w:b/>
                <w:kern w:val="0"/>
                <w:sz w:val="24"/>
                <w:szCs w:val="24"/>
              </w:rPr>
              <w:t>报价唯一，且不超过预算价</w:t>
            </w:r>
            <w:r>
              <w:rPr>
                <w:rFonts w:hint="eastAsia" w:ascii="仿宋" w:hAnsi="仿宋" w:eastAsia="仿宋" w:cs="仿宋"/>
                <w:b/>
                <w:sz w:val="24"/>
                <w:szCs w:val="24"/>
              </w:rPr>
              <w:t>800000</w:t>
            </w:r>
            <w:r>
              <w:rPr>
                <w:rFonts w:hint="eastAsia" w:ascii="仿宋" w:hAnsi="仿宋" w:eastAsia="仿宋" w:cs="仿宋"/>
                <w:bCs/>
                <w:sz w:val="24"/>
                <w:szCs w:val="24"/>
              </w:rPr>
              <w:t>元</w:t>
            </w:r>
          </w:p>
        </w:tc>
      </w:tr>
      <w:tr w14:paraId="0FA84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65" w:type="dxa"/>
            <w:vAlign w:val="center"/>
          </w:tcPr>
          <w:p w14:paraId="6B77402C">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6</w:t>
            </w:r>
          </w:p>
        </w:tc>
        <w:tc>
          <w:tcPr>
            <w:tcW w:w="1977" w:type="dxa"/>
            <w:vAlign w:val="center"/>
          </w:tcPr>
          <w:p w14:paraId="74D9EAA4">
            <w:pPr>
              <w:spacing w:line="400" w:lineRule="exact"/>
              <w:jc w:val="center"/>
              <w:rPr>
                <w:rFonts w:ascii="仿宋" w:hAnsi="仿宋" w:eastAsia="仿宋" w:cs="仿宋"/>
                <w:kern w:val="0"/>
                <w:sz w:val="24"/>
                <w:szCs w:val="24"/>
              </w:rPr>
            </w:pPr>
            <w:r>
              <w:rPr>
                <w:rFonts w:hint="eastAsia" w:ascii="仿宋" w:hAnsi="仿宋" w:eastAsia="仿宋" w:cs="仿宋"/>
                <w:sz w:val="24"/>
                <w:szCs w:val="24"/>
              </w:rPr>
              <w:t>交货及安装期</w:t>
            </w:r>
          </w:p>
        </w:tc>
        <w:tc>
          <w:tcPr>
            <w:tcW w:w="6876" w:type="dxa"/>
            <w:vAlign w:val="center"/>
          </w:tcPr>
          <w:p w14:paraId="16DF7422">
            <w:pPr>
              <w:widowControl/>
              <w:jc w:val="left"/>
              <w:rPr>
                <w:rFonts w:ascii="仿宋" w:hAnsi="仿宋" w:eastAsia="仿宋" w:cs="仿宋"/>
                <w:kern w:val="0"/>
                <w:sz w:val="24"/>
                <w:szCs w:val="24"/>
              </w:rPr>
            </w:pPr>
            <w:r>
              <w:rPr>
                <w:rFonts w:hint="eastAsia" w:ascii="仿宋" w:hAnsi="仿宋" w:eastAsia="仿宋" w:cs="仿宋"/>
                <w:color w:val="000000"/>
                <w:kern w:val="0"/>
                <w:sz w:val="24"/>
                <w:szCs w:val="24"/>
              </w:rPr>
              <w:t>15日历天（交货及安装期）</w:t>
            </w:r>
          </w:p>
        </w:tc>
      </w:tr>
      <w:tr w14:paraId="6F1D1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65" w:type="dxa"/>
            <w:vAlign w:val="center"/>
          </w:tcPr>
          <w:p w14:paraId="1D7B0446">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7</w:t>
            </w:r>
          </w:p>
        </w:tc>
        <w:tc>
          <w:tcPr>
            <w:tcW w:w="1977" w:type="dxa"/>
            <w:vAlign w:val="center"/>
          </w:tcPr>
          <w:p w14:paraId="5A600206">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质量要求</w:t>
            </w:r>
          </w:p>
        </w:tc>
        <w:tc>
          <w:tcPr>
            <w:tcW w:w="6876" w:type="dxa"/>
            <w:vAlign w:val="center"/>
          </w:tcPr>
          <w:p w14:paraId="1879BED1">
            <w:pPr>
              <w:spacing w:line="400" w:lineRule="exact"/>
              <w:jc w:val="left"/>
              <w:rPr>
                <w:rFonts w:ascii="仿宋" w:hAnsi="仿宋" w:eastAsia="仿宋" w:cs="仿宋"/>
                <w:kern w:val="0"/>
                <w:sz w:val="24"/>
                <w:szCs w:val="24"/>
              </w:rPr>
            </w:pPr>
            <w:r>
              <w:rPr>
                <w:rFonts w:hint="eastAsia" w:ascii="仿宋" w:hAnsi="仿宋" w:eastAsia="仿宋" w:cs="仿宋"/>
                <w:kern w:val="0"/>
                <w:sz w:val="24"/>
                <w:szCs w:val="24"/>
              </w:rPr>
              <w:t>合格</w:t>
            </w:r>
          </w:p>
        </w:tc>
      </w:tr>
      <w:tr w14:paraId="28DB7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65" w:type="dxa"/>
            <w:vAlign w:val="center"/>
          </w:tcPr>
          <w:p w14:paraId="2C9F0ECA">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8</w:t>
            </w:r>
          </w:p>
        </w:tc>
        <w:tc>
          <w:tcPr>
            <w:tcW w:w="1977" w:type="dxa"/>
            <w:vAlign w:val="center"/>
          </w:tcPr>
          <w:p w14:paraId="166225F2">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质量保证期</w:t>
            </w:r>
          </w:p>
        </w:tc>
        <w:tc>
          <w:tcPr>
            <w:tcW w:w="6876" w:type="dxa"/>
            <w:vAlign w:val="center"/>
          </w:tcPr>
          <w:p w14:paraId="115AB8DA">
            <w:pPr>
              <w:spacing w:line="400" w:lineRule="exact"/>
              <w:jc w:val="left"/>
              <w:rPr>
                <w:rFonts w:ascii="仿宋" w:hAnsi="仿宋" w:eastAsia="仿宋" w:cs="仿宋"/>
                <w:kern w:val="0"/>
                <w:sz w:val="24"/>
                <w:szCs w:val="24"/>
              </w:rPr>
            </w:pPr>
            <w:r>
              <w:rPr>
                <w:rFonts w:hint="eastAsia" w:ascii="仿宋" w:hAnsi="仿宋" w:eastAsia="仿宋" w:cs="仿宋"/>
                <w:kern w:val="0"/>
                <w:sz w:val="24"/>
                <w:szCs w:val="24"/>
              </w:rPr>
              <w:t>3年（如果国家相关部门或招标文件采购需求中对产品有其他规定，按其规定执行的基础上自报。）</w:t>
            </w:r>
          </w:p>
        </w:tc>
      </w:tr>
      <w:tr w14:paraId="48F03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65" w:type="dxa"/>
            <w:vAlign w:val="center"/>
          </w:tcPr>
          <w:p w14:paraId="243434AF">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9</w:t>
            </w:r>
          </w:p>
        </w:tc>
        <w:tc>
          <w:tcPr>
            <w:tcW w:w="1977" w:type="dxa"/>
            <w:vAlign w:val="center"/>
          </w:tcPr>
          <w:p w14:paraId="44DF5E3D">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踏勘现场</w:t>
            </w:r>
          </w:p>
        </w:tc>
        <w:tc>
          <w:tcPr>
            <w:tcW w:w="6876" w:type="dxa"/>
            <w:vAlign w:val="center"/>
          </w:tcPr>
          <w:p w14:paraId="7D5E69BB">
            <w:pPr>
              <w:spacing w:line="400" w:lineRule="exact"/>
              <w:jc w:val="left"/>
              <w:rPr>
                <w:rFonts w:ascii="仿宋" w:hAnsi="仿宋" w:eastAsia="仿宋" w:cs="仿宋"/>
                <w:kern w:val="0"/>
                <w:sz w:val="24"/>
                <w:szCs w:val="24"/>
              </w:rPr>
            </w:pPr>
            <w:r>
              <w:rPr>
                <w:rFonts w:hint="eastAsia" w:ascii="仿宋" w:hAnsi="仿宋" w:eastAsia="仿宋" w:cs="仿宋"/>
                <w:kern w:val="0"/>
                <w:sz w:val="24"/>
                <w:szCs w:val="24"/>
              </w:rPr>
              <w:t>自行踏勘现场</w:t>
            </w:r>
          </w:p>
        </w:tc>
      </w:tr>
      <w:tr w14:paraId="56321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65" w:type="dxa"/>
            <w:vAlign w:val="center"/>
          </w:tcPr>
          <w:p w14:paraId="64DCDEFC">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10</w:t>
            </w:r>
          </w:p>
        </w:tc>
        <w:tc>
          <w:tcPr>
            <w:tcW w:w="1977" w:type="dxa"/>
            <w:vAlign w:val="center"/>
          </w:tcPr>
          <w:p w14:paraId="228BBBAB">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投标预备会</w:t>
            </w:r>
          </w:p>
        </w:tc>
        <w:tc>
          <w:tcPr>
            <w:tcW w:w="6876" w:type="dxa"/>
            <w:vAlign w:val="center"/>
          </w:tcPr>
          <w:p w14:paraId="55D314E9">
            <w:pPr>
              <w:pStyle w:val="22"/>
              <w:topLinePunct/>
              <w:spacing w:line="400" w:lineRule="exact"/>
              <w:jc w:val="left"/>
              <w:rPr>
                <w:rFonts w:ascii="仿宋" w:hAnsi="仿宋" w:eastAsia="仿宋" w:cs="仿宋"/>
                <w:kern w:val="0"/>
                <w:sz w:val="24"/>
                <w:szCs w:val="24"/>
              </w:rPr>
            </w:pPr>
            <w:r>
              <w:rPr>
                <w:rFonts w:hint="eastAsia" w:ascii="仿宋" w:hAnsi="仿宋" w:eastAsia="仿宋" w:cs="仿宋"/>
                <w:b w:val="0"/>
                <w:bCs/>
                <w:kern w:val="0"/>
                <w:sz w:val="24"/>
                <w:szCs w:val="24"/>
              </w:rPr>
              <w:t>不召开</w:t>
            </w:r>
          </w:p>
        </w:tc>
      </w:tr>
      <w:tr w14:paraId="022FA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65" w:type="dxa"/>
            <w:vAlign w:val="center"/>
          </w:tcPr>
          <w:p w14:paraId="147E150F">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11</w:t>
            </w:r>
          </w:p>
        </w:tc>
        <w:tc>
          <w:tcPr>
            <w:tcW w:w="1977" w:type="dxa"/>
            <w:vAlign w:val="center"/>
          </w:tcPr>
          <w:p w14:paraId="5E2950DC">
            <w:pPr>
              <w:pStyle w:val="22"/>
              <w:topLinePunct/>
              <w:spacing w:line="400" w:lineRule="exact"/>
              <w:jc w:val="center"/>
              <w:rPr>
                <w:rFonts w:ascii="仿宋" w:hAnsi="仿宋" w:eastAsia="仿宋" w:cs="仿宋"/>
                <w:kern w:val="0"/>
                <w:sz w:val="24"/>
                <w:szCs w:val="24"/>
              </w:rPr>
            </w:pPr>
            <w:r>
              <w:rPr>
                <w:rFonts w:hint="eastAsia" w:ascii="仿宋" w:hAnsi="仿宋" w:eastAsia="仿宋" w:cs="仿宋"/>
                <w:b w:val="0"/>
                <w:bCs/>
                <w:kern w:val="0"/>
                <w:sz w:val="24"/>
                <w:szCs w:val="24"/>
              </w:rPr>
              <w:t>偏离</w:t>
            </w:r>
          </w:p>
        </w:tc>
        <w:tc>
          <w:tcPr>
            <w:tcW w:w="6876" w:type="dxa"/>
            <w:vAlign w:val="center"/>
          </w:tcPr>
          <w:p w14:paraId="55522A71">
            <w:pPr>
              <w:adjustRightInd w:val="0"/>
              <w:snapToGrid w:val="0"/>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供应商须如实列出所有投标文件与招标文件所规定的条款偏离（含正偏离和负偏离）。</w:t>
            </w:r>
          </w:p>
        </w:tc>
      </w:tr>
      <w:tr w14:paraId="03414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65" w:type="dxa"/>
            <w:vAlign w:val="center"/>
          </w:tcPr>
          <w:p w14:paraId="4DFE8EB1">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12</w:t>
            </w:r>
          </w:p>
        </w:tc>
        <w:tc>
          <w:tcPr>
            <w:tcW w:w="1977" w:type="dxa"/>
            <w:vAlign w:val="center"/>
          </w:tcPr>
          <w:p w14:paraId="411F8645">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投标有效期</w:t>
            </w:r>
          </w:p>
        </w:tc>
        <w:tc>
          <w:tcPr>
            <w:tcW w:w="6876" w:type="dxa"/>
            <w:vAlign w:val="center"/>
          </w:tcPr>
          <w:p w14:paraId="432DAF48">
            <w:pPr>
              <w:adjustRightInd w:val="0"/>
              <w:snapToGrid w:val="0"/>
              <w:spacing w:line="360" w:lineRule="auto"/>
              <w:rPr>
                <w:rFonts w:ascii="仿宋" w:hAnsi="仿宋" w:eastAsia="仿宋" w:cs="仿宋"/>
                <w:kern w:val="0"/>
                <w:sz w:val="24"/>
                <w:szCs w:val="24"/>
              </w:rPr>
            </w:pPr>
            <w:r>
              <w:rPr>
                <w:rFonts w:hint="eastAsia" w:ascii="仿宋" w:hAnsi="仿宋" w:eastAsia="仿宋" w:cs="仿宋"/>
                <w:kern w:val="0"/>
                <w:sz w:val="24"/>
                <w:szCs w:val="24"/>
              </w:rPr>
              <w:t>从投标截止之日起60日历天</w:t>
            </w:r>
          </w:p>
        </w:tc>
      </w:tr>
      <w:tr w14:paraId="68003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5" w:type="dxa"/>
            <w:vAlign w:val="center"/>
          </w:tcPr>
          <w:p w14:paraId="0ACBC929">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13</w:t>
            </w:r>
          </w:p>
        </w:tc>
        <w:tc>
          <w:tcPr>
            <w:tcW w:w="1977" w:type="dxa"/>
            <w:vAlign w:val="center"/>
          </w:tcPr>
          <w:p w14:paraId="28A7EB83">
            <w:pPr>
              <w:spacing w:line="400" w:lineRule="exact"/>
              <w:jc w:val="center"/>
              <w:rPr>
                <w:rFonts w:ascii="仿宋" w:hAnsi="仿宋" w:eastAsia="仿宋" w:cs="仿宋"/>
                <w:color w:val="FF0000"/>
                <w:kern w:val="0"/>
                <w:sz w:val="24"/>
                <w:szCs w:val="24"/>
              </w:rPr>
            </w:pPr>
            <w:r>
              <w:rPr>
                <w:rFonts w:hint="eastAsia" w:ascii="仿宋" w:hAnsi="仿宋" w:eastAsia="仿宋" w:cs="仿宋"/>
                <w:kern w:val="0"/>
                <w:sz w:val="24"/>
                <w:szCs w:val="24"/>
              </w:rPr>
              <w:t>投标保证金</w:t>
            </w:r>
          </w:p>
        </w:tc>
        <w:tc>
          <w:tcPr>
            <w:tcW w:w="6876" w:type="dxa"/>
            <w:vAlign w:val="center"/>
          </w:tcPr>
          <w:p w14:paraId="36C50621">
            <w:pPr>
              <w:adjustRightInd w:val="0"/>
              <w:snapToGrid w:val="0"/>
              <w:spacing w:line="360" w:lineRule="auto"/>
              <w:rPr>
                <w:rFonts w:ascii="仿宋" w:hAnsi="仿宋" w:eastAsia="仿宋" w:cs="仿宋"/>
                <w:kern w:val="0"/>
                <w:sz w:val="24"/>
                <w:szCs w:val="24"/>
              </w:rPr>
            </w:pPr>
            <w:r>
              <w:rPr>
                <w:rFonts w:hint="eastAsia" w:ascii="仿宋" w:hAnsi="仿宋" w:eastAsia="仿宋" w:cs="仿宋"/>
                <w:sz w:val="24"/>
                <w:szCs w:val="24"/>
              </w:rPr>
              <w:t>本项目投标保证金人民币壹万元整(¥：10000.00 元)，用信封密封并注明单位名称，开标现场提交给招标代理，未中标单位开标结束后当场退还，中标单位凭与业主签订的合同退还。</w:t>
            </w:r>
          </w:p>
        </w:tc>
      </w:tr>
      <w:tr w14:paraId="6D2E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765" w:type="dxa"/>
            <w:vAlign w:val="center"/>
          </w:tcPr>
          <w:p w14:paraId="18D83041">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14</w:t>
            </w:r>
          </w:p>
        </w:tc>
        <w:tc>
          <w:tcPr>
            <w:tcW w:w="1977" w:type="dxa"/>
            <w:vAlign w:val="center"/>
          </w:tcPr>
          <w:p w14:paraId="58ABD675">
            <w:pPr>
              <w:spacing w:line="360" w:lineRule="auto"/>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投标文件要求</w:t>
            </w:r>
          </w:p>
        </w:tc>
        <w:tc>
          <w:tcPr>
            <w:tcW w:w="6876" w:type="dxa"/>
            <w:vAlign w:val="center"/>
          </w:tcPr>
          <w:p w14:paraId="4EF1F35E">
            <w:pPr>
              <w:spacing w:line="360" w:lineRule="auto"/>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投标文件的“正本”与“副本”分别密封，在封口处标明“正本”或“副本”并加盖投标人单位公章和法人代表章</w:t>
            </w:r>
            <w:r>
              <w:rPr>
                <w:rFonts w:hint="eastAsia" w:ascii="仿宋" w:hAnsi="仿宋" w:eastAsia="仿宋" w:cs="仿宋"/>
                <w:color w:val="000000"/>
                <w:kern w:val="0"/>
                <w:sz w:val="24"/>
                <w:szCs w:val="24"/>
              </w:rPr>
              <w:t>，</w:t>
            </w:r>
            <w:r>
              <w:rPr>
                <w:rFonts w:hint="eastAsia" w:ascii="仿宋" w:hAnsi="仿宋" w:eastAsia="仿宋" w:cs="仿宋"/>
                <w:b/>
                <w:bCs/>
                <w:color w:val="FF0000"/>
                <w:kern w:val="0"/>
                <w:sz w:val="24"/>
                <w:szCs w:val="24"/>
              </w:rPr>
              <w:t>一正四副</w:t>
            </w:r>
            <w:r>
              <w:rPr>
                <w:rFonts w:hint="eastAsia" w:ascii="仿宋" w:hAnsi="仿宋" w:eastAsia="仿宋" w:cs="仿宋"/>
                <w:b/>
                <w:bCs/>
                <w:color w:val="FF0000"/>
                <w:sz w:val="24"/>
                <w:szCs w:val="24"/>
              </w:rPr>
              <w:t>（投标文件U盘一份及视频演示U盘一份），</w:t>
            </w:r>
            <w:r>
              <w:rPr>
                <w:rFonts w:hint="eastAsia" w:ascii="仿宋" w:hAnsi="仿宋" w:eastAsia="仿宋" w:cs="仿宋"/>
                <w:b/>
                <w:bCs/>
                <w:color w:val="FF0000"/>
                <w:kern w:val="0"/>
                <w:sz w:val="24"/>
                <w:szCs w:val="24"/>
              </w:rPr>
              <w:t>供资料留存。</w:t>
            </w:r>
          </w:p>
        </w:tc>
      </w:tr>
      <w:tr w14:paraId="12311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765" w:type="dxa"/>
            <w:vAlign w:val="center"/>
          </w:tcPr>
          <w:p w14:paraId="14DF9552">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15</w:t>
            </w:r>
          </w:p>
        </w:tc>
        <w:tc>
          <w:tcPr>
            <w:tcW w:w="1977" w:type="dxa"/>
            <w:vAlign w:val="center"/>
          </w:tcPr>
          <w:p w14:paraId="18F56210">
            <w:pPr>
              <w:spacing w:line="360" w:lineRule="auto"/>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封套上写明</w:t>
            </w:r>
          </w:p>
        </w:tc>
        <w:tc>
          <w:tcPr>
            <w:tcW w:w="6876" w:type="dxa"/>
            <w:vAlign w:val="center"/>
          </w:tcPr>
          <w:p w14:paraId="075EB735">
            <w:pPr>
              <w:spacing w:line="360" w:lineRule="auto"/>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封袋上注明：招标人名称、项目名称、项目编号、投标人名称、投标人地址，并注明“在2020年9月 28 日9点00分（投标截止时间）之前不得启封”字样。</w:t>
            </w:r>
          </w:p>
        </w:tc>
      </w:tr>
      <w:tr w14:paraId="72042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765" w:type="dxa"/>
            <w:vAlign w:val="center"/>
          </w:tcPr>
          <w:p w14:paraId="167B9CD7">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16</w:t>
            </w:r>
          </w:p>
        </w:tc>
        <w:tc>
          <w:tcPr>
            <w:tcW w:w="1977" w:type="dxa"/>
            <w:vAlign w:val="center"/>
          </w:tcPr>
          <w:p w14:paraId="59651BFE">
            <w:pPr>
              <w:spacing w:line="400" w:lineRule="exact"/>
              <w:jc w:val="center"/>
              <w:rPr>
                <w:rFonts w:ascii="仿宋" w:hAnsi="仿宋" w:eastAsia="仿宋" w:cs="仿宋"/>
                <w:bCs/>
                <w:kern w:val="0"/>
                <w:sz w:val="24"/>
                <w:szCs w:val="24"/>
              </w:rPr>
            </w:pPr>
            <w:r>
              <w:rPr>
                <w:rFonts w:hint="eastAsia" w:ascii="仿宋" w:hAnsi="仿宋" w:eastAsia="仿宋" w:cs="仿宋"/>
                <w:bCs/>
                <w:kern w:val="0"/>
                <w:sz w:val="24"/>
                <w:szCs w:val="24"/>
              </w:rPr>
              <w:t>递交投标文件时间、地点</w:t>
            </w:r>
          </w:p>
        </w:tc>
        <w:tc>
          <w:tcPr>
            <w:tcW w:w="6876" w:type="dxa"/>
            <w:vAlign w:val="center"/>
          </w:tcPr>
          <w:p w14:paraId="1E9E5A4C">
            <w:pPr>
              <w:adjustRightInd w:val="0"/>
              <w:snapToGrid w:val="0"/>
              <w:spacing w:line="360" w:lineRule="auto"/>
              <w:rPr>
                <w:rFonts w:ascii="仿宋" w:hAnsi="仿宋" w:eastAsia="仿宋" w:cs="仿宋"/>
                <w:bCs/>
                <w:color w:val="000000"/>
                <w:sz w:val="24"/>
                <w:szCs w:val="24"/>
              </w:rPr>
            </w:pPr>
            <w:r>
              <w:rPr>
                <w:rFonts w:hint="eastAsia" w:ascii="仿宋" w:hAnsi="仿宋" w:eastAsia="仿宋" w:cs="仿宋"/>
                <w:bCs/>
                <w:color w:val="000000"/>
                <w:sz w:val="24"/>
                <w:szCs w:val="24"/>
              </w:rPr>
              <w:t>开标时间（投标截止时间，北京时间为准）:</w:t>
            </w:r>
          </w:p>
          <w:p w14:paraId="54217F74">
            <w:pPr>
              <w:adjustRightInd w:val="0"/>
              <w:snapToGrid w:val="0"/>
              <w:spacing w:line="360" w:lineRule="auto"/>
              <w:rPr>
                <w:rFonts w:ascii="仿宋" w:hAnsi="仿宋" w:eastAsia="仿宋" w:cs="仿宋"/>
                <w:kern w:val="0"/>
                <w:sz w:val="24"/>
                <w:szCs w:val="24"/>
                <w:lang w:val="zh-CN"/>
              </w:rPr>
            </w:pPr>
            <w:r>
              <w:rPr>
                <w:rFonts w:hint="eastAsia" w:ascii="仿宋" w:hAnsi="仿宋" w:eastAsia="仿宋" w:cs="仿宋"/>
                <w:kern w:val="0"/>
                <w:sz w:val="24"/>
                <w:szCs w:val="24"/>
                <w:lang w:val="zh-CN"/>
              </w:rPr>
              <w:t>2020年9月 28 日9点00分</w:t>
            </w:r>
          </w:p>
          <w:p w14:paraId="7D5BBED0">
            <w:pPr>
              <w:adjustRightInd w:val="0"/>
              <w:snapToGrid w:val="0"/>
              <w:spacing w:line="360" w:lineRule="auto"/>
              <w:rPr>
                <w:rFonts w:ascii="仿宋" w:hAnsi="仿宋" w:eastAsia="仿宋" w:cs="仿宋"/>
                <w:bCs/>
                <w:color w:val="000000"/>
                <w:sz w:val="24"/>
                <w:szCs w:val="24"/>
              </w:rPr>
            </w:pPr>
            <w:r>
              <w:rPr>
                <w:rFonts w:hint="eastAsia" w:ascii="仿宋" w:hAnsi="仿宋" w:eastAsia="仿宋" w:cs="仿宋"/>
                <w:bCs/>
                <w:color w:val="000000"/>
                <w:sz w:val="24"/>
                <w:szCs w:val="24"/>
              </w:rPr>
              <w:t>开标地点：</w:t>
            </w:r>
            <w:r>
              <w:rPr>
                <w:rFonts w:hint="eastAsia" w:ascii="仿宋" w:hAnsi="仿宋" w:eastAsia="仿宋" w:cs="仿宋"/>
                <w:bCs/>
                <w:color w:val="000000" w:themeColor="text1"/>
                <w:sz w:val="24"/>
                <w:szCs w:val="24"/>
              </w:rPr>
              <w:t>淮南经济技术开发区管委会大楼十楼会议室</w:t>
            </w:r>
          </w:p>
        </w:tc>
      </w:tr>
      <w:tr w14:paraId="20CC5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65" w:type="dxa"/>
            <w:vAlign w:val="center"/>
          </w:tcPr>
          <w:p w14:paraId="23DE467D">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17</w:t>
            </w:r>
          </w:p>
        </w:tc>
        <w:tc>
          <w:tcPr>
            <w:tcW w:w="1977" w:type="dxa"/>
            <w:vAlign w:val="center"/>
          </w:tcPr>
          <w:p w14:paraId="691EDCD8">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开标时间和地点</w:t>
            </w:r>
          </w:p>
        </w:tc>
        <w:tc>
          <w:tcPr>
            <w:tcW w:w="6876" w:type="dxa"/>
            <w:vAlign w:val="center"/>
          </w:tcPr>
          <w:p w14:paraId="1D1EB7CF">
            <w:pPr>
              <w:adjustRightInd w:val="0"/>
              <w:snapToGrid w:val="0"/>
              <w:spacing w:line="360" w:lineRule="auto"/>
              <w:rPr>
                <w:rFonts w:ascii="仿宋" w:hAnsi="仿宋" w:eastAsia="仿宋" w:cs="仿宋"/>
                <w:kern w:val="0"/>
                <w:sz w:val="24"/>
                <w:szCs w:val="24"/>
              </w:rPr>
            </w:pPr>
            <w:r>
              <w:rPr>
                <w:rFonts w:hint="eastAsia" w:ascii="仿宋" w:hAnsi="仿宋" w:eastAsia="仿宋" w:cs="仿宋"/>
                <w:kern w:val="0"/>
                <w:sz w:val="24"/>
                <w:szCs w:val="24"/>
              </w:rPr>
              <w:t>开标时间：同投标截止时间</w:t>
            </w:r>
          </w:p>
          <w:p w14:paraId="3C8410EE">
            <w:pPr>
              <w:adjustRightInd w:val="0"/>
              <w:snapToGrid w:val="0"/>
              <w:spacing w:line="360" w:lineRule="auto"/>
              <w:rPr>
                <w:rFonts w:ascii="仿宋" w:hAnsi="仿宋" w:eastAsia="仿宋" w:cs="仿宋"/>
                <w:kern w:val="0"/>
                <w:sz w:val="24"/>
                <w:szCs w:val="24"/>
              </w:rPr>
            </w:pPr>
            <w:r>
              <w:rPr>
                <w:rFonts w:hint="eastAsia" w:ascii="仿宋" w:hAnsi="仿宋" w:eastAsia="仿宋" w:cs="仿宋"/>
                <w:kern w:val="0"/>
                <w:sz w:val="24"/>
                <w:szCs w:val="24"/>
              </w:rPr>
              <w:t>开标地点：同递交投标文件地点</w:t>
            </w:r>
          </w:p>
        </w:tc>
      </w:tr>
      <w:tr w14:paraId="47507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65" w:type="dxa"/>
            <w:vAlign w:val="center"/>
          </w:tcPr>
          <w:p w14:paraId="68948A3D">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18</w:t>
            </w:r>
          </w:p>
        </w:tc>
        <w:tc>
          <w:tcPr>
            <w:tcW w:w="1977" w:type="dxa"/>
            <w:vAlign w:val="center"/>
          </w:tcPr>
          <w:p w14:paraId="1F247CE3">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是否授权评标委员会确定中标人</w:t>
            </w:r>
          </w:p>
        </w:tc>
        <w:tc>
          <w:tcPr>
            <w:tcW w:w="6876" w:type="dxa"/>
            <w:vAlign w:val="center"/>
          </w:tcPr>
          <w:p w14:paraId="54A3849C">
            <w:pPr>
              <w:adjustRightInd w:val="0"/>
              <w:snapToGrid w:val="0"/>
              <w:spacing w:line="360" w:lineRule="auto"/>
              <w:rPr>
                <w:rFonts w:ascii="仿宋" w:hAnsi="仿宋" w:eastAsia="仿宋" w:cs="仿宋"/>
                <w:kern w:val="0"/>
                <w:sz w:val="24"/>
                <w:szCs w:val="24"/>
              </w:rPr>
            </w:pPr>
            <w:r>
              <w:rPr>
                <w:rFonts w:hint="eastAsia" w:ascii="仿宋" w:hAnsi="仿宋" w:eastAsia="仿宋" w:cs="仿宋"/>
                <w:kern w:val="0"/>
                <w:sz w:val="24"/>
                <w:szCs w:val="24"/>
              </w:rPr>
              <w:t>由评标委员会根据综合评审结果推荐前3名为中标候选人，由采购人依法确定中标单位。</w:t>
            </w:r>
          </w:p>
        </w:tc>
      </w:tr>
      <w:tr w14:paraId="1F226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765" w:type="dxa"/>
            <w:vAlign w:val="center"/>
          </w:tcPr>
          <w:p w14:paraId="6090BCDC">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19</w:t>
            </w:r>
          </w:p>
        </w:tc>
        <w:tc>
          <w:tcPr>
            <w:tcW w:w="1977" w:type="dxa"/>
            <w:vAlign w:val="center"/>
          </w:tcPr>
          <w:p w14:paraId="011551C6">
            <w:pPr>
              <w:widowControl/>
              <w:jc w:val="left"/>
              <w:rPr>
                <w:rFonts w:ascii="仿宋" w:hAnsi="仿宋" w:eastAsia="仿宋" w:cs="仿宋"/>
              </w:rPr>
            </w:pPr>
            <w:r>
              <w:rPr>
                <w:rFonts w:hint="eastAsia" w:ascii="仿宋" w:hAnsi="仿宋" w:eastAsia="仿宋" w:cs="仿宋"/>
                <w:color w:val="000000"/>
                <w:kern w:val="0"/>
                <w:sz w:val="24"/>
                <w:szCs w:val="24"/>
              </w:rPr>
              <w:t xml:space="preserve">评标委员会的 </w:t>
            </w:r>
          </w:p>
          <w:p w14:paraId="04E76DF5">
            <w:pPr>
              <w:widowControl/>
              <w:jc w:val="left"/>
              <w:rPr>
                <w:rFonts w:ascii="仿宋" w:hAnsi="仿宋" w:eastAsia="仿宋" w:cs="仿宋"/>
              </w:rPr>
            </w:pPr>
            <w:r>
              <w:rPr>
                <w:rFonts w:hint="eastAsia" w:ascii="仿宋" w:hAnsi="仿宋" w:eastAsia="仿宋" w:cs="仿宋"/>
                <w:color w:val="000000"/>
                <w:kern w:val="0"/>
                <w:sz w:val="24"/>
                <w:szCs w:val="24"/>
              </w:rPr>
              <w:t>组建</w:t>
            </w:r>
          </w:p>
          <w:p w14:paraId="452320C0">
            <w:pPr>
              <w:spacing w:line="400" w:lineRule="exact"/>
              <w:jc w:val="center"/>
              <w:rPr>
                <w:rFonts w:ascii="仿宋" w:hAnsi="仿宋" w:eastAsia="仿宋" w:cs="仿宋"/>
                <w:kern w:val="0"/>
                <w:sz w:val="24"/>
                <w:szCs w:val="24"/>
              </w:rPr>
            </w:pPr>
          </w:p>
        </w:tc>
        <w:tc>
          <w:tcPr>
            <w:tcW w:w="6876" w:type="dxa"/>
            <w:vAlign w:val="center"/>
          </w:tcPr>
          <w:p w14:paraId="162364C2">
            <w:pPr>
              <w:adjustRightInd w:val="0"/>
              <w:snapToGrid w:val="0"/>
              <w:spacing w:line="360" w:lineRule="auto"/>
              <w:rPr>
                <w:rFonts w:ascii="仿宋" w:hAnsi="仿宋" w:eastAsia="仿宋" w:cs="仿宋"/>
                <w:kern w:val="0"/>
                <w:sz w:val="24"/>
                <w:szCs w:val="24"/>
              </w:rPr>
            </w:pPr>
            <w:r>
              <w:rPr>
                <w:rFonts w:hint="eastAsia" w:ascii="仿宋" w:hAnsi="仿宋" w:eastAsia="仿宋" w:cs="仿宋"/>
                <w:kern w:val="0"/>
                <w:sz w:val="24"/>
                <w:szCs w:val="24"/>
              </w:rPr>
              <w:t>评标委员会构成：5 人或以上单数，其中经济、技术等方面的专家不少于成员总数的三分之二评标专家确定方式：从安徽省综合评标专家库中随机抽取</w:t>
            </w:r>
          </w:p>
        </w:tc>
      </w:tr>
      <w:tr w14:paraId="6AB36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5" w:hRule="atLeast"/>
          <w:jc w:val="center"/>
        </w:trPr>
        <w:tc>
          <w:tcPr>
            <w:tcW w:w="765" w:type="dxa"/>
            <w:vAlign w:val="center"/>
          </w:tcPr>
          <w:p w14:paraId="0486C4AA">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20</w:t>
            </w:r>
          </w:p>
        </w:tc>
        <w:tc>
          <w:tcPr>
            <w:tcW w:w="1977" w:type="dxa"/>
            <w:vAlign w:val="center"/>
          </w:tcPr>
          <w:p w14:paraId="064E8335">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履约担保</w:t>
            </w:r>
          </w:p>
        </w:tc>
        <w:tc>
          <w:tcPr>
            <w:tcW w:w="6876" w:type="dxa"/>
            <w:vAlign w:val="center"/>
          </w:tcPr>
          <w:p w14:paraId="7E1587B9">
            <w:pPr>
              <w:spacing w:line="360" w:lineRule="auto"/>
              <w:rPr>
                <w:rFonts w:ascii="仿宋" w:hAnsi="仿宋" w:eastAsia="仿宋" w:cs="仿宋"/>
                <w:color w:val="000000"/>
                <w:kern w:val="10"/>
                <w:sz w:val="24"/>
                <w:szCs w:val="24"/>
              </w:rPr>
            </w:pPr>
            <w:r>
              <w:rPr>
                <w:rFonts w:hint="eastAsia" w:ascii="仿宋" w:hAnsi="仿宋" w:eastAsia="仿宋" w:cs="仿宋"/>
                <w:color w:val="000000"/>
                <w:kern w:val="10"/>
                <w:sz w:val="24"/>
                <w:szCs w:val="24"/>
              </w:rPr>
              <w:t>1、</w:t>
            </w:r>
            <w:r>
              <w:rPr>
                <w:rFonts w:hint="eastAsia" w:ascii="仿宋" w:hAnsi="仿宋" w:eastAsia="仿宋" w:cs="仿宋"/>
                <w:sz w:val="24"/>
                <w:szCs w:val="24"/>
              </w:rPr>
              <w:t>履约保证金的金额：中标金额的 5%，合同签订前支付给招标人，服务期满后无问题退还（无息）。</w:t>
            </w:r>
          </w:p>
          <w:p w14:paraId="78AE8BBA">
            <w:pPr>
              <w:adjustRightInd w:val="0"/>
              <w:snapToGrid w:val="0"/>
              <w:spacing w:line="360" w:lineRule="auto"/>
              <w:jc w:val="left"/>
              <w:rPr>
                <w:rFonts w:ascii="仿宋" w:hAnsi="仿宋" w:eastAsia="仿宋" w:cs="仿宋"/>
                <w:kern w:val="0"/>
                <w:sz w:val="24"/>
                <w:szCs w:val="24"/>
              </w:rPr>
            </w:pPr>
            <w:r>
              <w:rPr>
                <w:rFonts w:hint="eastAsia" w:ascii="仿宋" w:hAnsi="仿宋" w:eastAsia="仿宋" w:cs="仿宋"/>
                <w:color w:val="000000"/>
                <w:kern w:val="10"/>
                <w:sz w:val="24"/>
                <w:szCs w:val="24"/>
              </w:rPr>
              <w:t>2、投标供应商需在公示后三日内提交履约保证金，若投标供应商不按要求及时、足额提交履约保证金，领取中标通知书，应视作拒绝提交，可取消其成交资格，并没收投标保证金；给采购人的损失超过投标保证金数额的，投标供应商应当对超过部分予以赔偿。</w:t>
            </w:r>
          </w:p>
        </w:tc>
      </w:tr>
      <w:tr w14:paraId="1CE81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765" w:type="dxa"/>
            <w:vAlign w:val="center"/>
          </w:tcPr>
          <w:p w14:paraId="2A791482">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21</w:t>
            </w:r>
          </w:p>
        </w:tc>
        <w:tc>
          <w:tcPr>
            <w:tcW w:w="1977" w:type="dxa"/>
            <w:vAlign w:val="center"/>
          </w:tcPr>
          <w:p w14:paraId="0CA01FD0">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招标代理服务费</w:t>
            </w:r>
          </w:p>
        </w:tc>
        <w:tc>
          <w:tcPr>
            <w:tcW w:w="6876" w:type="dxa"/>
            <w:vAlign w:val="center"/>
          </w:tcPr>
          <w:p w14:paraId="2EAD8222">
            <w:pPr>
              <w:adjustRightInd w:val="0"/>
              <w:snapToGrid w:val="0"/>
              <w:spacing w:line="360" w:lineRule="auto"/>
              <w:rPr>
                <w:rFonts w:ascii="仿宋" w:hAnsi="仿宋" w:eastAsia="仿宋" w:cs="仿宋"/>
                <w:kern w:val="0"/>
                <w:sz w:val="24"/>
                <w:szCs w:val="24"/>
              </w:rPr>
            </w:pPr>
            <w:r>
              <w:rPr>
                <w:rFonts w:hint="eastAsia" w:ascii="仿宋" w:hAnsi="仿宋" w:eastAsia="仿宋" w:cs="仿宋"/>
                <w:color w:val="000000" w:themeColor="text1"/>
                <w:sz w:val="24"/>
                <w:szCs w:val="24"/>
              </w:rPr>
              <w:t>按</w:t>
            </w:r>
            <w:r>
              <w:rPr>
                <w:rFonts w:hint="eastAsia" w:ascii="仿宋" w:hAnsi="仿宋" w:eastAsia="仿宋" w:cs="仿宋"/>
                <w:color w:val="000000" w:themeColor="text1"/>
                <w:sz w:val="24"/>
                <w:szCs w:val="24"/>
                <w:lang w:val="zh-CN"/>
              </w:rPr>
              <w:t>原国家计委计价格[2002]1980号《招标代理服务收费管理暂行办法》文件规定标准收取，</w:t>
            </w:r>
            <w:r>
              <w:rPr>
                <w:rFonts w:hint="eastAsia" w:ascii="仿宋" w:hAnsi="仿宋" w:eastAsia="仿宋" w:cs="仿宋"/>
                <w:color w:val="000000" w:themeColor="text1"/>
                <w:sz w:val="24"/>
                <w:szCs w:val="24"/>
              </w:rPr>
              <w:t>以上费用由中标人在领取中标通知书前向代理机构一次性支付，项目实施过程中产生的专家评审费由中标单位支付。</w:t>
            </w:r>
          </w:p>
        </w:tc>
      </w:tr>
      <w:tr w14:paraId="3717A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765" w:type="dxa"/>
            <w:vAlign w:val="center"/>
          </w:tcPr>
          <w:p w14:paraId="7077F2A2">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22</w:t>
            </w:r>
          </w:p>
        </w:tc>
        <w:tc>
          <w:tcPr>
            <w:tcW w:w="1977" w:type="dxa"/>
            <w:vAlign w:val="center"/>
          </w:tcPr>
          <w:p w14:paraId="3937E912">
            <w:pPr>
              <w:spacing w:line="360" w:lineRule="auto"/>
              <w:ind w:firstLine="240" w:firstLineChars="100"/>
              <w:rPr>
                <w:rFonts w:ascii="仿宋" w:hAnsi="仿宋" w:eastAsia="仿宋" w:cs="仿宋"/>
                <w:kern w:val="0"/>
                <w:sz w:val="24"/>
                <w:szCs w:val="24"/>
              </w:rPr>
            </w:pPr>
            <w:r>
              <w:rPr>
                <w:rFonts w:hint="eastAsia" w:ascii="仿宋" w:hAnsi="仿宋" w:eastAsia="仿宋" w:cs="仿宋"/>
                <w:color w:val="000000" w:themeColor="text1"/>
                <w:sz w:val="24"/>
                <w:szCs w:val="24"/>
              </w:rPr>
              <w:t>开标程序</w:t>
            </w:r>
          </w:p>
        </w:tc>
        <w:tc>
          <w:tcPr>
            <w:tcW w:w="6876" w:type="dxa"/>
            <w:vAlign w:val="center"/>
          </w:tcPr>
          <w:p w14:paraId="32086A3C">
            <w:pPr>
              <w:spacing w:line="360" w:lineRule="auto"/>
              <w:rPr>
                <w:rFonts w:ascii="仿宋" w:hAnsi="仿宋" w:eastAsia="仿宋" w:cs="仿宋"/>
                <w:sz w:val="24"/>
                <w:szCs w:val="24"/>
              </w:rPr>
            </w:pPr>
            <w:r>
              <w:rPr>
                <w:rFonts w:hint="eastAsia" w:ascii="仿宋" w:hAnsi="仿宋" w:eastAsia="仿宋" w:cs="仿宋"/>
                <w:color w:val="000000" w:themeColor="text1"/>
                <w:sz w:val="24"/>
                <w:szCs w:val="24"/>
              </w:rPr>
              <w:t>开标由招标代理机构主持，采购人、投标供应商和有关方面代表参加。所有投标供应商应派授权代表（到场的投标人如果是法定代表人则只查验身份证，若为委托代理人则查验其授权委托书原件及身份证）参加开标会，并签到，否则不得对开标过程及结果提出任何异议。</w:t>
            </w:r>
          </w:p>
        </w:tc>
      </w:tr>
      <w:tr w14:paraId="67D21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765" w:type="dxa"/>
            <w:vAlign w:val="center"/>
          </w:tcPr>
          <w:p w14:paraId="7283358E">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23</w:t>
            </w:r>
          </w:p>
        </w:tc>
        <w:tc>
          <w:tcPr>
            <w:tcW w:w="1977" w:type="dxa"/>
            <w:vAlign w:val="center"/>
          </w:tcPr>
          <w:p w14:paraId="47474B74">
            <w:pPr>
              <w:spacing w:line="360" w:lineRule="auto"/>
              <w:jc w:val="center"/>
              <w:rPr>
                <w:rFonts w:ascii="仿宋" w:hAnsi="仿宋" w:eastAsia="仿宋" w:cs="仿宋"/>
                <w:bCs/>
                <w:kern w:val="0"/>
                <w:sz w:val="24"/>
                <w:szCs w:val="24"/>
              </w:rPr>
            </w:pPr>
            <w:r>
              <w:rPr>
                <w:rFonts w:hint="eastAsia" w:ascii="仿宋" w:hAnsi="仿宋" w:eastAsia="仿宋" w:cs="仿宋"/>
                <w:bCs/>
                <w:kern w:val="0"/>
                <w:sz w:val="24"/>
                <w:szCs w:val="24"/>
              </w:rPr>
              <w:t>付款方式</w:t>
            </w:r>
          </w:p>
        </w:tc>
        <w:tc>
          <w:tcPr>
            <w:tcW w:w="6876" w:type="dxa"/>
            <w:vAlign w:val="center"/>
          </w:tcPr>
          <w:p w14:paraId="0A28B4F3">
            <w:pPr>
              <w:spacing w:line="360" w:lineRule="auto"/>
              <w:rPr>
                <w:rFonts w:ascii="仿宋" w:hAnsi="仿宋" w:eastAsia="仿宋" w:cs="仿宋"/>
                <w:bCs/>
                <w:sz w:val="24"/>
                <w:szCs w:val="24"/>
              </w:rPr>
            </w:pPr>
            <w:r>
              <w:rPr>
                <w:rFonts w:hint="eastAsia" w:ascii="仿宋" w:hAnsi="仿宋" w:eastAsia="仿宋" w:cs="仿宋"/>
                <w:bCs/>
                <w:sz w:val="24"/>
                <w:szCs w:val="24"/>
              </w:rPr>
              <w:t>本项目无预付款，项目完成验收合格后支付至合同价款的95%，剩余5%作为质量保证金，三年质量保证期满后无异议支付剩余价款（无息）。</w:t>
            </w:r>
          </w:p>
        </w:tc>
      </w:tr>
      <w:tr w14:paraId="23D23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jc w:val="center"/>
        </w:trPr>
        <w:tc>
          <w:tcPr>
            <w:tcW w:w="765" w:type="dxa"/>
            <w:vAlign w:val="center"/>
          </w:tcPr>
          <w:p w14:paraId="1EC693C1">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24</w:t>
            </w:r>
          </w:p>
        </w:tc>
        <w:tc>
          <w:tcPr>
            <w:tcW w:w="1977" w:type="dxa"/>
            <w:vAlign w:val="center"/>
          </w:tcPr>
          <w:p w14:paraId="02E830AD">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其他要求</w:t>
            </w:r>
          </w:p>
        </w:tc>
        <w:tc>
          <w:tcPr>
            <w:tcW w:w="6876" w:type="dxa"/>
            <w:vAlign w:val="center"/>
          </w:tcPr>
          <w:p w14:paraId="04FE08B9">
            <w:pPr>
              <w:numPr>
                <w:ilvl w:val="0"/>
                <w:numId w:val="1"/>
              </w:num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招标文件的解释权归招标人所有，由招标人负责解释。</w:t>
            </w:r>
          </w:p>
          <w:p w14:paraId="5B6354A4">
            <w:pPr>
              <w:adjustRightInd w:val="0"/>
              <w:snapToGrid w:val="0"/>
              <w:spacing w:line="360" w:lineRule="auto"/>
              <w:jc w:val="left"/>
              <w:rPr>
                <w:rFonts w:ascii="仿宋" w:hAnsi="仿宋" w:eastAsia="仿宋" w:cs="仿宋"/>
                <w:kern w:val="0"/>
                <w:sz w:val="24"/>
                <w:szCs w:val="24"/>
              </w:rPr>
            </w:pPr>
            <w:r>
              <w:rPr>
                <w:rFonts w:hint="eastAsia" w:ascii="仿宋" w:hAnsi="仿宋" w:eastAsia="仿宋" w:cs="仿宋"/>
                <w:sz w:val="24"/>
                <w:szCs w:val="24"/>
              </w:rPr>
              <w:t>2、如招标文件中出现前后不一致的描述，各章节解释优先顺序依次为投标人须知前附表＞评标办法＞招标文件其他内容。各章节内优先顺序为：表格内文字约定效力优先于非表格文字约定效力。</w:t>
            </w:r>
          </w:p>
        </w:tc>
      </w:tr>
      <w:tr w14:paraId="516F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765" w:type="dxa"/>
            <w:vAlign w:val="center"/>
          </w:tcPr>
          <w:p w14:paraId="659F72A2">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25</w:t>
            </w:r>
          </w:p>
        </w:tc>
        <w:tc>
          <w:tcPr>
            <w:tcW w:w="1977" w:type="dxa"/>
            <w:vAlign w:val="center"/>
          </w:tcPr>
          <w:p w14:paraId="6AC00C51">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投标人提出问题的截止时间</w:t>
            </w:r>
          </w:p>
        </w:tc>
        <w:tc>
          <w:tcPr>
            <w:tcW w:w="6876" w:type="dxa"/>
            <w:vAlign w:val="center"/>
          </w:tcPr>
          <w:p w14:paraId="30A31A7C">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 xml:space="preserve">提问截止时间：投标截止时间 10 日前（逾期不予受理） </w:t>
            </w:r>
          </w:p>
          <w:p w14:paraId="7F342C95">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招标文件修改截止时间：投标截止时间前（如果修改发出的 时间距投标截止时间不足 15 天且该修改内容影响投标人编制投标文件的，相应延长投标截止时间）</w:t>
            </w:r>
          </w:p>
        </w:tc>
      </w:tr>
      <w:tr w14:paraId="430CC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765" w:type="dxa"/>
            <w:vAlign w:val="center"/>
          </w:tcPr>
          <w:p w14:paraId="22E60EE0">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26</w:t>
            </w:r>
          </w:p>
        </w:tc>
        <w:tc>
          <w:tcPr>
            <w:tcW w:w="1977" w:type="dxa"/>
            <w:vAlign w:val="center"/>
          </w:tcPr>
          <w:p w14:paraId="21252648">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招标文件澄清、修改的发布形式</w:t>
            </w:r>
          </w:p>
        </w:tc>
        <w:tc>
          <w:tcPr>
            <w:tcW w:w="6876" w:type="dxa"/>
            <w:vAlign w:val="center"/>
          </w:tcPr>
          <w:p w14:paraId="7A0353D3">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淮南经济技术开发区管理委员会网上发布</w:t>
            </w:r>
          </w:p>
          <w:p w14:paraId="1CA886F1">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网址：http://jkq.huainan.gov.cn/,请各位投标人自行查看所有澄清内容，如不及时查看造成后果由投标人自负。</w:t>
            </w:r>
          </w:p>
        </w:tc>
      </w:tr>
      <w:tr w14:paraId="1EB65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9" w:hRule="atLeast"/>
          <w:jc w:val="center"/>
        </w:trPr>
        <w:tc>
          <w:tcPr>
            <w:tcW w:w="765" w:type="dxa"/>
            <w:vAlign w:val="center"/>
          </w:tcPr>
          <w:p w14:paraId="2E44882B">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27</w:t>
            </w:r>
          </w:p>
        </w:tc>
        <w:tc>
          <w:tcPr>
            <w:tcW w:w="1977" w:type="dxa"/>
            <w:vAlign w:val="center"/>
          </w:tcPr>
          <w:p w14:paraId="56ADD3ED">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中小企业声明函及证明材料</w:t>
            </w:r>
          </w:p>
        </w:tc>
        <w:tc>
          <w:tcPr>
            <w:tcW w:w="6876" w:type="dxa"/>
            <w:vAlign w:val="center"/>
          </w:tcPr>
          <w:p w14:paraId="6B74B014">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依据《政府采购促进中小企业发展暂行办法》，参加政府采购活动的中小企业应当提供《中小企业声明函》。其中 ①中型 企业提供《中小企业声明函》 ；②小型 和 ③微型 企业除提供《中小企业声明函》外，还必须随《中小企业声明函》同时提供声明单位在国家企业信用信息公示系统 “小微企业名录” 中的网页查询截图作为声明函的佐证。否则视为《中小企业声明函》无效。</w:t>
            </w:r>
          </w:p>
          <w:p w14:paraId="4F35A2E9">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对提交《中小企业声明函》的中型企业，和提交《中小企业声明函》及国家企业信用信息公示系统 “小微企业名录” 网页查询截图的小型和微型企业的产品和服务给与价格折算。</w:t>
            </w:r>
          </w:p>
          <w:p w14:paraId="478FFA7D">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针对小型和微型企业：如供应商采用非本单位生产的货物参与投标，除提供本单位《中小企业声明函》及网页截图之外，还必须提供货物生产商的《中小企业声明函》以及在国家企业信用信息公示系统小微企业名录中的网页查询截图，否则所提供该项产品不享受价格折算政策。</w:t>
            </w:r>
          </w:p>
          <w:p w14:paraId="6C5234E8">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针对中型企业：如供应商采用非本单位生产的货物参与投标， 除提供本单位《中小企业声明函》之外，还必须提供货物生产商的《中小企业声明函》，否则所提供该项产品不享受价格折算政策。</w:t>
            </w:r>
          </w:p>
          <w:p w14:paraId="2492D9F2">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说明：</w:t>
            </w:r>
          </w:p>
          <w:p w14:paraId="7EEFB3A0">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1、中型企业提供小微企业的产品视同中型企业；小微企业提供中型企业生产的产品视同中型企业。</w:t>
            </w:r>
          </w:p>
          <w:p w14:paraId="430338A8">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2、《中小企业声明函》中需要注明该企业所提供货物对应在采购需求清单中的货物编号，仅对于符合政府采购价格折算政策的单位及对应产品、服务进行价格折算。</w:t>
            </w:r>
          </w:p>
          <w:p w14:paraId="38972643">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3、政府采购价格折算后的价格仅用于计算供应商的报价分值， 并非投标报价。投标报价是签订合同的依据。</w:t>
            </w:r>
          </w:p>
          <w:p w14:paraId="078C0D6E">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4、《中小企业声明函》随中标、成交结果同时公告，接受社会监督。供应商提供的资料与事实不符的，将依据政府采购</w:t>
            </w:r>
          </w:p>
          <w:p w14:paraId="10EE807E">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法第七十七条第一款的规定追究法律责任。</w:t>
            </w:r>
          </w:p>
        </w:tc>
      </w:tr>
      <w:tr w14:paraId="79A23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765" w:type="dxa"/>
            <w:vAlign w:val="center"/>
          </w:tcPr>
          <w:p w14:paraId="32D99C57">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28</w:t>
            </w:r>
          </w:p>
        </w:tc>
        <w:tc>
          <w:tcPr>
            <w:tcW w:w="1977" w:type="dxa"/>
            <w:vAlign w:val="center"/>
          </w:tcPr>
          <w:p w14:paraId="506445A4">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知识产权</w:t>
            </w:r>
          </w:p>
          <w:p w14:paraId="09CE26D5">
            <w:pPr>
              <w:adjustRightInd w:val="0"/>
              <w:snapToGrid w:val="0"/>
              <w:spacing w:line="360" w:lineRule="auto"/>
              <w:jc w:val="left"/>
              <w:rPr>
                <w:rFonts w:ascii="仿宋" w:hAnsi="仿宋" w:eastAsia="仿宋" w:cs="仿宋"/>
                <w:sz w:val="24"/>
                <w:szCs w:val="24"/>
              </w:rPr>
            </w:pPr>
          </w:p>
        </w:tc>
        <w:tc>
          <w:tcPr>
            <w:tcW w:w="6876" w:type="dxa"/>
            <w:vAlign w:val="center"/>
          </w:tcPr>
          <w:p w14:paraId="4B51EC67">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投标人须保障招标人在使用该服务或其任何一部分时不受到第三方关于侵犯专利权、商标权等知识产权的指控。如果任何第三方提出侵权指控与招标人无关，投标人须与第三方交涉并承担可能发生的责任与一切费用。如招标人因此而遭致损失的，投标人应赔偿该损失。</w:t>
            </w:r>
          </w:p>
        </w:tc>
      </w:tr>
      <w:tr w14:paraId="08CED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jc w:val="center"/>
        </w:trPr>
        <w:tc>
          <w:tcPr>
            <w:tcW w:w="765" w:type="dxa"/>
            <w:vAlign w:val="center"/>
          </w:tcPr>
          <w:p w14:paraId="7C07992D">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29</w:t>
            </w:r>
          </w:p>
        </w:tc>
        <w:tc>
          <w:tcPr>
            <w:tcW w:w="1977" w:type="dxa"/>
            <w:vAlign w:val="center"/>
          </w:tcPr>
          <w:p w14:paraId="3DE6F2E7">
            <w:pPr>
              <w:spacing w:line="360" w:lineRule="auto"/>
              <w:jc w:val="center"/>
              <w:rPr>
                <w:rFonts w:ascii="仿宋" w:hAnsi="仿宋" w:eastAsia="仿宋" w:cs="仿宋"/>
                <w:color w:val="000000"/>
                <w:sz w:val="24"/>
                <w:szCs w:val="24"/>
              </w:rPr>
            </w:pPr>
            <w:r>
              <w:rPr>
                <w:rFonts w:hint="eastAsia" w:ascii="仿宋" w:hAnsi="仿宋" w:eastAsia="仿宋" w:cs="仿宋"/>
                <w:color w:val="000000" w:themeColor="text1"/>
                <w:sz w:val="24"/>
                <w:szCs w:val="24"/>
              </w:rPr>
              <w:t>提示</w:t>
            </w:r>
          </w:p>
        </w:tc>
        <w:tc>
          <w:tcPr>
            <w:tcW w:w="6876" w:type="dxa"/>
            <w:vAlign w:val="center"/>
          </w:tcPr>
          <w:p w14:paraId="07629F82">
            <w:pPr>
              <w:numPr>
                <w:ilvl w:val="0"/>
                <w:numId w:val="2"/>
              </w:numPr>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为保证投标人可以顺利递交投标文件，请各投标人务必在投标截止时间前递交投标文件，否则拒绝其投标。</w:t>
            </w:r>
          </w:p>
          <w:p w14:paraId="2ACE2377">
            <w:pPr>
              <w:spacing w:line="360" w:lineRule="auto"/>
              <w:rPr>
                <w:rFonts w:ascii="仿宋" w:hAnsi="仿宋" w:eastAsia="仿宋" w:cs="仿宋"/>
                <w:color w:val="000000"/>
                <w:sz w:val="24"/>
                <w:szCs w:val="24"/>
              </w:rPr>
            </w:pPr>
            <w:r>
              <w:rPr>
                <w:rFonts w:hint="eastAsia" w:ascii="仿宋" w:hAnsi="仿宋" w:eastAsia="仿宋" w:cs="仿宋"/>
                <w:color w:val="000000" w:themeColor="text1"/>
                <w:sz w:val="24"/>
                <w:szCs w:val="24"/>
              </w:rPr>
              <w:t>2、评标过程中，请委托代理人在评标等候区等候，保持通讯工具畅通，投标人接到询标电话后10分钟内立刻到达询标现场，并完成询标回复，否则默认为投标人认可询标内容情况属实。</w:t>
            </w:r>
          </w:p>
        </w:tc>
      </w:tr>
    </w:tbl>
    <w:p w14:paraId="474B1AA7">
      <w:pPr>
        <w:pStyle w:val="6"/>
        <w:spacing w:line="360" w:lineRule="atLeast"/>
        <w:ind w:firstLine="0"/>
        <w:jc w:val="both"/>
        <w:rPr>
          <w:rFonts w:ascii="仿宋" w:hAnsi="仿宋" w:eastAsia="仿宋" w:cs="仿宋"/>
          <w:sz w:val="24"/>
          <w:szCs w:val="24"/>
        </w:rPr>
      </w:pPr>
      <w:bookmarkStart w:id="51" w:name="_Toc518556907"/>
      <w:r>
        <w:rPr>
          <w:rFonts w:hint="eastAsia" w:ascii="仿宋" w:hAnsi="仿宋" w:eastAsia="仿宋" w:cs="仿宋"/>
          <w:sz w:val="24"/>
          <w:szCs w:val="24"/>
        </w:rPr>
        <w:t>备注：本须知前附表与招标文件其他内容不一致时，以须知前附表为准。</w:t>
      </w:r>
    </w:p>
    <w:p w14:paraId="53C7F65B">
      <w:pPr>
        <w:pStyle w:val="5"/>
        <w:ind w:firstLine="301" w:firstLineChars="100"/>
        <w:jc w:val="both"/>
        <w:rPr>
          <w:rFonts w:ascii="仿宋" w:hAnsi="仿宋" w:eastAsia="仿宋" w:cs="仿宋"/>
          <w:highlight w:val="white"/>
        </w:rPr>
      </w:pPr>
    </w:p>
    <w:p w14:paraId="28035A3D">
      <w:pPr>
        <w:pStyle w:val="5"/>
        <w:ind w:firstLine="301" w:firstLineChars="100"/>
        <w:rPr>
          <w:rFonts w:ascii="仿宋" w:hAnsi="仿宋" w:eastAsia="仿宋" w:cs="仿宋"/>
          <w:highlight w:val="white"/>
        </w:rPr>
      </w:pPr>
    </w:p>
    <w:p w14:paraId="25FCF37F">
      <w:pPr>
        <w:pStyle w:val="5"/>
        <w:ind w:firstLine="301" w:firstLineChars="100"/>
        <w:rPr>
          <w:rFonts w:ascii="仿宋" w:hAnsi="仿宋" w:eastAsia="仿宋" w:cs="仿宋"/>
          <w:highlight w:val="white"/>
        </w:rPr>
      </w:pPr>
    </w:p>
    <w:p w14:paraId="78E3014E">
      <w:pPr>
        <w:pStyle w:val="5"/>
        <w:ind w:firstLine="301" w:firstLineChars="100"/>
        <w:rPr>
          <w:rFonts w:ascii="仿宋" w:hAnsi="仿宋" w:eastAsia="仿宋" w:cs="仿宋"/>
          <w:highlight w:val="white"/>
        </w:rPr>
      </w:pPr>
    </w:p>
    <w:p w14:paraId="22716FAA">
      <w:pPr>
        <w:outlineLvl w:val="0"/>
        <w:rPr>
          <w:rFonts w:ascii="仿宋" w:hAnsi="仿宋" w:eastAsia="仿宋" w:cs="仿宋"/>
          <w:b/>
          <w:bCs/>
          <w:sz w:val="28"/>
          <w:szCs w:val="32"/>
        </w:rPr>
      </w:pPr>
      <w:bookmarkStart w:id="52" w:name="_Toc31866"/>
    </w:p>
    <w:p w14:paraId="4B8DB842">
      <w:pPr>
        <w:jc w:val="center"/>
        <w:outlineLvl w:val="0"/>
        <w:rPr>
          <w:rFonts w:ascii="仿宋" w:hAnsi="仿宋" w:eastAsia="仿宋" w:cs="仿宋"/>
          <w:b/>
          <w:bCs/>
          <w:sz w:val="28"/>
          <w:szCs w:val="32"/>
          <w:highlight w:val="yellow"/>
        </w:rPr>
      </w:pPr>
    </w:p>
    <w:p w14:paraId="5213AE08">
      <w:pPr>
        <w:jc w:val="center"/>
        <w:outlineLvl w:val="0"/>
        <w:rPr>
          <w:rFonts w:ascii="仿宋" w:hAnsi="仿宋" w:eastAsia="仿宋" w:cs="仿宋"/>
          <w:b/>
          <w:bCs/>
          <w:sz w:val="28"/>
          <w:szCs w:val="32"/>
        </w:rPr>
      </w:pPr>
    </w:p>
    <w:p w14:paraId="6BC5F922">
      <w:pPr>
        <w:jc w:val="center"/>
        <w:outlineLvl w:val="0"/>
        <w:rPr>
          <w:rFonts w:ascii="仿宋" w:hAnsi="仿宋" w:eastAsia="仿宋" w:cs="仿宋"/>
          <w:b/>
          <w:bCs/>
          <w:sz w:val="28"/>
          <w:szCs w:val="32"/>
        </w:rPr>
      </w:pPr>
      <w:r>
        <w:rPr>
          <w:rFonts w:hint="eastAsia" w:ascii="仿宋" w:hAnsi="仿宋" w:eastAsia="仿宋" w:cs="仿宋"/>
          <w:b/>
          <w:bCs/>
          <w:sz w:val="28"/>
          <w:szCs w:val="32"/>
        </w:rPr>
        <w:t>第三章  采购需求</w:t>
      </w:r>
      <w:bookmarkEnd w:id="10"/>
      <w:bookmarkEnd w:id="11"/>
      <w:bookmarkEnd w:id="51"/>
      <w:bookmarkEnd w:id="52"/>
      <w:r>
        <w:rPr>
          <w:rFonts w:hint="eastAsia" w:ascii="仿宋" w:hAnsi="仿宋" w:eastAsia="仿宋" w:cs="仿宋"/>
          <w:b/>
          <w:bCs/>
          <w:sz w:val="28"/>
          <w:szCs w:val="32"/>
        </w:rPr>
        <w:t>（智慧课堂及智慧黑板）</w:t>
      </w:r>
    </w:p>
    <w:p w14:paraId="197ACAB7">
      <w:pPr>
        <w:jc w:val="center"/>
        <w:rPr>
          <w:rFonts w:ascii="仿宋" w:hAnsi="仿宋" w:eastAsia="仿宋" w:cs="仿宋"/>
          <w:szCs w:val="21"/>
        </w:rPr>
      </w:pPr>
      <w:bookmarkStart w:id="53" w:name="_Toc518556908"/>
    </w:p>
    <w:p w14:paraId="6EEE8EDC">
      <w:pPr>
        <w:pStyle w:val="141"/>
        <w:spacing w:line="360" w:lineRule="auto"/>
        <w:rPr>
          <w:rFonts w:ascii="仿宋" w:hAnsi="仿宋" w:eastAsia="仿宋" w:cs="仿宋"/>
          <w:sz w:val="24"/>
          <w:szCs w:val="24"/>
        </w:rPr>
      </w:pPr>
      <w:bookmarkStart w:id="54" w:name="EB8b9bb5f37c70494997c122250d322801"/>
      <w:r>
        <w:rPr>
          <w:rFonts w:hint="eastAsia" w:ascii="仿宋" w:hAnsi="仿宋" w:eastAsia="仿宋" w:cs="仿宋"/>
          <w:sz w:val="24"/>
          <w:szCs w:val="24"/>
        </w:rPr>
        <w:t>前注：</w:t>
      </w:r>
    </w:p>
    <w:p w14:paraId="29B24D83">
      <w:pPr>
        <w:pStyle w:val="141"/>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1）本需求中提出的技术方案仅为参考，如无明确限制，供应商可以进行优化，提供满足用户实际需要的更优（或者性能实质上不低于的）技术方案或者设备配置，且此方案或配置须经评委会审核认可； </w:t>
      </w:r>
    </w:p>
    <w:p w14:paraId="2E07FC25">
      <w:pPr>
        <w:pStyle w:val="141"/>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为有助于供应商选择投标产品，项目需求中如果提供了推荐品牌（或型号）、参考品牌（或型号）等，这些品牌（或型号）仅供参考，并无限制性。供应商可以选择性能不低于推荐（或参考）的品牌（或型号）的其他品牌产品，但投标时应当提有关技术证明资料，未提供的可能导致投标无效；</w:t>
      </w:r>
    </w:p>
    <w:p w14:paraId="7F2DAB39">
      <w:pPr>
        <w:pStyle w:val="141"/>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供应商应当在投标文件中列出完成本项目并通过验收所需的所有各项服务等明细表及全部费用。成交供应商必须确保整体通过用户方及有关主管部门验收,所发生的验收费用由成交供应商承担；供应商应自行踏勘施工建设现场，如供应商因未及时踏勘现场而导致的报价缺项漏项废标、或中标后无法完工，供应商自行承担一切后果；</w:t>
      </w:r>
    </w:p>
    <w:p w14:paraId="4592E91F">
      <w:pPr>
        <w:pStyle w:val="141"/>
        <w:spacing w:line="360" w:lineRule="auto"/>
        <w:ind w:firstLine="480" w:firstLineChars="200"/>
        <w:rPr>
          <w:rFonts w:ascii="仿宋" w:hAnsi="仿宋" w:eastAsia="仿宋" w:cs="仿宋"/>
          <w:b/>
          <w:bCs/>
          <w:szCs w:val="21"/>
        </w:rPr>
      </w:pPr>
      <w:r>
        <w:rPr>
          <w:rFonts w:hint="eastAsia" w:ascii="仿宋" w:hAnsi="仿宋" w:eastAsia="仿宋" w:cs="仿宋"/>
          <w:sz w:val="24"/>
          <w:szCs w:val="24"/>
        </w:rPr>
        <w:t>4）如对本招标文件有任何疑问或澄清要求，请按本招标文件“投标须知前附表”中的约定联系代理机构，或接受答疑截止时间前联系采购人。否则视同理解和接受。</w:t>
      </w:r>
      <w:bookmarkEnd w:id="54"/>
    </w:p>
    <w:p w14:paraId="3726618E">
      <w:pPr>
        <w:pStyle w:val="6"/>
        <w:numPr>
          <w:ilvl w:val="1"/>
          <w:numId w:val="0"/>
        </w:numPr>
        <w:rPr>
          <w:rFonts w:ascii="仿宋" w:hAnsi="仿宋" w:eastAsia="仿宋" w:cs="仿宋"/>
          <w:sz w:val="28"/>
          <w:szCs w:val="20"/>
        </w:rPr>
      </w:pPr>
    </w:p>
    <w:p w14:paraId="612C9300">
      <w:pPr>
        <w:pStyle w:val="6"/>
        <w:numPr>
          <w:ilvl w:val="1"/>
          <w:numId w:val="0"/>
        </w:numPr>
        <w:rPr>
          <w:rFonts w:ascii="仿宋" w:hAnsi="仿宋" w:eastAsia="仿宋" w:cs="仿宋"/>
          <w:sz w:val="28"/>
          <w:szCs w:val="20"/>
        </w:rPr>
      </w:pPr>
    </w:p>
    <w:p w14:paraId="44E4B908">
      <w:pPr>
        <w:pStyle w:val="6"/>
        <w:numPr>
          <w:ilvl w:val="1"/>
          <w:numId w:val="0"/>
        </w:numPr>
        <w:rPr>
          <w:rFonts w:ascii="仿宋" w:hAnsi="仿宋" w:eastAsia="仿宋" w:cs="仿宋"/>
          <w:sz w:val="28"/>
          <w:szCs w:val="20"/>
        </w:rPr>
      </w:pPr>
    </w:p>
    <w:p w14:paraId="2CE9F50A">
      <w:pPr>
        <w:pStyle w:val="6"/>
        <w:numPr>
          <w:ilvl w:val="1"/>
          <w:numId w:val="0"/>
        </w:numPr>
        <w:rPr>
          <w:rFonts w:ascii="仿宋" w:hAnsi="仿宋" w:eastAsia="仿宋" w:cs="仿宋"/>
          <w:sz w:val="28"/>
          <w:szCs w:val="20"/>
        </w:rPr>
      </w:pPr>
    </w:p>
    <w:p w14:paraId="6759D908">
      <w:pPr>
        <w:pStyle w:val="6"/>
        <w:numPr>
          <w:ilvl w:val="1"/>
          <w:numId w:val="0"/>
        </w:numPr>
        <w:rPr>
          <w:rFonts w:ascii="仿宋" w:hAnsi="仿宋" w:eastAsia="仿宋" w:cs="仿宋"/>
          <w:sz w:val="28"/>
          <w:szCs w:val="20"/>
        </w:rPr>
      </w:pPr>
    </w:p>
    <w:p w14:paraId="66F37D44">
      <w:pPr>
        <w:pStyle w:val="6"/>
        <w:numPr>
          <w:ilvl w:val="1"/>
          <w:numId w:val="0"/>
        </w:numPr>
        <w:rPr>
          <w:rFonts w:ascii="仿宋" w:hAnsi="仿宋" w:eastAsia="仿宋" w:cs="仿宋"/>
          <w:sz w:val="28"/>
          <w:szCs w:val="20"/>
        </w:rPr>
      </w:pPr>
    </w:p>
    <w:p w14:paraId="54451DF4">
      <w:pPr>
        <w:rPr>
          <w:rFonts w:ascii="仿宋" w:hAnsi="仿宋" w:eastAsia="仿宋" w:cs="仿宋"/>
        </w:rPr>
      </w:pPr>
    </w:p>
    <w:p w14:paraId="64F86891">
      <w:pPr>
        <w:rPr>
          <w:rFonts w:ascii="仿宋" w:hAnsi="仿宋" w:eastAsia="仿宋" w:cs="仿宋"/>
        </w:rPr>
      </w:pPr>
    </w:p>
    <w:p w14:paraId="2F126607">
      <w:pPr>
        <w:rPr>
          <w:rFonts w:ascii="仿宋" w:hAnsi="仿宋" w:eastAsia="仿宋" w:cs="仿宋"/>
        </w:rPr>
      </w:pPr>
    </w:p>
    <w:p w14:paraId="23642F18">
      <w:pPr>
        <w:rPr>
          <w:rFonts w:ascii="仿宋" w:hAnsi="仿宋" w:eastAsia="仿宋" w:cs="仿宋"/>
        </w:rPr>
      </w:pPr>
    </w:p>
    <w:p w14:paraId="33141D2C">
      <w:pPr>
        <w:jc w:val="center"/>
        <w:rPr>
          <w:rFonts w:ascii="仿宋" w:hAnsi="仿宋" w:eastAsia="仿宋" w:cs="仿宋"/>
          <w:b/>
          <w:bCs/>
          <w:sz w:val="28"/>
          <w:szCs w:val="32"/>
        </w:rPr>
      </w:pPr>
    </w:p>
    <w:p w14:paraId="465E6E9B">
      <w:pPr>
        <w:numPr>
          <w:ilvl w:val="0"/>
          <w:numId w:val="3"/>
        </w:numPr>
        <w:jc w:val="center"/>
        <w:rPr>
          <w:rFonts w:ascii="仿宋" w:hAnsi="仿宋" w:eastAsia="仿宋" w:cs="仿宋"/>
          <w:b/>
          <w:bCs/>
          <w:sz w:val="28"/>
          <w:szCs w:val="32"/>
        </w:rPr>
      </w:pPr>
      <w:r>
        <w:rPr>
          <w:rFonts w:hint="eastAsia" w:ascii="仿宋" w:hAnsi="仿宋" w:eastAsia="仿宋" w:cs="仿宋"/>
          <w:b/>
          <w:bCs/>
          <w:sz w:val="28"/>
          <w:szCs w:val="32"/>
        </w:rPr>
        <w:t>采购清单</w:t>
      </w:r>
    </w:p>
    <w:p w14:paraId="61056043">
      <w:pPr>
        <w:pStyle w:val="2"/>
        <w:ind w:firstLine="0" w:firstLineChars="0"/>
        <w:rPr>
          <w:rFonts w:ascii="仿宋" w:hAnsi="仿宋" w:eastAsia="仿宋" w:cs="仿宋"/>
        </w:rPr>
      </w:pPr>
    </w:p>
    <w:tbl>
      <w:tblPr>
        <w:tblStyle w:val="53"/>
        <w:tblW w:w="46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2082"/>
        <w:gridCol w:w="1143"/>
        <w:gridCol w:w="5131"/>
      </w:tblGrid>
      <w:tr w14:paraId="1B181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42" w:type="pct"/>
            <w:vAlign w:val="center"/>
          </w:tcPr>
          <w:p w14:paraId="5D757CE0">
            <w:pPr>
              <w:widowControl/>
              <w:jc w:val="center"/>
              <w:rPr>
                <w:rFonts w:ascii="仿宋" w:hAnsi="仿宋" w:eastAsia="仿宋" w:cs="仿宋"/>
                <w:b/>
                <w:kern w:val="0"/>
                <w:sz w:val="22"/>
                <w:szCs w:val="21"/>
              </w:rPr>
            </w:pPr>
            <w:r>
              <w:rPr>
                <w:rFonts w:hint="eastAsia" w:ascii="仿宋" w:hAnsi="仿宋" w:eastAsia="仿宋" w:cs="仿宋"/>
                <w:b/>
                <w:kern w:val="0"/>
                <w:sz w:val="22"/>
                <w:szCs w:val="21"/>
              </w:rPr>
              <w:t>序号</w:t>
            </w:r>
          </w:p>
        </w:tc>
        <w:tc>
          <w:tcPr>
            <w:tcW w:w="1135" w:type="pct"/>
            <w:vAlign w:val="center"/>
          </w:tcPr>
          <w:p w14:paraId="4191696A">
            <w:pPr>
              <w:widowControl/>
              <w:jc w:val="center"/>
              <w:rPr>
                <w:rFonts w:ascii="仿宋" w:hAnsi="仿宋" w:eastAsia="仿宋" w:cs="仿宋"/>
                <w:b/>
                <w:kern w:val="0"/>
                <w:sz w:val="22"/>
                <w:szCs w:val="21"/>
              </w:rPr>
            </w:pPr>
            <w:r>
              <w:rPr>
                <w:rFonts w:hint="eastAsia" w:ascii="仿宋" w:hAnsi="仿宋" w:eastAsia="仿宋" w:cs="仿宋"/>
                <w:b/>
                <w:kern w:val="0"/>
                <w:sz w:val="22"/>
                <w:szCs w:val="21"/>
              </w:rPr>
              <w:t>品目</w:t>
            </w:r>
          </w:p>
        </w:tc>
        <w:tc>
          <w:tcPr>
            <w:tcW w:w="623" w:type="pct"/>
            <w:vAlign w:val="center"/>
          </w:tcPr>
          <w:p w14:paraId="6900E9FF">
            <w:pPr>
              <w:widowControl/>
              <w:jc w:val="center"/>
              <w:rPr>
                <w:rFonts w:ascii="仿宋" w:hAnsi="仿宋" w:eastAsia="仿宋" w:cs="仿宋"/>
                <w:b/>
                <w:kern w:val="0"/>
                <w:sz w:val="22"/>
                <w:szCs w:val="21"/>
              </w:rPr>
            </w:pPr>
            <w:r>
              <w:rPr>
                <w:rFonts w:hint="eastAsia" w:ascii="仿宋" w:hAnsi="仿宋" w:eastAsia="仿宋" w:cs="仿宋"/>
                <w:b/>
                <w:kern w:val="0"/>
                <w:sz w:val="22"/>
                <w:szCs w:val="21"/>
              </w:rPr>
              <w:t>数量</w:t>
            </w:r>
          </w:p>
        </w:tc>
        <w:tc>
          <w:tcPr>
            <w:tcW w:w="2797" w:type="pct"/>
            <w:vAlign w:val="center"/>
          </w:tcPr>
          <w:p w14:paraId="58963D8C">
            <w:pPr>
              <w:widowControl/>
              <w:jc w:val="center"/>
              <w:rPr>
                <w:rFonts w:ascii="仿宋" w:hAnsi="仿宋" w:eastAsia="仿宋" w:cs="仿宋"/>
                <w:b/>
                <w:kern w:val="0"/>
                <w:sz w:val="22"/>
                <w:szCs w:val="21"/>
              </w:rPr>
            </w:pPr>
            <w:r>
              <w:rPr>
                <w:rFonts w:hint="eastAsia" w:ascii="仿宋" w:hAnsi="仿宋" w:eastAsia="仿宋" w:cs="仿宋"/>
                <w:b/>
                <w:kern w:val="0"/>
                <w:sz w:val="22"/>
                <w:szCs w:val="21"/>
              </w:rPr>
              <w:t>备注</w:t>
            </w:r>
          </w:p>
        </w:tc>
      </w:tr>
      <w:tr w14:paraId="6390E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42" w:type="pct"/>
            <w:vAlign w:val="center"/>
          </w:tcPr>
          <w:p w14:paraId="40C71206">
            <w:pPr>
              <w:widowControl/>
              <w:jc w:val="center"/>
              <w:rPr>
                <w:rFonts w:ascii="仿宋" w:hAnsi="仿宋" w:eastAsia="仿宋" w:cs="仿宋"/>
                <w:b/>
                <w:kern w:val="0"/>
                <w:sz w:val="22"/>
                <w:szCs w:val="21"/>
              </w:rPr>
            </w:pPr>
            <w:r>
              <w:rPr>
                <w:rFonts w:hint="eastAsia" w:ascii="仿宋" w:hAnsi="仿宋" w:eastAsia="仿宋" w:cs="仿宋"/>
                <w:b/>
                <w:kern w:val="0"/>
                <w:sz w:val="22"/>
                <w:szCs w:val="21"/>
              </w:rPr>
              <w:t>1</w:t>
            </w:r>
          </w:p>
        </w:tc>
        <w:tc>
          <w:tcPr>
            <w:tcW w:w="1135" w:type="pct"/>
            <w:vAlign w:val="center"/>
          </w:tcPr>
          <w:p w14:paraId="3F9DBFCB">
            <w:pPr>
              <w:widowControl/>
              <w:jc w:val="left"/>
              <w:rPr>
                <w:rFonts w:ascii="仿宋" w:hAnsi="仿宋" w:eastAsia="仿宋" w:cs="仿宋"/>
                <w:b/>
                <w:kern w:val="0"/>
                <w:sz w:val="22"/>
                <w:szCs w:val="21"/>
              </w:rPr>
            </w:pPr>
            <w:r>
              <w:rPr>
                <w:rFonts w:hint="eastAsia" w:ascii="仿宋" w:hAnsi="仿宋" w:eastAsia="仿宋" w:cs="仿宋"/>
                <w:b/>
                <w:kern w:val="0"/>
                <w:sz w:val="22"/>
                <w:szCs w:val="21"/>
              </w:rPr>
              <w:t>教师移动终端设备</w:t>
            </w:r>
          </w:p>
        </w:tc>
        <w:tc>
          <w:tcPr>
            <w:tcW w:w="623" w:type="pct"/>
            <w:vAlign w:val="center"/>
          </w:tcPr>
          <w:p w14:paraId="3993F19D">
            <w:pPr>
              <w:widowControl/>
              <w:jc w:val="center"/>
              <w:rPr>
                <w:rFonts w:ascii="仿宋" w:hAnsi="仿宋" w:eastAsia="仿宋" w:cs="仿宋"/>
                <w:b/>
                <w:kern w:val="0"/>
                <w:sz w:val="22"/>
                <w:szCs w:val="21"/>
              </w:rPr>
            </w:pPr>
            <w:r>
              <w:rPr>
                <w:rFonts w:hint="eastAsia" w:ascii="仿宋" w:hAnsi="仿宋" w:eastAsia="仿宋" w:cs="仿宋"/>
                <w:b/>
                <w:kern w:val="0"/>
                <w:sz w:val="22"/>
                <w:szCs w:val="21"/>
              </w:rPr>
              <w:t>12</w:t>
            </w:r>
          </w:p>
        </w:tc>
        <w:tc>
          <w:tcPr>
            <w:tcW w:w="2797" w:type="pct"/>
            <w:vMerge w:val="restart"/>
          </w:tcPr>
          <w:p w14:paraId="79B7DE47">
            <w:pPr>
              <w:widowControl/>
              <w:jc w:val="left"/>
              <w:rPr>
                <w:rFonts w:ascii="仿宋" w:hAnsi="仿宋" w:eastAsia="仿宋" w:cs="仿宋"/>
                <w:b/>
                <w:kern w:val="0"/>
                <w:sz w:val="22"/>
                <w:szCs w:val="21"/>
              </w:rPr>
            </w:pPr>
          </w:p>
          <w:p w14:paraId="5E17B5FD">
            <w:pPr>
              <w:widowControl/>
              <w:jc w:val="left"/>
              <w:rPr>
                <w:rFonts w:ascii="仿宋" w:hAnsi="仿宋" w:eastAsia="仿宋" w:cs="仿宋"/>
                <w:b/>
                <w:kern w:val="0"/>
                <w:sz w:val="22"/>
                <w:szCs w:val="21"/>
              </w:rPr>
            </w:pPr>
            <w:r>
              <w:rPr>
                <w:rFonts w:hint="eastAsia" w:ascii="仿宋" w:hAnsi="仿宋" w:eastAsia="仿宋" w:cs="仿宋"/>
                <w:b/>
                <w:kern w:val="0"/>
                <w:sz w:val="22"/>
                <w:szCs w:val="21"/>
              </w:rPr>
              <w:t>按每班语数外三门学科配置，共四个班。</w:t>
            </w:r>
          </w:p>
        </w:tc>
      </w:tr>
      <w:tr w14:paraId="4FFE8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42" w:type="pct"/>
            <w:vAlign w:val="center"/>
          </w:tcPr>
          <w:p w14:paraId="217352E6">
            <w:pPr>
              <w:widowControl/>
              <w:jc w:val="center"/>
              <w:rPr>
                <w:rFonts w:ascii="仿宋" w:hAnsi="仿宋" w:eastAsia="仿宋" w:cs="仿宋"/>
                <w:b/>
                <w:kern w:val="0"/>
                <w:sz w:val="22"/>
                <w:szCs w:val="21"/>
              </w:rPr>
            </w:pPr>
            <w:r>
              <w:rPr>
                <w:rFonts w:hint="eastAsia" w:ascii="仿宋" w:hAnsi="仿宋" w:eastAsia="仿宋" w:cs="仿宋"/>
                <w:b/>
                <w:kern w:val="0"/>
                <w:sz w:val="22"/>
                <w:szCs w:val="21"/>
              </w:rPr>
              <w:t>2</w:t>
            </w:r>
          </w:p>
        </w:tc>
        <w:tc>
          <w:tcPr>
            <w:tcW w:w="1135" w:type="pct"/>
            <w:vAlign w:val="center"/>
          </w:tcPr>
          <w:p w14:paraId="6AD2B13F">
            <w:pPr>
              <w:widowControl/>
              <w:jc w:val="left"/>
              <w:rPr>
                <w:rFonts w:ascii="仿宋" w:hAnsi="仿宋" w:eastAsia="仿宋" w:cs="仿宋"/>
                <w:b/>
                <w:kern w:val="0"/>
                <w:sz w:val="22"/>
                <w:szCs w:val="21"/>
              </w:rPr>
            </w:pPr>
            <w:r>
              <w:rPr>
                <w:rFonts w:hint="eastAsia" w:ascii="仿宋" w:hAnsi="仿宋" w:eastAsia="仿宋" w:cs="仿宋"/>
                <w:b/>
                <w:kern w:val="0"/>
                <w:sz w:val="22"/>
                <w:szCs w:val="21"/>
              </w:rPr>
              <w:t>教师教学系统</w:t>
            </w:r>
          </w:p>
        </w:tc>
        <w:tc>
          <w:tcPr>
            <w:tcW w:w="623" w:type="pct"/>
            <w:vAlign w:val="center"/>
          </w:tcPr>
          <w:p w14:paraId="06935B09">
            <w:pPr>
              <w:widowControl/>
              <w:jc w:val="center"/>
              <w:rPr>
                <w:rFonts w:ascii="仿宋" w:hAnsi="仿宋" w:eastAsia="仿宋" w:cs="仿宋"/>
                <w:b/>
                <w:kern w:val="0"/>
                <w:sz w:val="22"/>
                <w:szCs w:val="21"/>
              </w:rPr>
            </w:pPr>
            <w:r>
              <w:rPr>
                <w:rFonts w:hint="eastAsia" w:ascii="仿宋" w:hAnsi="仿宋" w:eastAsia="仿宋" w:cs="仿宋"/>
                <w:b/>
                <w:kern w:val="0"/>
                <w:sz w:val="22"/>
                <w:szCs w:val="21"/>
              </w:rPr>
              <w:t>12</w:t>
            </w:r>
          </w:p>
        </w:tc>
        <w:tc>
          <w:tcPr>
            <w:tcW w:w="2797" w:type="pct"/>
            <w:vMerge w:val="continue"/>
          </w:tcPr>
          <w:p w14:paraId="56858BF5">
            <w:pPr>
              <w:widowControl/>
              <w:jc w:val="center"/>
              <w:rPr>
                <w:rFonts w:ascii="仿宋" w:hAnsi="仿宋" w:eastAsia="仿宋" w:cs="仿宋"/>
                <w:b/>
                <w:kern w:val="0"/>
                <w:sz w:val="22"/>
                <w:szCs w:val="21"/>
              </w:rPr>
            </w:pPr>
          </w:p>
        </w:tc>
      </w:tr>
      <w:tr w14:paraId="133DE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42" w:type="pct"/>
            <w:vAlign w:val="center"/>
          </w:tcPr>
          <w:p w14:paraId="789405D9">
            <w:pPr>
              <w:widowControl/>
              <w:jc w:val="center"/>
              <w:rPr>
                <w:rFonts w:ascii="仿宋" w:hAnsi="仿宋" w:eastAsia="仿宋" w:cs="仿宋"/>
                <w:b/>
                <w:kern w:val="0"/>
                <w:sz w:val="22"/>
                <w:szCs w:val="21"/>
              </w:rPr>
            </w:pPr>
            <w:r>
              <w:rPr>
                <w:rFonts w:hint="eastAsia" w:ascii="仿宋" w:hAnsi="仿宋" w:eastAsia="仿宋" w:cs="仿宋"/>
                <w:b/>
                <w:kern w:val="0"/>
                <w:sz w:val="22"/>
                <w:szCs w:val="21"/>
              </w:rPr>
              <w:t>3</w:t>
            </w:r>
          </w:p>
        </w:tc>
        <w:tc>
          <w:tcPr>
            <w:tcW w:w="1135" w:type="pct"/>
            <w:vAlign w:val="center"/>
          </w:tcPr>
          <w:p w14:paraId="37CD4B50">
            <w:pPr>
              <w:jc w:val="left"/>
              <w:rPr>
                <w:rFonts w:ascii="仿宋" w:hAnsi="仿宋" w:eastAsia="仿宋" w:cs="仿宋"/>
                <w:b/>
                <w:sz w:val="22"/>
                <w:szCs w:val="21"/>
              </w:rPr>
            </w:pPr>
            <w:r>
              <w:rPr>
                <w:rFonts w:hint="eastAsia" w:ascii="仿宋" w:hAnsi="仿宋" w:eastAsia="仿宋" w:cs="仿宋"/>
                <w:b/>
                <w:kern w:val="0"/>
                <w:sz w:val="22"/>
                <w:szCs w:val="21"/>
              </w:rPr>
              <w:t>学生移动终端设备</w:t>
            </w:r>
          </w:p>
        </w:tc>
        <w:tc>
          <w:tcPr>
            <w:tcW w:w="623" w:type="pct"/>
            <w:vAlign w:val="center"/>
          </w:tcPr>
          <w:p w14:paraId="4C97934B">
            <w:pPr>
              <w:widowControl/>
              <w:jc w:val="center"/>
              <w:rPr>
                <w:rFonts w:ascii="仿宋" w:hAnsi="仿宋" w:eastAsia="仿宋" w:cs="仿宋"/>
                <w:b/>
                <w:kern w:val="0"/>
                <w:sz w:val="22"/>
                <w:szCs w:val="21"/>
              </w:rPr>
            </w:pPr>
            <w:r>
              <w:rPr>
                <w:rFonts w:hint="eastAsia" w:ascii="仿宋" w:hAnsi="仿宋" w:eastAsia="仿宋" w:cs="仿宋"/>
                <w:b/>
                <w:kern w:val="0"/>
                <w:sz w:val="22"/>
                <w:szCs w:val="21"/>
              </w:rPr>
              <w:t>180</w:t>
            </w:r>
          </w:p>
        </w:tc>
        <w:tc>
          <w:tcPr>
            <w:tcW w:w="2797" w:type="pct"/>
            <w:vMerge w:val="restart"/>
            <w:vAlign w:val="center"/>
          </w:tcPr>
          <w:p w14:paraId="1E24E4ED">
            <w:pPr>
              <w:widowControl/>
              <w:rPr>
                <w:rFonts w:ascii="仿宋" w:hAnsi="仿宋" w:eastAsia="仿宋" w:cs="仿宋"/>
                <w:b/>
                <w:kern w:val="0"/>
                <w:sz w:val="22"/>
                <w:szCs w:val="21"/>
              </w:rPr>
            </w:pPr>
            <w:r>
              <w:rPr>
                <w:rFonts w:hint="eastAsia" w:ascii="仿宋" w:hAnsi="仿宋" w:eastAsia="仿宋" w:cs="仿宋"/>
                <w:b/>
                <w:kern w:val="0"/>
                <w:sz w:val="22"/>
                <w:szCs w:val="21"/>
              </w:rPr>
              <w:t>按每班45个学生配置学生移动终端设备，共四个班。</w:t>
            </w:r>
          </w:p>
        </w:tc>
      </w:tr>
      <w:tr w14:paraId="6F4D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42" w:type="pct"/>
            <w:vAlign w:val="center"/>
          </w:tcPr>
          <w:p w14:paraId="17190E1C">
            <w:pPr>
              <w:widowControl/>
              <w:jc w:val="center"/>
              <w:rPr>
                <w:rFonts w:ascii="仿宋" w:hAnsi="仿宋" w:eastAsia="仿宋" w:cs="仿宋"/>
                <w:b/>
                <w:kern w:val="0"/>
                <w:sz w:val="22"/>
                <w:szCs w:val="21"/>
              </w:rPr>
            </w:pPr>
            <w:r>
              <w:rPr>
                <w:rFonts w:hint="eastAsia" w:ascii="仿宋" w:hAnsi="仿宋" w:eastAsia="仿宋" w:cs="仿宋"/>
                <w:b/>
                <w:kern w:val="0"/>
                <w:sz w:val="22"/>
                <w:szCs w:val="21"/>
              </w:rPr>
              <w:t>4</w:t>
            </w:r>
          </w:p>
        </w:tc>
        <w:tc>
          <w:tcPr>
            <w:tcW w:w="1135" w:type="pct"/>
            <w:vAlign w:val="center"/>
          </w:tcPr>
          <w:p w14:paraId="10AAE373">
            <w:pPr>
              <w:jc w:val="left"/>
              <w:rPr>
                <w:rFonts w:ascii="仿宋" w:hAnsi="仿宋" w:eastAsia="仿宋" w:cs="仿宋"/>
                <w:b/>
                <w:sz w:val="22"/>
                <w:szCs w:val="21"/>
              </w:rPr>
            </w:pPr>
            <w:r>
              <w:rPr>
                <w:rFonts w:hint="eastAsia" w:ascii="仿宋" w:hAnsi="仿宋" w:eastAsia="仿宋" w:cs="仿宋"/>
                <w:b/>
                <w:sz w:val="22"/>
                <w:szCs w:val="21"/>
              </w:rPr>
              <w:t>学生学习系统</w:t>
            </w:r>
          </w:p>
        </w:tc>
        <w:tc>
          <w:tcPr>
            <w:tcW w:w="623" w:type="pct"/>
            <w:vAlign w:val="center"/>
          </w:tcPr>
          <w:p w14:paraId="1206DD8E">
            <w:pPr>
              <w:widowControl/>
              <w:jc w:val="center"/>
              <w:rPr>
                <w:rFonts w:ascii="仿宋" w:hAnsi="仿宋" w:eastAsia="仿宋" w:cs="仿宋"/>
                <w:b/>
                <w:kern w:val="0"/>
                <w:sz w:val="22"/>
                <w:szCs w:val="21"/>
              </w:rPr>
            </w:pPr>
            <w:r>
              <w:rPr>
                <w:rFonts w:hint="eastAsia" w:ascii="仿宋" w:hAnsi="仿宋" w:eastAsia="仿宋" w:cs="仿宋"/>
                <w:b/>
                <w:kern w:val="0"/>
                <w:sz w:val="22"/>
                <w:szCs w:val="21"/>
              </w:rPr>
              <w:t>180</w:t>
            </w:r>
          </w:p>
        </w:tc>
        <w:tc>
          <w:tcPr>
            <w:tcW w:w="2797" w:type="pct"/>
            <w:vMerge w:val="continue"/>
            <w:vAlign w:val="center"/>
          </w:tcPr>
          <w:p w14:paraId="7F65EB30">
            <w:pPr>
              <w:widowControl/>
              <w:rPr>
                <w:rFonts w:ascii="仿宋" w:hAnsi="仿宋" w:eastAsia="仿宋" w:cs="仿宋"/>
                <w:b/>
                <w:kern w:val="0"/>
                <w:sz w:val="22"/>
                <w:szCs w:val="21"/>
              </w:rPr>
            </w:pPr>
          </w:p>
        </w:tc>
      </w:tr>
      <w:tr w14:paraId="38F06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42" w:type="pct"/>
            <w:vAlign w:val="center"/>
          </w:tcPr>
          <w:p w14:paraId="08F4AF3B">
            <w:pPr>
              <w:widowControl/>
              <w:jc w:val="center"/>
              <w:rPr>
                <w:rFonts w:ascii="仿宋" w:hAnsi="仿宋" w:eastAsia="仿宋" w:cs="仿宋"/>
                <w:b/>
                <w:kern w:val="0"/>
                <w:sz w:val="22"/>
                <w:szCs w:val="21"/>
              </w:rPr>
            </w:pPr>
            <w:r>
              <w:rPr>
                <w:rFonts w:hint="eastAsia" w:ascii="仿宋" w:hAnsi="仿宋" w:eastAsia="仿宋" w:cs="仿宋"/>
                <w:b/>
                <w:kern w:val="0"/>
                <w:sz w:val="22"/>
                <w:szCs w:val="21"/>
              </w:rPr>
              <w:t>5</w:t>
            </w:r>
          </w:p>
        </w:tc>
        <w:tc>
          <w:tcPr>
            <w:tcW w:w="1135" w:type="pct"/>
            <w:vAlign w:val="center"/>
          </w:tcPr>
          <w:p w14:paraId="404769BF">
            <w:pPr>
              <w:jc w:val="left"/>
              <w:rPr>
                <w:rFonts w:ascii="仿宋" w:hAnsi="仿宋" w:eastAsia="仿宋" w:cs="仿宋"/>
                <w:b/>
                <w:sz w:val="22"/>
                <w:szCs w:val="21"/>
              </w:rPr>
            </w:pPr>
            <w:r>
              <w:rPr>
                <w:rFonts w:hint="eastAsia" w:ascii="仿宋" w:hAnsi="仿宋" w:eastAsia="仿宋" w:cs="仿宋"/>
                <w:b/>
                <w:sz w:val="22"/>
                <w:szCs w:val="21"/>
              </w:rPr>
              <w:t>充电柜</w:t>
            </w:r>
          </w:p>
        </w:tc>
        <w:tc>
          <w:tcPr>
            <w:tcW w:w="623" w:type="pct"/>
            <w:vAlign w:val="center"/>
          </w:tcPr>
          <w:p w14:paraId="21280217">
            <w:pPr>
              <w:widowControl/>
              <w:jc w:val="center"/>
              <w:rPr>
                <w:rFonts w:ascii="仿宋" w:hAnsi="仿宋" w:eastAsia="仿宋" w:cs="仿宋"/>
                <w:b/>
                <w:kern w:val="0"/>
                <w:sz w:val="22"/>
                <w:szCs w:val="21"/>
              </w:rPr>
            </w:pPr>
            <w:r>
              <w:rPr>
                <w:rFonts w:hint="eastAsia" w:ascii="仿宋" w:hAnsi="仿宋" w:eastAsia="仿宋" w:cs="仿宋"/>
                <w:b/>
                <w:kern w:val="0"/>
                <w:sz w:val="22"/>
                <w:szCs w:val="21"/>
              </w:rPr>
              <w:t>4</w:t>
            </w:r>
          </w:p>
        </w:tc>
        <w:tc>
          <w:tcPr>
            <w:tcW w:w="2797" w:type="pct"/>
            <w:vAlign w:val="center"/>
          </w:tcPr>
          <w:p w14:paraId="47AB4930">
            <w:pPr>
              <w:widowControl/>
              <w:rPr>
                <w:rFonts w:ascii="仿宋" w:hAnsi="仿宋" w:eastAsia="仿宋" w:cs="仿宋"/>
                <w:b/>
                <w:kern w:val="0"/>
                <w:sz w:val="22"/>
                <w:szCs w:val="21"/>
              </w:rPr>
            </w:pPr>
            <w:r>
              <w:rPr>
                <w:rFonts w:hint="eastAsia" w:ascii="仿宋" w:hAnsi="仿宋" w:eastAsia="仿宋" w:cs="仿宋"/>
                <w:b/>
                <w:kern w:val="0"/>
                <w:sz w:val="22"/>
                <w:szCs w:val="21"/>
              </w:rPr>
              <w:t>按每班一台配备。</w:t>
            </w:r>
          </w:p>
        </w:tc>
      </w:tr>
      <w:tr w14:paraId="6C593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42" w:type="pct"/>
            <w:vAlign w:val="center"/>
          </w:tcPr>
          <w:p w14:paraId="1FE0D4B1">
            <w:pPr>
              <w:widowControl/>
              <w:jc w:val="center"/>
              <w:rPr>
                <w:rFonts w:ascii="仿宋" w:hAnsi="仿宋" w:eastAsia="仿宋" w:cs="仿宋"/>
                <w:b/>
                <w:kern w:val="0"/>
                <w:sz w:val="22"/>
                <w:szCs w:val="21"/>
              </w:rPr>
            </w:pPr>
            <w:r>
              <w:rPr>
                <w:rFonts w:hint="eastAsia" w:ascii="仿宋" w:hAnsi="仿宋" w:eastAsia="仿宋" w:cs="仿宋"/>
                <w:b/>
                <w:kern w:val="0"/>
                <w:sz w:val="22"/>
                <w:szCs w:val="21"/>
              </w:rPr>
              <w:t>6</w:t>
            </w:r>
          </w:p>
        </w:tc>
        <w:tc>
          <w:tcPr>
            <w:tcW w:w="1135" w:type="pct"/>
            <w:vAlign w:val="center"/>
          </w:tcPr>
          <w:p w14:paraId="35E0F5CB">
            <w:pPr>
              <w:jc w:val="left"/>
              <w:rPr>
                <w:rFonts w:ascii="仿宋" w:hAnsi="仿宋" w:eastAsia="仿宋" w:cs="仿宋"/>
                <w:b/>
                <w:sz w:val="22"/>
                <w:szCs w:val="21"/>
              </w:rPr>
            </w:pPr>
            <w:r>
              <w:rPr>
                <w:rFonts w:hint="eastAsia" w:ascii="仿宋" w:hAnsi="仿宋" w:eastAsia="仿宋" w:cs="仿宋"/>
                <w:b/>
                <w:sz w:val="22"/>
                <w:szCs w:val="21"/>
              </w:rPr>
              <w:t>无线AP</w:t>
            </w:r>
          </w:p>
        </w:tc>
        <w:tc>
          <w:tcPr>
            <w:tcW w:w="623" w:type="pct"/>
            <w:vAlign w:val="center"/>
          </w:tcPr>
          <w:p w14:paraId="0E3E89F7">
            <w:pPr>
              <w:widowControl/>
              <w:jc w:val="center"/>
              <w:rPr>
                <w:rFonts w:ascii="仿宋" w:hAnsi="仿宋" w:eastAsia="仿宋" w:cs="仿宋"/>
                <w:b/>
                <w:kern w:val="0"/>
                <w:sz w:val="22"/>
                <w:szCs w:val="21"/>
              </w:rPr>
            </w:pPr>
            <w:r>
              <w:rPr>
                <w:rFonts w:hint="eastAsia" w:ascii="仿宋" w:hAnsi="仿宋" w:eastAsia="仿宋" w:cs="仿宋"/>
                <w:b/>
                <w:kern w:val="0"/>
                <w:sz w:val="22"/>
                <w:szCs w:val="21"/>
              </w:rPr>
              <w:t>4</w:t>
            </w:r>
          </w:p>
        </w:tc>
        <w:tc>
          <w:tcPr>
            <w:tcW w:w="2797" w:type="pct"/>
            <w:vAlign w:val="center"/>
          </w:tcPr>
          <w:p w14:paraId="06C4C9D2">
            <w:pPr>
              <w:widowControl/>
              <w:rPr>
                <w:rFonts w:ascii="仿宋" w:hAnsi="仿宋" w:eastAsia="仿宋" w:cs="仿宋"/>
                <w:b/>
                <w:kern w:val="0"/>
                <w:sz w:val="22"/>
                <w:szCs w:val="21"/>
              </w:rPr>
            </w:pPr>
            <w:r>
              <w:rPr>
                <w:rFonts w:hint="eastAsia" w:ascii="仿宋" w:hAnsi="仿宋" w:eastAsia="仿宋" w:cs="仿宋"/>
                <w:b/>
                <w:kern w:val="0"/>
                <w:sz w:val="22"/>
                <w:szCs w:val="21"/>
              </w:rPr>
              <w:t>按每班一台配置。</w:t>
            </w:r>
          </w:p>
        </w:tc>
      </w:tr>
      <w:tr w14:paraId="2ECAE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42" w:type="pct"/>
            <w:vAlign w:val="center"/>
          </w:tcPr>
          <w:p w14:paraId="18B1283B">
            <w:pPr>
              <w:widowControl/>
              <w:jc w:val="center"/>
              <w:rPr>
                <w:rFonts w:ascii="仿宋" w:hAnsi="仿宋" w:eastAsia="仿宋" w:cs="仿宋"/>
                <w:b/>
                <w:kern w:val="0"/>
                <w:sz w:val="22"/>
                <w:szCs w:val="21"/>
              </w:rPr>
            </w:pPr>
            <w:r>
              <w:rPr>
                <w:rFonts w:hint="eastAsia" w:ascii="仿宋" w:hAnsi="仿宋" w:eastAsia="仿宋" w:cs="仿宋"/>
                <w:b/>
                <w:kern w:val="0"/>
                <w:sz w:val="22"/>
                <w:szCs w:val="21"/>
              </w:rPr>
              <w:t>7</w:t>
            </w:r>
          </w:p>
        </w:tc>
        <w:tc>
          <w:tcPr>
            <w:tcW w:w="1135" w:type="pct"/>
            <w:vAlign w:val="center"/>
          </w:tcPr>
          <w:p w14:paraId="3FBA4AB9">
            <w:pPr>
              <w:jc w:val="left"/>
              <w:rPr>
                <w:rFonts w:ascii="仿宋" w:hAnsi="仿宋" w:eastAsia="仿宋" w:cs="仿宋"/>
                <w:b/>
                <w:sz w:val="22"/>
                <w:szCs w:val="21"/>
              </w:rPr>
            </w:pPr>
            <w:r>
              <w:rPr>
                <w:rFonts w:hint="eastAsia" w:ascii="仿宋" w:hAnsi="仿宋" w:eastAsia="仿宋" w:cs="仿宋"/>
                <w:b/>
                <w:sz w:val="22"/>
                <w:szCs w:val="21"/>
              </w:rPr>
              <w:t>智慧黑板</w:t>
            </w:r>
          </w:p>
        </w:tc>
        <w:tc>
          <w:tcPr>
            <w:tcW w:w="623" w:type="pct"/>
            <w:vAlign w:val="center"/>
          </w:tcPr>
          <w:p w14:paraId="693CCB7E">
            <w:pPr>
              <w:widowControl/>
              <w:jc w:val="center"/>
              <w:rPr>
                <w:rFonts w:ascii="仿宋" w:hAnsi="仿宋" w:eastAsia="仿宋" w:cs="仿宋"/>
                <w:b/>
                <w:kern w:val="0"/>
                <w:sz w:val="22"/>
                <w:szCs w:val="21"/>
              </w:rPr>
            </w:pPr>
            <w:r>
              <w:rPr>
                <w:rFonts w:hint="eastAsia" w:ascii="仿宋" w:hAnsi="仿宋" w:eastAsia="仿宋" w:cs="仿宋"/>
                <w:b/>
                <w:kern w:val="0"/>
                <w:sz w:val="22"/>
                <w:szCs w:val="21"/>
              </w:rPr>
              <w:t>4</w:t>
            </w:r>
          </w:p>
        </w:tc>
        <w:tc>
          <w:tcPr>
            <w:tcW w:w="2797" w:type="pct"/>
            <w:vAlign w:val="center"/>
          </w:tcPr>
          <w:p w14:paraId="68369331">
            <w:pPr>
              <w:widowControl/>
              <w:rPr>
                <w:rFonts w:ascii="仿宋" w:hAnsi="仿宋" w:eastAsia="仿宋" w:cs="仿宋"/>
                <w:b/>
                <w:kern w:val="0"/>
                <w:sz w:val="22"/>
                <w:szCs w:val="21"/>
              </w:rPr>
            </w:pPr>
            <w:r>
              <w:rPr>
                <w:rFonts w:hint="eastAsia" w:ascii="仿宋" w:hAnsi="仿宋" w:eastAsia="仿宋" w:cs="仿宋"/>
                <w:b/>
                <w:kern w:val="0"/>
                <w:sz w:val="22"/>
                <w:szCs w:val="21"/>
              </w:rPr>
              <w:t>按每班一台配置。</w:t>
            </w:r>
          </w:p>
        </w:tc>
      </w:tr>
      <w:tr w14:paraId="2A897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42" w:type="pct"/>
            <w:vAlign w:val="center"/>
          </w:tcPr>
          <w:p w14:paraId="7F51D68C">
            <w:pPr>
              <w:widowControl/>
              <w:jc w:val="center"/>
              <w:rPr>
                <w:rFonts w:ascii="仿宋" w:hAnsi="仿宋" w:eastAsia="仿宋" w:cs="仿宋"/>
                <w:b/>
                <w:kern w:val="0"/>
                <w:sz w:val="22"/>
                <w:szCs w:val="21"/>
              </w:rPr>
            </w:pPr>
            <w:r>
              <w:rPr>
                <w:rFonts w:hint="eastAsia" w:ascii="仿宋" w:hAnsi="仿宋" w:eastAsia="仿宋" w:cs="仿宋"/>
                <w:b/>
                <w:kern w:val="0"/>
                <w:sz w:val="22"/>
                <w:szCs w:val="21"/>
              </w:rPr>
              <w:t>8</w:t>
            </w:r>
          </w:p>
        </w:tc>
        <w:tc>
          <w:tcPr>
            <w:tcW w:w="1135" w:type="pct"/>
            <w:vAlign w:val="center"/>
          </w:tcPr>
          <w:p w14:paraId="47C6B84E">
            <w:pPr>
              <w:jc w:val="left"/>
              <w:rPr>
                <w:rFonts w:ascii="仿宋" w:hAnsi="仿宋" w:eastAsia="仿宋" w:cs="仿宋"/>
                <w:b/>
                <w:sz w:val="22"/>
                <w:szCs w:val="21"/>
              </w:rPr>
            </w:pPr>
            <w:r>
              <w:rPr>
                <w:rFonts w:hint="eastAsia" w:ascii="仿宋" w:hAnsi="仿宋" w:eastAsia="仿宋" w:cs="仿宋"/>
                <w:b/>
                <w:sz w:val="22"/>
                <w:szCs w:val="21"/>
              </w:rPr>
              <w:t>智能讲台</w:t>
            </w:r>
          </w:p>
        </w:tc>
        <w:tc>
          <w:tcPr>
            <w:tcW w:w="623" w:type="pct"/>
            <w:vAlign w:val="center"/>
          </w:tcPr>
          <w:p w14:paraId="611628E0">
            <w:pPr>
              <w:widowControl/>
              <w:jc w:val="center"/>
              <w:rPr>
                <w:rFonts w:ascii="仿宋" w:hAnsi="仿宋" w:eastAsia="仿宋" w:cs="仿宋"/>
                <w:b/>
                <w:kern w:val="0"/>
                <w:sz w:val="22"/>
                <w:szCs w:val="21"/>
              </w:rPr>
            </w:pPr>
            <w:r>
              <w:rPr>
                <w:rFonts w:hint="eastAsia" w:ascii="仿宋" w:hAnsi="仿宋" w:eastAsia="仿宋" w:cs="仿宋"/>
                <w:b/>
                <w:kern w:val="0"/>
                <w:sz w:val="22"/>
                <w:szCs w:val="21"/>
              </w:rPr>
              <w:t>4</w:t>
            </w:r>
          </w:p>
        </w:tc>
        <w:tc>
          <w:tcPr>
            <w:tcW w:w="2797" w:type="pct"/>
            <w:vAlign w:val="center"/>
          </w:tcPr>
          <w:p w14:paraId="573F2A81">
            <w:pPr>
              <w:widowControl/>
              <w:rPr>
                <w:rFonts w:ascii="仿宋" w:hAnsi="仿宋" w:eastAsia="仿宋" w:cs="仿宋"/>
                <w:b/>
                <w:kern w:val="0"/>
                <w:sz w:val="22"/>
                <w:szCs w:val="21"/>
              </w:rPr>
            </w:pPr>
            <w:r>
              <w:rPr>
                <w:rFonts w:hint="eastAsia" w:ascii="仿宋" w:hAnsi="仿宋" w:eastAsia="仿宋" w:cs="仿宋"/>
                <w:b/>
                <w:kern w:val="0"/>
                <w:sz w:val="22"/>
                <w:szCs w:val="21"/>
              </w:rPr>
              <w:t>按每班一台配置。</w:t>
            </w:r>
          </w:p>
        </w:tc>
      </w:tr>
      <w:tr w14:paraId="7E832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42" w:type="pct"/>
            <w:vAlign w:val="center"/>
          </w:tcPr>
          <w:p w14:paraId="3380D63C">
            <w:pPr>
              <w:widowControl/>
              <w:jc w:val="center"/>
              <w:rPr>
                <w:rFonts w:ascii="仿宋" w:hAnsi="仿宋" w:eastAsia="仿宋" w:cs="仿宋"/>
                <w:b/>
                <w:kern w:val="0"/>
                <w:sz w:val="22"/>
                <w:szCs w:val="21"/>
              </w:rPr>
            </w:pPr>
            <w:r>
              <w:rPr>
                <w:rFonts w:hint="eastAsia" w:ascii="仿宋" w:hAnsi="仿宋" w:eastAsia="仿宋" w:cs="仿宋"/>
                <w:b/>
                <w:kern w:val="0"/>
                <w:sz w:val="22"/>
                <w:szCs w:val="21"/>
              </w:rPr>
              <w:t>9</w:t>
            </w:r>
          </w:p>
        </w:tc>
        <w:tc>
          <w:tcPr>
            <w:tcW w:w="1135" w:type="pct"/>
            <w:vAlign w:val="center"/>
          </w:tcPr>
          <w:p w14:paraId="6B9E67D4">
            <w:pPr>
              <w:jc w:val="left"/>
              <w:rPr>
                <w:rFonts w:ascii="仿宋" w:hAnsi="仿宋" w:eastAsia="仿宋" w:cs="仿宋"/>
                <w:b/>
                <w:sz w:val="22"/>
                <w:szCs w:val="21"/>
              </w:rPr>
            </w:pPr>
            <w:r>
              <w:rPr>
                <w:rFonts w:hint="eastAsia" w:ascii="仿宋" w:hAnsi="仿宋" w:eastAsia="仿宋" w:cs="仿宋"/>
                <w:b/>
                <w:sz w:val="22"/>
                <w:szCs w:val="21"/>
              </w:rPr>
              <w:t>智能笔</w:t>
            </w:r>
          </w:p>
        </w:tc>
        <w:tc>
          <w:tcPr>
            <w:tcW w:w="623" w:type="pct"/>
            <w:vAlign w:val="center"/>
          </w:tcPr>
          <w:p w14:paraId="76CD4FE1">
            <w:pPr>
              <w:widowControl/>
              <w:jc w:val="center"/>
              <w:rPr>
                <w:rFonts w:ascii="仿宋" w:hAnsi="仿宋" w:eastAsia="仿宋" w:cs="仿宋"/>
                <w:b/>
                <w:kern w:val="0"/>
                <w:sz w:val="22"/>
                <w:szCs w:val="21"/>
              </w:rPr>
            </w:pPr>
            <w:r>
              <w:rPr>
                <w:rFonts w:hint="eastAsia" w:ascii="仿宋" w:hAnsi="仿宋" w:eastAsia="仿宋" w:cs="仿宋"/>
                <w:b/>
                <w:kern w:val="0"/>
                <w:sz w:val="22"/>
                <w:szCs w:val="21"/>
              </w:rPr>
              <w:t>4</w:t>
            </w:r>
          </w:p>
        </w:tc>
        <w:tc>
          <w:tcPr>
            <w:tcW w:w="2797" w:type="pct"/>
            <w:vAlign w:val="center"/>
          </w:tcPr>
          <w:p w14:paraId="7CC3237F">
            <w:pPr>
              <w:widowControl/>
              <w:rPr>
                <w:rFonts w:ascii="仿宋" w:hAnsi="仿宋" w:eastAsia="仿宋" w:cs="仿宋"/>
                <w:b/>
                <w:kern w:val="0"/>
                <w:sz w:val="22"/>
                <w:szCs w:val="21"/>
              </w:rPr>
            </w:pPr>
            <w:r>
              <w:rPr>
                <w:rFonts w:hint="eastAsia" w:ascii="仿宋" w:hAnsi="仿宋" w:eastAsia="仿宋" w:cs="仿宋"/>
                <w:b/>
                <w:kern w:val="0"/>
                <w:sz w:val="22"/>
                <w:szCs w:val="21"/>
              </w:rPr>
              <w:t>按每班一支配置。</w:t>
            </w:r>
          </w:p>
        </w:tc>
      </w:tr>
      <w:tr w14:paraId="67A33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42" w:type="pct"/>
            <w:vAlign w:val="center"/>
          </w:tcPr>
          <w:p w14:paraId="15F2DFB8">
            <w:pPr>
              <w:widowControl/>
              <w:jc w:val="center"/>
              <w:rPr>
                <w:rFonts w:ascii="仿宋" w:hAnsi="仿宋" w:eastAsia="仿宋" w:cs="仿宋"/>
                <w:b/>
                <w:kern w:val="0"/>
                <w:sz w:val="22"/>
                <w:szCs w:val="21"/>
              </w:rPr>
            </w:pPr>
            <w:r>
              <w:rPr>
                <w:rFonts w:hint="eastAsia" w:ascii="仿宋" w:hAnsi="仿宋" w:eastAsia="仿宋" w:cs="仿宋"/>
                <w:b/>
                <w:kern w:val="0"/>
                <w:sz w:val="22"/>
                <w:szCs w:val="21"/>
              </w:rPr>
              <w:t>10</w:t>
            </w:r>
          </w:p>
        </w:tc>
        <w:tc>
          <w:tcPr>
            <w:tcW w:w="1135" w:type="pct"/>
            <w:vAlign w:val="center"/>
          </w:tcPr>
          <w:p w14:paraId="0AF24EC9">
            <w:pPr>
              <w:jc w:val="left"/>
              <w:rPr>
                <w:rFonts w:ascii="仿宋" w:hAnsi="仿宋" w:eastAsia="仿宋" w:cs="仿宋"/>
                <w:b/>
                <w:sz w:val="22"/>
                <w:szCs w:val="21"/>
              </w:rPr>
            </w:pPr>
            <w:r>
              <w:rPr>
                <w:rFonts w:hint="eastAsia" w:ascii="仿宋" w:hAnsi="仿宋" w:eastAsia="仿宋" w:cs="仿宋"/>
                <w:b/>
                <w:sz w:val="22"/>
                <w:szCs w:val="21"/>
              </w:rPr>
              <w:t>视频展台</w:t>
            </w:r>
          </w:p>
        </w:tc>
        <w:tc>
          <w:tcPr>
            <w:tcW w:w="623" w:type="pct"/>
            <w:vAlign w:val="center"/>
          </w:tcPr>
          <w:p w14:paraId="16461682">
            <w:pPr>
              <w:widowControl/>
              <w:jc w:val="center"/>
              <w:rPr>
                <w:rFonts w:ascii="仿宋" w:hAnsi="仿宋" w:eastAsia="仿宋" w:cs="仿宋"/>
                <w:b/>
                <w:kern w:val="0"/>
                <w:sz w:val="22"/>
                <w:szCs w:val="21"/>
              </w:rPr>
            </w:pPr>
            <w:r>
              <w:rPr>
                <w:rFonts w:hint="eastAsia" w:ascii="仿宋" w:hAnsi="仿宋" w:eastAsia="仿宋" w:cs="仿宋"/>
                <w:b/>
                <w:kern w:val="0"/>
                <w:sz w:val="22"/>
                <w:szCs w:val="21"/>
              </w:rPr>
              <w:t>4</w:t>
            </w:r>
          </w:p>
        </w:tc>
        <w:tc>
          <w:tcPr>
            <w:tcW w:w="2797" w:type="pct"/>
            <w:vAlign w:val="center"/>
          </w:tcPr>
          <w:p w14:paraId="10B72DC6">
            <w:pPr>
              <w:widowControl/>
              <w:rPr>
                <w:rFonts w:ascii="仿宋" w:hAnsi="仿宋" w:eastAsia="仿宋" w:cs="仿宋"/>
                <w:b/>
                <w:kern w:val="0"/>
                <w:sz w:val="22"/>
                <w:szCs w:val="21"/>
              </w:rPr>
            </w:pPr>
            <w:r>
              <w:rPr>
                <w:rFonts w:hint="eastAsia" w:ascii="仿宋" w:hAnsi="仿宋" w:eastAsia="仿宋" w:cs="仿宋"/>
                <w:b/>
                <w:kern w:val="0"/>
                <w:sz w:val="22"/>
                <w:szCs w:val="21"/>
              </w:rPr>
              <w:t>按每班一台配备。</w:t>
            </w:r>
          </w:p>
        </w:tc>
      </w:tr>
      <w:tr w14:paraId="2F66E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2" w:type="pct"/>
            <w:vAlign w:val="center"/>
          </w:tcPr>
          <w:p w14:paraId="720E98D9">
            <w:pPr>
              <w:widowControl/>
              <w:jc w:val="center"/>
              <w:rPr>
                <w:rFonts w:ascii="仿宋" w:hAnsi="仿宋" w:eastAsia="仿宋" w:cs="仿宋"/>
                <w:b/>
                <w:kern w:val="0"/>
                <w:sz w:val="22"/>
                <w:szCs w:val="21"/>
              </w:rPr>
            </w:pPr>
            <w:r>
              <w:rPr>
                <w:rFonts w:hint="eastAsia" w:ascii="仿宋" w:hAnsi="仿宋" w:eastAsia="仿宋" w:cs="仿宋"/>
                <w:b/>
                <w:kern w:val="0"/>
                <w:sz w:val="22"/>
                <w:szCs w:val="21"/>
              </w:rPr>
              <w:t>11</w:t>
            </w:r>
          </w:p>
        </w:tc>
        <w:tc>
          <w:tcPr>
            <w:tcW w:w="1135" w:type="pct"/>
            <w:vAlign w:val="center"/>
          </w:tcPr>
          <w:p w14:paraId="1EE84AF5">
            <w:pPr>
              <w:jc w:val="left"/>
              <w:rPr>
                <w:rFonts w:ascii="仿宋" w:hAnsi="仿宋" w:eastAsia="仿宋" w:cs="仿宋"/>
                <w:b/>
                <w:sz w:val="22"/>
                <w:szCs w:val="21"/>
              </w:rPr>
            </w:pPr>
            <w:r>
              <w:rPr>
                <w:rFonts w:hint="eastAsia" w:ascii="仿宋" w:hAnsi="仿宋" w:eastAsia="仿宋" w:cs="仿宋"/>
                <w:b/>
                <w:sz w:val="22"/>
                <w:szCs w:val="21"/>
              </w:rPr>
              <w:t>无线传屏</w:t>
            </w:r>
          </w:p>
        </w:tc>
        <w:tc>
          <w:tcPr>
            <w:tcW w:w="623" w:type="pct"/>
            <w:vAlign w:val="center"/>
          </w:tcPr>
          <w:p w14:paraId="54E7A2EA">
            <w:pPr>
              <w:widowControl/>
              <w:jc w:val="center"/>
              <w:rPr>
                <w:rFonts w:ascii="仿宋" w:hAnsi="仿宋" w:eastAsia="仿宋" w:cs="仿宋"/>
                <w:b/>
                <w:kern w:val="0"/>
                <w:sz w:val="22"/>
                <w:szCs w:val="21"/>
              </w:rPr>
            </w:pPr>
            <w:r>
              <w:rPr>
                <w:rFonts w:hint="eastAsia" w:ascii="仿宋" w:hAnsi="仿宋" w:eastAsia="仿宋" w:cs="仿宋"/>
                <w:b/>
                <w:kern w:val="0"/>
                <w:sz w:val="22"/>
                <w:szCs w:val="21"/>
              </w:rPr>
              <w:t>4</w:t>
            </w:r>
          </w:p>
        </w:tc>
        <w:tc>
          <w:tcPr>
            <w:tcW w:w="2797" w:type="pct"/>
            <w:vAlign w:val="center"/>
          </w:tcPr>
          <w:p w14:paraId="605AD691">
            <w:pPr>
              <w:widowControl/>
              <w:rPr>
                <w:rFonts w:ascii="仿宋" w:hAnsi="仿宋" w:eastAsia="仿宋" w:cs="仿宋"/>
                <w:b/>
                <w:kern w:val="0"/>
                <w:sz w:val="22"/>
                <w:szCs w:val="21"/>
              </w:rPr>
            </w:pPr>
            <w:r>
              <w:rPr>
                <w:rFonts w:hint="eastAsia" w:ascii="仿宋" w:hAnsi="仿宋" w:eastAsia="仿宋" w:cs="仿宋"/>
                <w:b/>
                <w:kern w:val="0"/>
                <w:sz w:val="22"/>
                <w:szCs w:val="21"/>
              </w:rPr>
              <w:t>按每班一台配备。</w:t>
            </w:r>
          </w:p>
        </w:tc>
      </w:tr>
    </w:tbl>
    <w:p w14:paraId="57897E5B">
      <w:pPr>
        <w:rPr>
          <w:rFonts w:ascii="仿宋" w:hAnsi="仿宋" w:eastAsia="仿宋" w:cs="仿宋"/>
        </w:rPr>
      </w:pPr>
    </w:p>
    <w:p w14:paraId="720784DA">
      <w:pPr>
        <w:rPr>
          <w:rFonts w:ascii="仿宋" w:hAnsi="仿宋" w:eastAsia="仿宋" w:cs="仿宋"/>
        </w:rPr>
      </w:pPr>
    </w:p>
    <w:p w14:paraId="56FC0646">
      <w:pPr>
        <w:jc w:val="center"/>
        <w:rPr>
          <w:rFonts w:ascii="仿宋" w:hAnsi="仿宋" w:eastAsia="仿宋" w:cs="仿宋"/>
          <w:b/>
          <w:bCs/>
          <w:sz w:val="32"/>
          <w:szCs w:val="36"/>
        </w:rPr>
      </w:pPr>
    </w:p>
    <w:p w14:paraId="6E343F34">
      <w:pPr>
        <w:jc w:val="center"/>
        <w:rPr>
          <w:rFonts w:ascii="仿宋" w:hAnsi="仿宋" w:eastAsia="仿宋" w:cs="仿宋"/>
          <w:b/>
          <w:bCs/>
          <w:sz w:val="32"/>
          <w:szCs w:val="36"/>
        </w:rPr>
      </w:pPr>
    </w:p>
    <w:p w14:paraId="1A2D55B3">
      <w:pPr>
        <w:jc w:val="center"/>
        <w:rPr>
          <w:rFonts w:ascii="仿宋" w:hAnsi="仿宋" w:eastAsia="仿宋" w:cs="仿宋"/>
          <w:b/>
          <w:bCs/>
          <w:sz w:val="32"/>
          <w:szCs w:val="36"/>
        </w:rPr>
      </w:pPr>
    </w:p>
    <w:p w14:paraId="4EB53223">
      <w:pPr>
        <w:jc w:val="center"/>
        <w:rPr>
          <w:rFonts w:ascii="仿宋" w:hAnsi="仿宋" w:eastAsia="仿宋" w:cs="仿宋"/>
          <w:b/>
          <w:bCs/>
          <w:sz w:val="32"/>
          <w:szCs w:val="36"/>
        </w:rPr>
      </w:pPr>
    </w:p>
    <w:p w14:paraId="0C534732">
      <w:pPr>
        <w:jc w:val="center"/>
        <w:rPr>
          <w:rFonts w:ascii="仿宋" w:hAnsi="仿宋" w:eastAsia="仿宋" w:cs="仿宋"/>
          <w:b/>
          <w:bCs/>
          <w:sz w:val="32"/>
          <w:szCs w:val="36"/>
        </w:rPr>
      </w:pPr>
    </w:p>
    <w:p w14:paraId="687D0505">
      <w:pPr>
        <w:jc w:val="center"/>
        <w:rPr>
          <w:rFonts w:ascii="仿宋" w:hAnsi="仿宋" w:eastAsia="仿宋" w:cs="仿宋"/>
          <w:b/>
          <w:bCs/>
          <w:sz w:val="32"/>
          <w:szCs w:val="36"/>
        </w:rPr>
      </w:pPr>
    </w:p>
    <w:p w14:paraId="1ED6C4EB">
      <w:pPr>
        <w:jc w:val="center"/>
        <w:rPr>
          <w:rFonts w:ascii="仿宋" w:hAnsi="仿宋" w:eastAsia="仿宋" w:cs="仿宋"/>
          <w:b/>
          <w:bCs/>
          <w:sz w:val="32"/>
          <w:szCs w:val="36"/>
        </w:rPr>
      </w:pPr>
    </w:p>
    <w:p w14:paraId="31D6048D">
      <w:pPr>
        <w:jc w:val="center"/>
        <w:rPr>
          <w:rFonts w:ascii="仿宋" w:hAnsi="仿宋" w:eastAsia="仿宋" w:cs="仿宋"/>
          <w:b/>
          <w:bCs/>
          <w:sz w:val="32"/>
          <w:szCs w:val="36"/>
        </w:rPr>
      </w:pPr>
    </w:p>
    <w:p w14:paraId="22DFB5A4">
      <w:pPr>
        <w:jc w:val="center"/>
        <w:rPr>
          <w:rFonts w:ascii="仿宋" w:hAnsi="仿宋" w:eastAsia="仿宋" w:cs="仿宋"/>
          <w:b/>
          <w:bCs/>
          <w:sz w:val="32"/>
          <w:szCs w:val="36"/>
        </w:rPr>
      </w:pPr>
    </w:p>
    <w:p w14:paraId="339FF831">
      <w:pPr>
        <w:jc w:val="center"/>
        <w:rPr>
          <w:rFonts w:ascii="仿宋" w:hAnsi="仿宋" w:eastAsia="仿宋" w:cs="仿宋"/>
          <w:b/>
          <w:bCs/>
          <w:sz w:val="32"/>
          <w:szCs w:val="36"/>
        </w:rPr>
      </w:pPr>
    </w:p>
    <w:p w14:paraId="6744D47A">
      <w:pPr>
        <w:jc w:val="center"/>
        <w:rPr>
          <w:rFonts w:ascii="仿宋" w:hAnsi="仿宋" w:eastAsia="仿宋" w:cs="仿宋"/>
          <w:b/>
          <w:bCs/>
          <w:sz w:val="32"/>
          <w:szCs w:val="36"/>
        </w:rPr>
      </w:pPr>
    </w:p>
    <w:p w14:paraId="73C4739F">
      <w:pPr>
        <w:jc w:val="center"/>
        <w:rPr>
          <w:rFonts w:ascii="仿宋" w:hAnsi="仿宋" w:eastAsia="仿宋" w:cs="仿宋"/>
          <w:b/>
          <w:bCs/>
          <w:sz w:val="32"/>
          <w:szCs w:val="36"/>
        </w:rPr>
      </w:pPr>
    </w:p>
    <w:p w14:paraId="19A9C75C">
      <w:pPr>
        <w:jc w:val="center"/>
        <w:rPr>
          <w:rFonts w:ascii="仿宋" w:hAnsi="仿宋" w:eastAsia="仿宋" w:cs="仿宋"/>
          <w:b/>
          <w:bCs/>
          <w:sz w:val="32"/>
          <w:szCs w:val="36"/>
        </w:rPr>
      </w:pPr>
    </w:p>
    <w:p w14:paraId="51657754">
      <w:pPr>
        <w:jc w:val="center"/>
        <w:rPr>
          <w:rFonts w:ascii="仿宋" w:hAnsi="仿宋" w:eastAsia="仿宋" w:cs="仿宋"/>
          <w:b/>
          <w:bCs/>
          <w:sz w:val="32"/>
          <w:szCs w:val="36"/>
        </w:rPr>
      </w:pPr>
    </w:p>
    <w:p w14:paraId="499EC54D">
      <w:pPr>
        <w:jc w:val="center"/>
        <w:rPr>
          <w:rFonts w:ascii="仿宋" w:hAnsi="仿宋" w:eastAsia="仿宋" w:cs="仿宋"/>
          <w:b/>
          <w:bCs/>
          <w:sz w:val="32"/>
          <w:szCs w:val="36"/>
        </w:rPr>
      </w:pPr>
    </w:p>
    <w:p w14:paraId="5626EAC7">
      <w:pPr>
        <w:jc w:val="center"/>
        <w:rPr>
          <w:rFonts w:ascii="仿宋" w:hAnsi="仿宋" w:eastAsia="仿宋" w:cs="仿宋"/>
          <w:b/>
          <w:bCs/>
          <w:sz w:val="32"/>
          <w:szCs w:val="36"/>
        </w:rPr>
      </w:pPr>
    </w:p>
    <w:p w14:paraId="0E4618DE">
      <w:pPr>
        <w:rPr>
          <w:rFonts w:ascii="仿宋" w:hAnsi="仿宋" w:eastAsia="仿宋" w:cs="仿宋"/>
          <w:b/>
          <w:bCs/>
          <w:sz w:val="32"/>
          <w:szCs w:val="36"/>
        </w:rPr>
      </w:pPr>
    </w:p>
    <w:p w14:paraId="45FBE79D">
      <w:pPr>
        <w:jc w:val="center"/>
        <w:rPr>
          <w:rFonts w:ascii="仿宋" w:hAnsi="仿宋" w:eastAsia="仿宋" w:cs="仿宋"/>
          <w:b/>
          <w:bCs/>
          <w:sz w:val="32"/>
          <w:szCs w:val="36"/>
        </w:rPr>
      </w:pPr>
      <w:r>
        <w:rPr>
          <w:rFonts w:hint="eastAsia" w:ascii="仿宋" w:hAnsi="仿宋" w:eastAsia="仿宋" w:cs="仿宋"/>
          <w:b/>
          <w:bCs/>
          <w:sz w:val="32"/>
          <w:szCs w:val="36"/>
        </w:rPr>
        <w:t>二、采购需求</w:t>
      </w:r>
    </w:p>
    <w:p w14:paraId="40933F84">
      <w:pPr>
        <w:rPr>
          <w:rFonts w:ascii="仿宋" w:hAnsi="仿宋" w:eastAsia="仿宋" w:cs="仿宋"/>
          <w:szCs w:val="21"/>
        </w:rPr>
      </w:pPr>
    </w:p>
    <w:tbl>
      <w:tblPr>
        <w:tblStyle w:val="54"/>
        <w:tblW w:w="9969"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751"/>
        <w:gridCol w:w="7708"/>
        <w:gridCol w:w="470"/>
        <w:gridCol w:w="584"/>
      </w:tblGrid>
      <w:tr w14:paraId="12F62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456" w:type="dxa"/>
            <w:vAlign w:val="center"/>
          </w:tcPr>
          <w:p w14:paraId="1577B7EF">
            <w:pPr>
              <w:jc w:val="center"/>
              <w:rPr>
                <w:rFonts w:ascii="仿宋" w:hAnsi="仿宋" w:eastAsia="仿宋" w:cs="仿宋"/>
                <w:sz w:val="24"/>
              </w:rPr>
            </w:pPr>
            <w:r>
              <w:rPr>
                <w:rFonts w:hint="eastAsia" w:ascii="仿宋" w:hAnsi="仿宋" w:eastAsia="仿宋" w:cs="仿宋"/>
                <w:sz w:val="24"/>
              </w:rPr>
              <w:t>序号</w:t>
            </w:r>
          </w:p>
        </w:tc>
        <w:tc>
          <w:tcPr>
            <w:tcW w:w="751" w:type="dxa"/>
            <w:vAlign w:val="center"/>
          </w:tcPr>
          <w:p w14:paraId="2F21E4D9">
            <w:pPr>
              <w:jc w:val="center"/>
              <w:rPr>
                <w:rFonts w:ascii="仿宋" w:hAnsi="仿宋" w:eastAsia="仿宋" w:cs="仿宋"/>
                <w:sz w:val="24"/>
              </w:rPr>
            </w:pPr>
            <w:r>
              <w:rPr>
                <w:rFonts w:hint="eastAsia" w:ascii="仿宋" w:hAnsi="仿宋" w:eastAsia="仿宋" w:cs="仿宋"/>
                <w:sz w:val="24"/>
              </w:rPr>
              <w:t>名称</w:t>
            </w:r>
          </w:p>
        </w:tc>
        <w:tc>
          <w:tcPr>
            <w:tcW w:w="7708" w:type="dxa"/>
            <w:vAlign w:val="center"/>
          </w:tcPr>
          <w:p w14:paraId="27B3FD20">
            <w:pPr>
              <w:jc w:val="center"/>
              <w:rPr>
                <w:rFonts w:ascii="仿宋" w:hAnsi="仿宋" w:eastAsia="仿宋" w:cs="仿宋"/>
                <w:sz w:val="24"/>
              </w:rPr>
            </w:pPr>
            <w:r>
              <w:rPr>
                <w:rFonts w:hint="eastAsia" w:ascii="仿宋" w:hAnsi="仿宋" w:eastAsia="仿宋" w:cs="仿宋"/>
                <w:sz w:val="24"/>
              </w:rPr>
              <w:t>主要功能及参数</w:t>
            </w:r>
          </w:p>
        </w:tc>
        <w:tc>
          <w:tcPr>
            <w:tcW w:w="470" w:type="dxa"/>
            <w:vAlign w:val="center"/>
          </w:tcPr>
          <w:p w14:paraId="4708137E">
            <w:pPr>
              <w:jc w:val="center"/>
              <w:rPr>
                <w:rFonts w:ascii="仿宋" w:hAnsi="仿宋" w:eastAsia="仿宋" w:cs="仿宋"/>
                <w:sz w:val="24"/>
              </w:rPr>
            </w:pPr>
            <w:r>
              <w:rPr>
                <w:rFonts w:hint="eastAsia" w:ascii="仿宋" w:hAnsi="仿宋" w:eastAsia="仿宋" w:cs="仿宋"/>
                <w:sz w:val="24"/>
              </w:rPr>
              <w:t>单位</w:t>
            </w:r>
          </w:p>
        </w:tc>
        <w:tc>
          <w:tcPr>
            <w:tcW w:w="584" w:type="dxa"/>
            <w:vAlign w:val="center"/>
          </w:tcPr>
          <w:p w14:paraId="14A9FC3D">
            <w:pPr>
              <w:jc w:val="center"/>
              <w:rPr>
                <w:rFonts w:ascii="仿宋" w:hAnsi="仿宋" w:eastAsia="仿宋" w:cs="仿宋"/>
                <w:sz w:val="24"/>
              </w:rPr>
            </w:pPr>
            <w:r>
              <w:rPr>
                <w:rFonts w:hint="eastAsia" w:ascii="仿宋" w:hAnsi="仿宋" w:eastAsia="仿宋" w:cs="仿宋"/>
                <w:sz w:val="24"/>
              </w:rPr>
              <w:t>数量</w:t>
            </w:r>
          </w:p>
        </w:tc>
      </w:tr>
      <w:tr w14:paraId="68631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2" w:hRule="atLeast"/>
        </w:trPr>
        <w:tc>
          <w:tcPr>
            <w:tcW w:w="456" w:type="dxa"/>
            <w:vAlign w:val="center"/>
          </w:tcPr>
          <w:p w14:paraId="5B54B862">
            <w:pPr>
              <w:jc w:val="center"/>
              <w:rPr>
                <w:rFonts w:ascii="仿宋" w:hAnsi="仿宋" w:eastAsia="仿宋" w:cs="仿宋"/>
                <w:sz w:val="24"/>
              </w:rPr>
            </w:pPr>
            <w:r>
              <w:rPr>
                <w:rFonts w:hint="eastAsia" w:ascii="仿宋" w:hAnsi="仿宋" w:eastAsia="仿宋" w:cs="仿宋"/>
                <w:sz w:val="24"/>
              </w:rPr>
              <w:t>1</w:t>
            </w:r>
          </w:p>
        </w:tc>
        <w:tc>
          <w:tcPr>
            <w:tcW w:w="751" w:type="dxa"/>
            <w:vAlign w:val="center"/>
          </w:tcPr>
          <w:p w14:paraId="3072BAED">
            <w:pPr>
              <w:jc w:val="center"/>
              <w:rPr>
                <w:rFonts w:ascii="仿宋" w:hAnsi="仿宋" w:eastAsia="仿宋" w:cs="仿宋"/>
                <w:sz w:val="24"/>
              </w:rPr>
            </w:pPr>
            <w:r>
              <w:rPr>
                <w:rFonts w:hint="eastAsia" w:ascii="仿宋" w:hAnsi="仿宋" w:eastAsia="仿宋" w:cs="仿宋"/>
                <w:sz w:val="24"/>
              </w:rPr>
              <w:t>▲</w:t>
            </w:r>
          </w:p>
          <w:p w14:paraId="3787E731">
            <w:pPr>
              <w:jc w:val="center"/>
              <w:rPr>
                <w:rFonts w:ascii="仿宋" w:hAnsi="仿宋" w:eastAsia="仿宋" w:cs="仿宋"/>
                <w:sz w:val="24"/>
              </w:rPr>
            </w:pPr>
            <w:r>
              <w:rPr>
                <w:rFonts w:hint="eastAsia" w:ascii="仿宋" w:hAnsi="仿宋" w:eastAsia="仿宋" w:cs="仿宋"/>
                <w:sz w:val="24"/>
              </w:rPr>
              <w:t>教师教学系统</w:t>
            </w:r>
          </w:p>
        </w:tc>
        <w:tc>
          <w:tcPr>
            <w:tcW w:w="7708" w:type="dxa"/>
          </w:tcPr>
          <w:p w14:paraId="305C992F">
            <w:pPr>
              <w:snapToGrid w:val="0"/>
              <w:rPr>
                <w:rFonts w:ascii="仿宋" w:hAnsi="仿宋" w:eastAsia="仿宋" w:cs="仿宋"/>
                <w:sz w:val="24"/>
              </w:rPr>
            </w:pPr>
            <w:r>
              <w:rPr>
                <w:rFonts w:hint="eastAsia" w:ascii="仿宋" w:hAnsi="仿宋" w:eastAsia="仿宋" w:cs="仿宋"/>
                <w:sz w:val="24"/>
              </w:rPr>
              <w:t>一、备课 ：</w:t>
            </w:r>
          </w:p>
          <w:p w14:paraId="066C9C2B">
            <w:pPr>
              <w:pStyle w:val="203"/>
              <w:ind w:left="107"/>
              <w:rPr>
                <w:rFonts w:ascii="仿宋" w:hAnsi="仿宋" w:eastAsia="仿宋" w:cs="仿宋"/>
                <w:sz w:val="24"/>
              </w:rPr>
            </w:pPr>
            <w:r>
              <w:rPr>
                <w:rFonts w:hint="eastAsia" w:ascii="仿宋" w:hAnsi="仿宋" w:eastAsia="仿宋" w:cs="仿宋"/>
                <w:sz w:val="24"/>
              </w:rPr>
              <w:t xml:space="preserve"> 1.投标供应商通过云端提供备课资源服务： </w:t>
            </w:r>
          </w:p>
          <w:p w14:paraId="2537955B">
            <w:pPr>
              <w:pStyle w:val="203"/>
              <w:ind w:left="107"/>
              <w:rPr>
                <w:rFonts w:ascii="仿宋" w:hAnsi="仿宋" w:eastAsia="仿宋" w:cs="仿宋"/>
                <w:sz w:val="24"/>
              </w:rPr>
            </w:pPr>
            <w:r>
              <w:rPr>
                <w:rFonts w:hint="eastAsia" w:ascii="仿宋" w:hAnsi="仿宋" w:eastAsia="仿宋" w:cs="仿宋"/>
                <w:sz w:val="24"/>
              </w:rPr>
              <w:t xml:space="preserve">（1）备课资源符合国家课程标准、相关法律法规和其它有关规定； </w:t>
            </w:r>
          </w:p>
          <w:p w14:paraId="1A881F1B">
            <w:pPr>
              <w:pStyle w:val="203"/>
              <w:ind w:left="107"/>
              <w:rPr>
                <w:rFonts w:ascii="仿宋" w:hAnsi="仿宋" w:eastAsia="仿宋" w:cs="仿宋"/>
                <w:sz w:val="24"/>
              </w:rPr>
            </w:pPr>
            <w:r>
              <w:rPr>
                <w:rFonts w:hint="eastAsia" w:ascii="仿宋" w:hAnsi="仿宋" w:eastAsia="仿宋" w:cs="仿宋"/>
                <w:sz w:val="24"/>
              </w:rPr>
              <w:t>（2）备课资源与各地教材相配套（其中语文、道德与法治为教育部统编教材）， 覆盖小学所有学科，到教材章节和知识，满足日常教学需要（</w:t>
            </w:r>
            <w:r>
              <w:rPr>
                <w:rFonts w:hint="eastAsia" w:ascii="仿宋" w:hAnsi="仿宋" w:eastAsia="仿宋" w:cs="仿宋"/>
                <w:b/>
                <w:sz w:val="24"/>
              </w:rPr>
              <w:t>投标文件中提供备课资源清单</w:t>
            </w:r>
            <w:r>
              <w:rPr>
                <w:rFonts w:hint="eastAsia" w:ascii="仿宋" w:hAnsi="仿宋" w:eastAsia="仿宋" w:cs="仿宋"/>
                <w:sz w:val="24"/>
              </w:rPr>
              <w:t>）；</w:t>
            </w:r>
          </w:p>
          <w:p w14:paraId="3E1CE971">
            <w:pPr>
              <w:pStyle w:val="203"/>
              <w:ind w:left="107" w:right="101"/>
              <w:rPr>
                <w:rFonts w:ascii="仿宋" w:hAnsi="仿宋" w:eastAsia="仿宋" w:cs="仿宋"/>
                <w:sz w:val="24"/>
                <w:lang w:val="en-US"/>
              </w:rPr>
            </w:pPr>
            <w:r>
              <w:rPr>
                <w:rFonts w:hint="eastAsia" w:ascii="仿宋" w:hAnsi="仿宋" w:eastAsia="仿宋" w:cs="仿宋"/>
                <w:sz w:val="24"/>
              </w:rPr>
              <w:t>（3）</w:t>
            </w:r>
            <w:r>
              <w:rPr>
                <w:rFonts w:hint="eastAsia" w:ascii="仿宋" w:hAnsi="仿宋" w:eastAsia="仿宋" w:cs="仿宋"/>
                <w:sz w:val="24"/>
                <w:lang w:val="en-US"/>
              </w:rPr>
              <w:t>提供教学资源（小学全科）配套清单（</w:t>
            </w:r>
            <w:r>
              <w:rPr>
                <w:rFonts w:hint="eastAsia" w:ascii="仿宋" w:hAnsi="仿宋" w:eastAsia="仿宋" w:cs="仿宋"/>
                <w:b/>
                <w:bCs/>
                <w:sz w:val="24"/>
                <w:lang w:val="en-US"/>
              </w:rPr>
              <w:t>须含电子教材和云课程资源），</w:t>
            </w:r>
            <w:r>
              <w:rPr>
                <w:rFonts w:hint="eastAsia" w:ascii="仿宋" w:hAnsi="仿宋" w:eastAsia="仿宋" w:cs="仿宋"/>
                <w:sz w:val="24"/>
                <w:lang w:val="en-US"/>
              </w:rPr>
              <w:t>具备资源下载功能；（</w:t>
            </w:r>
            <w:r>
              <w:rPr>
                <w:rFonts w:hint="eastAsia" w:ascii="仿宋" w:hAnsi="仿宋" w:eastAsia="仿宋" w:cs="仿宋"/>
                <w:b/>
                <w:sz w:val="24"/>
                <w:lang w:val="en-US"/>
              </w:rPr>
              <w:t>投标文件中提供承诺函</w:t>
            </w:r>
            <w:r>
              <w:rPr>
                <w:rFonts w:hint="eastAsia" w:ascii="仿宋" w:hAnsi="仿宋" w:eastAsia="仿宋" w:cs="仿宋"/>
                <w:sz w:val="24"/>
                <w:lang w:val="en-US"/>
              </w:rPr>
              <w:t>）</w:t>
            </w:r>
          </w:p>
          <w:p w14:paraId="191DD240">
            <w:pPr>
              <w:pStyle w:val="203"/>
              <w:ind w:left="107"/>
              <w:rPr>
                <w:rFonts w:ascii="仿宋" w:hAnsi="仿宋" w:eastAsia="仿宋" w:cs="仿宋"/>
                <w:sz w:val="24"/>
              </w:rPr>
            </w:pPr>
            <w:r>
              <w:rPr>
                <w:rFonts w:hint="eastAsia" w:ascii="仿宋" w:hAnsi="仿宋" w:eastAsia="仿宋" w:cs="仿宋"/>
                <w:sz w:val="24"/>
              </w:rPr>
              <w:t>（4）每节课时至少包含有一条可二次加工的成品 PPT 课件；（</w:t>
            </w:r>
            <w:r>
              <w:rPr>
                <w:rFonts w:hint="eastAsia" w:ascii="仿宋" w:hAnsi="仿宋" w:eastAsia="仿宋" w:cs="仿宋"/>
                <w:b/>
                <w:sz w:val="24"/>
              </w:rPr>
              <w:t>投标文件中提供功能截图证明</w:t>
            </w:r>
            <w:r>
              <w:rPr>
                <w:rFonts w:hint="eastAsia" w:ascii="仿宋" w:hAnsi="仿宋" w:eastAsia="仿宋" w:cs="仿宋"/>
                <w:sz w:val="24"/>
              </w:rPr>
              <w:t xml:space="preserve">） </w:t>
            </w:r>
          </w:p>
          <w:p w14:paraId="22B4AE8A">
            <w:pPr>
              <w:pStyle w:val="203"/>
              <w:ind w:left="107"/>
              <w:rPr>
                <w:rFonts w:ascii="仿宋" w:hAnsi="仿宋" w:eastAsia="仿宋" w:cs="仿宋"/>
                <w:sz w:val="24"/>
                <w:lang w:val="en-US"/>
              </w:rPr>
            </w:pPr>
            <w:r>
              <w:rPr>
                <w:rFonts w:hint="eastAsia" w:ascii="仿宋" w:hAnsi="仿宋" w:eastAsia="仿宋" w:cs="仿宋"/>
                <w:sz w:val="24"/>
              </w:rPr>
              <w:t xml:space="preserve">（5）提供配套的语文、英语、音乐等学科教材的教学语音资源； </w:t>
            </w:r>
            <w:r>
              <w:rPr>
                <w:rFonts w:hint="eastAsia" w:ascii="仿宋" w:hAnsi="仿宋" w:eastAsia="仿宋" w:cs="仿宋"/>
                <w:sz w:val="24"/>
                <w:lang w:val="en-US"/>
              </w:rPr>
              <w:t>（</w:t>
            </w:r>
            <w:r>
              <w:rPr>
                <w:rFonts w:hint="eastAsia" w:ascii="仿宋" w:hAnsi="仿宋" w:eastAsia="仿宋" w:cs="仿宋"/>
                <w:b/>
                <w:sz w:val="24"/>
                <w:lang w:val="en-US"/>
              </w:rPr>
              <w:t>投标文件中提供功能截图证明</w:t>
            </w:r>
            <w:r>
              <w:rPr>
                <w:rFonts w:hint="eastAsia" w:ascii="仿宋" w:hAnsi="仿宋" w:eastAsia="仿宋" w:cs="仿宋"/>
                <w:sz w:val="24"/>
                <w:lang w:val="en-US"/>
              </w:rPr>
              <w:t>）</w:t>
            </w:r>
          </w:p>
          <w:p w14:paraId="41A4921A">
            <w:pPr>
              <w:pStyle w:val="203"/>
              <w:ind w:left="107"/>
              <w:rPr>
                <w:rFonts w:ascii="仿宋" w:hAnsi="仿宋" w:eastAsia="仿宋" w:cs="仿宋"/>
                <w:sz w:val="24"/>
              </w:rPr>
            </w:pPr>
            <w:r>
              <w:rPr>
                <w:rFonts w:hint="eastAsia" w:ascii="仿宋" w:hAnsi="仿宋" w:eastAsia="仿宋" w:cs="仿宋"/>
                <w:sz w:val="24"/>
              </w:rPr>
              <w:t xml:space="preserve">（6）支持按照教材、年级、学科、知识进行筛选。 </w:t>
            </w:r>
          </w:p>
          <w:p w14:paraId="156C6AD6">
            <w:pPr>
              <w:pStyle w:val="203"/>
              <w:ind w:left="107" w:right="-15"/>
              <w:rPr>
                <w:rFonts w:ascii="仿宋" w:hAnsi="仿宋" w:eastAsia="仿宋" w:cs="仿宋"/>
                <w:sz w:val="24"/>
                <w:lang w:val="en-US"/>
              </w:rPr>
            </w:pPr>
            <w:r>
              <w:rPr>
                <w:rFonts w:hint="eastAsia" w:ascii="仿宋" w:hAnsi="仿宋" w:eastAsia="仿宋" w:cs="仿宋"/>
                <w:sz w:val="24"/>
              </w:rPr>
              <w:t xml:space="preserve">2. </w:t>
            </w:r>
            <w:r>
              <w:rPr>
                <w:rFonts w:hint="eastAsia" w:ascii="仿宋" w:hAnsi="仿宋" w:eastAsia="仿宋" w:cs="仿宋"/>
                <w:sz w:val="24"/>
                <w:lang w:val="en-US"/>
              </w:rPr>
              <w:t>实现省平台资源（含国家平台资源，省平台已与国家平台打通，能够获取国家平台资源）、本地资源和其它渠道资源的接入，教师根据教材、年级、学科、知识、类型等选定需要备课的资源，系统自动获取并推送不同渠道相应知识的备课资源。推送的资源可按下载次数倒序排列，支持资源浏览、下载和插入等操作，方便教师使用。（</w:t>
            </w:r>
            <w:r>
              <w:rPr>
                <w:rFonts w:hint="eastAsia" w:ascii="仿宋" w:hAnsi="仿宋" w:eastAsia="仿宋" w:cs="仿宋"/>
                <w:b/>
                <w:sz w:val="24"/>
                <w:lang w:val="en-US"/>
              </w:rPr>
              <w:t>投标文件中提供所投智慧课堂系统与省平台互联互通的第三方评测机构提供的检测报告复印件</w:t>
            </w:r>
            <w:r>
              <w:rPr>
                <w:rFonts w:hint="eastAsia" w:ascii="仿宋" w:hAnsi="仿宋" w:eastAsia="仿宋" w:cs="仿宋"/>
                <w:sz w:val="24"/>
                <w:lang w:val="en-US"/>
              </w:rPr>
              <w:t>）</w:t>
            </w:r>
          </w:p>
          <w:p w14:paraId="0EE4CE52">
            <w:pPr>
              <w:pStyle w:val="203"/>
              <w:ind w:left="107" w:right="-15"/>
              <w:rPr>
                <w:rFonts w:ascii="仿宋" w:hAnsi="仿宋" w:eastAsia="仿宋" w:cs="仿宋"/>
                <w:sz w:val="24"/>
                <w:lang w:val="en-US"/>
              </w:rPr>
            </w:pPr>
            <w:r>
              <w:rPr>
                <w:rFonts w:hint="eastAsia" w:ascii="仿宋" w:hAnsi="仿宋" w:eastAsia="仿宋" w:cs="仿宋"/>
                <w:sz w:val="24"/>
                <w:lang w:val="en-US"/>
              </w:rPr>
              <w:t>3.提供该知识前序知识或章节的学生掌握情况和课前预习情况的分析结果，为教师备课提供支撑。</w:t>
            </w:r>
          </w:p>
          <w:p w14:paraId="5596BE8F">
            <w:pPr>
              <w:pStyle w:val="203"/>
              <w:ind w:left="107" w:right="-15"/>
              <w:rPr>
                <w:rFonts w:ascii="仿宋" w:hAnsi="仿宋" w:eastAsia="仿宋" w:cs="仿宋"/>
                <w:sz w:val="24"/>
                <w:lang w:val="en-US"/>
              </w:rPr>
            </w:pPr>
            <w:r>
              <w:rPr>
                <w:rFonts w:hint="eastAsia" w:ascii="仿宋" w:hAnsi="仿宋" w:eastAsia="仿宋" w:cs="仿宋"/>
                <w:sz w:val="24"/>
                <w:lang w:val="en-US"/>
              </w:rPr>
              <w:t>4.实现本地的教学设计、微课、课件和试题等资源上传至省平台教师个人空间。</w:t>
            </w:r>
          </w:p>
          <w:p w14:paraId="620F9AB4">
            <w:pPr>
              <w:pStyle w:val="203"/>
              <w:ind w:left="107" w:right="-15"/>
              <w:rPr>
                <w:rFonts w:ascii="仿宋" w:hAnsi="仿宋" w:eastAsia="仿宋" w:cs="仿宋"/>
                <w:sz w:val="24"/>
                <w:lang w:val="en-US"/>
              </w:rPr>
            </w:pPr>
            <w:r>
              <w:rPr>
                <w:rFonts w:hint="eastAsia" w:ascii="仿宋" w:hAnsi="仿宋" w:eastAsia="仿宋" w:cs="仿宋"/>
                <w:sz w:val="24"/>
                <w:lang w:val="en-US"/>
              </w:rPr>
              <w:t>5.投标人选用的资源供应商通过云端提供试题和作业服务：</w:t>
            </w:r>
          </w:p>
          <w:p w14:paraId="097E634E">
            <w:pPr>
              <w:pStyle w:val="203"/>
              <w:ind w:left="107" w:right="-15"/>
              <w:rPr>
                <w:rFonts w:ascii="仿宋" w:hAnsi="仿宋" w:eastAsia="仿宋" w:cs="仿宋"/>
                <w:sz w:val="24"/>
                <w:lang w:val="en-US"/>
              </w:rPr>
            </w:pPr>
            <w:r>
              <w:rPr>
                <w:rFonts w:hint="eastAsia" w:ascii="仿宋" w:hAnsi="仿宋" w:eastAsia="仿宋" w:cs="仿宋"/>
                <w:sz w:val="24"/>
                <w:lang w:val="en-US"/>
              </w:rPr>
              <w:t>（1）试题和作业符合国家课程标准、相关法律法规和其它有关规定；</w:t>
            </w:r>
          </w:p>
          <w:p w14:paraId="2B68F4A9">
            <w:pPr>
              <w:pStyle w:val="203"/>
              <w:ind w:left="107" w:right="-15"/>
              <w:rPr>
                <w:rFonts w:ascii="仿宋" w:hAnsi="仿宋" w:eastAsia="仿宋" w:cs="仿宋"/>
                <w:sz w:val="24"/>
                <w:lang w:val="en-US"/>
              </w:rPr>
            </w:pPr>
            <w:r>
              <w:rPr>
                <w:rFonts w:hint="eastAsia" w:ascii="仿宋" w:hAnsi="仿宋" w:eastAsia="仿宋" w:cs="仿宋"/>
                <w:sz w:val="24"/>
                <w:lang w:val="en-US"/>
              </w:rPr>
              <w:t>（2）试题和作业与各地教材相配套，覆盖小学语文、数学、英语等学科，到学科到教材到章节，满足日常教学需要（</w:t>
            </w:r>
            <w:r>
              <w:rPr>
                <w:rFonts w:hint="eastAsia" w:ascii="仿宋" w:hAnsi="仿宋" w:eastAsia="仿宋" w:cs="仿宋"/>
                <w:b/>
                <w:sz w:val="24"/>
                <w:lang w:val="en-US"/>
              </w:rPr>
              <w:t>投标文件中提供试题和作业资源清单</w:t>
            </w:r>
            <w:r>
              <w:rPr>
                <w:rFonts w:hint="eastAsia" w:ascii="仿宋" w:hAnsi="仿宋" w:eastAsia="仿宋" w:cs="仿宋"/>
                <w:sz w:val="24"/>
                <w:lang w:val="en-US"/>
              </w:rPr>
              <w:t>）；</w:t>
            </w:r>
          </w:p>
          <w:p w14:paraId="4DB96C0D">
            <w:pPr>
              <w:pStyle w:val="203"/>
              <w:ind w:left="107" w:right="-15"/>
              <w:rPr>
                <w:rFonts w:ascii="仿宋" w:hAnsi="仿宋" w:eastAsia="仿宋" w:cs="仿宋"/>
                <w:sz w:val="24"/>
                <w:lang w:val="en-US"/>
              </w:rPr>
            </w:pPr>
            <w:r>
              <w:rPr>
                <w:rFonts w:hint="eastAsia" w:ascii="仿宋" w:hAnsi="仿宋" w:eastAsia="仿宋" w:cs="仿宋"/>
                <w:sz w:val="24"/>
                <w:lang w:val="en-US"/>
              </w:rPr>
              <w:t>（3）提供按照教材、年级、学科、知识、题型、难易程度等进行筛选，提供多种题型。</w:t>
            </w:r>
          </w:p>
          <w:p w14:paraId="79F1D7DB">
            <w:pPr>
              <w:pStyle w:val="203"/>
              <w:ind w:left="107" w:right="-15"/>
              <w:rPr>
                <w:rFonts w:ascii="仿宋" w:hAnsi="仿宋" w:eastAsia="仿宋" w:cs="仿宋"/>
                <w:sz w:val="24"/>
                <w:lang w:val="en-US"/>
              </w:rPr>
            </w:pPr>
            <w:r>
              <w:rPr>
                <w:rFonts w:hint="eastAsia" w:ascii="仿宋" w:hAnsi="仿宋" w:eastAsia="仿宋" w:cs="仿宋"/>
                <w:sz w:val="24"/>
                <w:lang w:val="en-US"/>
              </w:rPr>
              <w:t>6.提供备课工具：</w:t>
            </w:r>
          </w:p>
          <w:p w14:paraId="350D7ECE">
            <w:pPr>
              <w:pStyle w:val="203"/>
              <w:ind w:left="107" w:right="-15"/>
              <w:rPr>
                <w:rFonts w:ascii="仿宋" w:hAnsi="仿宋" w:eastAsia="仿宋" w:cs="仿宋"/>
                <w:sz w:val="24"/>
                <w:lang w:val="en-US"/>
              </w:rPr>
            </w:pPr>
            <w:r>
              <w:rPr>
                <w:rFonts w:hint="eastAsia" w:ascii="仿宋" w:hAnsi="仿宋" w:eastAsia="仿宋" w:cs="仿宋"/>
                <w:sz w:val="24"/>
                <w:lang w:val="en-US"/>
              </w:rPr>
              <w:t>（1）提供在线和本地资源离线备课功能。其中在在线备课中，支持在线资源（保存链接，资源不在本地）和离线资源插入两种方式。</w:t>
            </w:r>
          </w:p>
          <w:p w14:paraId="3A22405E">
            <w:pPr>
              <w:pStyle w:val="203"/>
              <w:ind w:left="107" w:right="-15"/>
              <w:rPr>
                <w:rFonts w:ascii="仿宋" w:hAnsi="仿宋" w:eastAsia="仿宋" w:cs="仿宋"/>
                <w:sz w:val="24"/>
                <w:lang w:val="en-US"/>
              </w:rPr>
            </w:pPr>
            <w:r>
              <w:rPr>
                <w:rFonts w:hint="eastAsia" w:ascii="仿宋" w:hAnsi="仿宋" w:eastAsia="仿宋" w:cs="仿宋"/>
                <w:sz w:val="24"/>
                <w:lang w:val="en-US"/>
              </w:rPr>
              <w:t>（2）提供集成备课资源功能，教师通过设置自动获取对应章节和知识的教学资源，方便教师备课时即点即用。</w:t>
            </w:r>
          </w:p>
          <w:p w14:paraId="7CA8DA54">
            <w:pPr>
              <w:pStyle w:val="203"/>
              <w:ind w:left="107" w:right="-15"/>
              <w:rPr>
                <w:rFonts w:ascii="仿宋" w:hAnsi="仿宋" w:eastAsia="仿宋" w:cs="仿宋"/>
                <w:sz w:val="24"/>
                <w:lang w:val="en-US"/>
              </w:rPr>
            </w:pPr>
            <w:r>
              <w:rPr>
                <w:rFonts w:hint="eastAsia" w:ascii="仿宋" w:hAnsi="仿宋" w:eastAsia="仿宋" w:cs="仿宋"/>
                <w:sz w:val="24"/>
                <w:lang w:val="en-US"/>
              </w:rPr>
              <w:t>（3）提供必要的学科工具，包含而不仅限于数学学科的常用符号，汉语拼音，以及其他学科的学科符号，方便教师使用。</w:t>
            </w:r>
          </w:p>
          <w:p w14:paraId="0760FCE9">
            <w:pPr>
              <w:pStyle w:val="203"/>
              <w:ind w:left="107" w:right="-15"/>
              <w:rPr>
                <w:rFonts w:ascii="仿宋" w:hAnsi="仿宋" w:eastAsia="仿宋" w:cs="仿宋"/>
                <w:sz w:val="24"/>
                <w:lang w:val="en-US"/>
              </w:rPr>
            </w:pPr>
            <w:r>
              <w:rPr>
                <w:rFonts w:hint="eastAsia" w:ascii="仿宋" w:hAnsi="仿宋" w:eastAsia="仿宋" w:cs="仿宋"/>
                <w:sz w:val="24"/>
                <w:lang w:val="en-US"/>
              </w:rPr>
              <w:t>（4）提供课件制作常用功能，包含而不仅限于链接、热区、动画等。课件保存格式应支持常见格式。</w:t>
            </w:r>
          </w:p>
          <w:p w14:paraId="06ABCE12">
            <w:pPr>
              <w:pStyle w:val="203"/>
              <w:ind w:left="107" w:right="-15"/>
              <w:rPr>
                <w:rFonts w:ascii="仿宋" w:hAnsi="仿宋" w:eastAsia="仿宋" w:cs="仿宋"/>
                <w:sz w:val="24"/>
              </w:rPr>
            </w:pPr>
            <w:r>
              <w:rPr>
                <w:rFonts w:hint="eastAsia" w:ascii="仿宋" w:hAnsi="仿宋" w:eastAsia="仿宋" w:cs="仿宋"/>
                <w:sz w:val="24"/>
                <w:lang w:val="en-US"/>
              </w:rPr>
              <w:t>（5）提供教学设计、微课和课件等可以同步至省平台个人空间的功能。</w:t>
            </w:r>
          </w:p>
          <w:p w14:paraId="1F89C7A3">
            <w:pPr>
              <w:pStyle w:val="4"/>
              <w:numPr>
                <w:ilvl w:val="0"/>
                <w:numId w:val="4"/>
              </w:numPr>
              <w:ind w:left="360" w:hanging="360"/>
              <w:rPr>
                <w:rFonts w:ascii="仿宋" w:hAnsi="仿宋" w:eastAsia="仿宋" w:cs="仿宋"/>
                <w:sz w:val="24"/>
                <w:szCs w:val="24"/>
              </w:rPr>
            </w:pPr>
            <w:r>
              <w:rPr>
                <w:rFonts w:hint="eastAsia" w:ascii="仿宋" w:hAnsi="仿宋" w:eastAsia="仿宋" w:cs="仿宋"/>
                <w:sz w:val="24"/>
                <w:szCs w:val="24"/>
              </w:rPr>
              <w:t>资源推送：</w:t>
            </w:r>
          </w:p>
          <w:p w14:paraId="728AEF2E">
            <w:pPr>
              <w:pStyle w:val="4"/>
              <w:rPr>
                <w:rFonts w:ascii="仿宋" w:hAnsi="仿宋" w:eastAsia="仿宋" w:cs="仿宋"/>
                <w:sz w:val="24"/>
                <w:szCs w:val="24"/>
              </w:rPr>
            </w:pPr>
            <w:r>
              <w:rPr>
                <w:rFonts w:hint="eastAsia" w:ascii="仿宋" w:hAnsi="仿宋" w:eastAsia="仿宋" w:cs="仿宋"/>
                <w:sz w:val="24"/>
                <w:szCs w:val="24"/>
              </w:rPr>
              <w:t xml:space="preserve">支持教师通过智能终端、电脑等将多渠道提供的资源、个人空间内资源或本机上的资源推送到学生的省平台个人空间内。 </w:t>
            </w:r>
          </w:p>
          <w:p w14:paraId="62DE0CB8">
            <w:pPr>
              <w:pStyle w:val="4"/>
              <w:numPr>
                <w:ilvl w:val="0"/>
                <w:numId w:val="4"/>
              </w:numPr>
              <w:ind w:left="360" w:hanging="360"/>
              <w:rPr>
                <w:rFonts w:ascii="仿宋" w:hAnsi="仿宋" w:eastAsia="仿宋" w:cs="仿宋"/>
                <w:sz w:val="24"/>
                <w:szCs w:val="24"/>
              </w:rPr>
            </w:pPr>
            <w:r>
              <w:rPr>
                <w:rFonts w:hint="eastAsia" w:ascii="仿宋" w:hAnsi="仿宋" w:eastAsia="仿宋" w:cs="仿宋"/>
                <w:sz w:val="24"/>
                <w:szCs w:val="24"/>
              </w:rPr>
              <w:t>课堂教学</w:t>
            </w:r>
          </w:p>
          <w:p w14:paraId="45B9AF0D">
            <w:pPr>
              <w:pStyle w:val="4"/>
              <w:rPr>
                <w:rFonts w:ascii="仿宋" w:hAnsi="仿宋" w:eastAsia="仿宋" w:cs="仿宋"/>
                <w:sz w:val="24"/>
                <w:szCs w:val="24"/>
              </w:rPr>
            </w:pPr>
            <w:r>
              <w:rPr>
                <w:rFonts w:hint="eastAsia" w:ascii="仿宋" w:hAnsi="仿宋" w:eastAsia="仿宋" w:cs="仿宋"/>
                <w:sz w:val="24"/>
                <w:szCs w:val="24"/>
              </w:rPr>
              <w:t>课堂教学功能要兼顾远程（在线课堂+智慧课堂模式）和本地的智慧课堂教学，教师可以选择本地或多个远程班级进行教学。还要考虑到农村学校临时断网的情况，须支持离线（仅针对本地智慧课堂）课堂教学，教师在预知无网的情况下，可提前生成离线授课资源包在无线局域网环境下进行教学，教学过程中的行为数据待连网后自动上传。</w:t>
            </w:r>
          </w:p>
          <w:p w14:paraId="363C75E9">
            <w:pPr>
              <w:pStyle w:val="203"/>
              <w:tabs>
                <w:tab w:val="left" w:pos="312"/>
              </w:tabs>
              <w:autoSpaceDE/>
              <w:autoSpaceDN/>
              <w:ind w:left="107" w:right="105"/>
              <w:jc w:val="both"/>
              <w:rPr>
                <w:rFonts w:ascii="仿宋" w:hAnsi="仿宋" w:eastAsia="仿宋" w:cs="仿宋"/>
                <w:sz w:val="24"/>
              </w:rPr>
            </w:pPr>
            <w:r>
              <w:rPr>
                <w:rFonts w:hint="eastAsia" w:ascii="仿宋" w:hAnsi="仿宋" w:eastAsia="仿宋" w:cs="仿宋"/>
                <w:sz w:val="24"/>
              </w:rPr>
              <w:t>1.提供屏幕广播功能。教师将教师移动终端屏幕发送到所有学生移动终端。</w:t>
            </w:r>
          </w:p>
          <w:p w14:paraId="32D0C43B">
            <w:pPr>
              <w:pStyle w:val="203"/>
              <w:tabs>
                <w:tab w:val="left" w:pos="312"/>
              </w:tabs>
              <w:autoSpaceDE/>
              <w:autoSpaceDN/>
              <w:ind w:left="107" w:right="105"/>
              <w:jc w:val="both"/>
              <w:rPr>
                <w:rFonts w:ascii="仿宋" w:hAnsi="仿宋" w:eastAsia="仿宋" w:cs="仿宋"/>
                <w:sz w:val="24"/>
              </w:rPr>
            </w:pPr>
            <w:r>
              <w:rPr>
                <w:rFonts w:hint="eastAsia" w:ascii="仿宋" w:hAnsi="仿宋" w:eastAsia="仿宋" w:cs="仿宋"/>
                <w:sz w:val="24"/>
              </w:rPr>
              <w:t>2.提供同屏教学功能。支持教师在线打开个人空间内的课件等资源进行课堂教学，支持移动终端与班级多媒体设备同屏教学（包含声音和画面）。</w:t>
            </w:r>
          </w:p>
          <w:p w14:paraId="455E314D">
            <w:pPr>
              <w:pStyle w:val="203"/>
              <w:ind w:left="107"/>
              <w:rPr>
                <w:rFonts w:ascii="仿宋" w:hAnsi="仿宋" w:eastAsia="仿宋" w:cs="仿宋"/>
                <w:sz w:val="24"/>
              </w:rPr>
            </w:pPr>
            <w:r>
              <w:rPr>
                <w:rFonts w:hint="eastAsia" w:ascii="仿宋" w:hAnsi="仿宋" w:eastAsia="仿宋" w:cs="仿宋"/>
                <w:sz w:val="24"/>
              </w:rPr>
              <w:t xml:space="preserve">3.具有锁屏功能。支持教师将所有学生移动终端锁屏。 </w:t>
            </w:r>
          </w:p>
          <w:p w14:paraId="61974474">
            <w:pPr>
              <w:pStyle w:val="203"/>
              <w:ind w:left="107" w:right="-15"/>
              <w:rPr>
                <w:rFonts w:ascii="仿宋" w:hAnsi="仿宋" w:eastAsia="仿宋" w:cs="仿宋"/>
                <w:sz w:val="24"/>
              </w:rPr>
            </w:pPr>
            <w:r>
              <w:rPr>
                <w:rFonts w:hint="eastAsia" w:ascii="仿宋" w:hAnsi="仿宋" w:eastAsia="仿宋" w:cs="仿宋"/>
                <w:sz w:val="24"/>
              </w:rPr>
              <w:t xml:space="preserve">4.提供课件批注功能。提供相应的教学工具，实现教学过程中对课件进行预览、跳转、书写批注等功能。 </w:t>
            </w:r>
          </w:p>
          <w:p w14:paraId="04D5014A">
            <w:pPr>
              <w:pStyle w:val="203"/>
              <w:ind w:left="107" w:right="95"/>
              <w:rPr>
                <w:rFonts w:ascii="仿宋" w:hAnsi="仿宋" w:eastAsia="仿宋" w:cs="仿宋"/>
                <w:sz w:val="24"/>
              </w:rPr>
            </w:pPr>
            <w:r>
              <w:rPr>
                <w:rFonts w:hint="eastAsia" w:ascii="仿宋" w:hAnsi="仿宋" w:eastAsia="仿宋" w:cs="仿宋"/>
                <w:sz w:val="24"/>
              </w:rPr>
              <w:t xml:space="preserve">5.提供课堂过程记录功能。系统根据教师需要备份课件、板书、微课、互动报告等内容，全程有效记录教师的课堂教学重点环节，内容按时序结构化呈现，便于课后教师快速定位查找，完成课后反思教研。 </w:t>
            </w:r>
          </w:p>
          <w:p w14:paraId="63BF4B70">
            <w:pPr>
              <w:pStyle w:val="203"/>
              <w:ind w:left="107" w:right="96"/>
              <w:rPr>
                <w:rFonts w:ascii="仿宋" w:hAnsi="仿宋" w:eastAsia="仿宋" w:cs="仿宋"/>
                <w:sz w:val="24"/>
              </w:rPr>
            </w:pPr>
            <w:r>
              <w:rPr>
                <w:rFonts w:hint="eastAsia" w:ascii="仿宋" w:hAnsi="仿宋" w:eastAsia="仿宋" w:cs="仿宋"/>
                <w:sz w:val="24"/>
              </w:rPr>
              <w:t xml:space="preserve">6.提供拍照讲解功能。支持对学生作业、试卷、图片等拍照讲评功能；支持现场拍照和从图库调取图片讲解；支持图片旋转、图片裁剪等必要的处理功能；支持缩略图展示和滑屏浏览功能，点击缩略图可放大成单图模式；支持对单图进行批注。 </w:t>
            </w:r>
          </w:p>
          <w:p w14:paraId="6D690AF3">
            <w:pPr>
              <w:pStyle w:val="203"/>
              <w:ind w:left="107" w:right="95"/>
              <w:rPr>
                <w:rFonts w:ascii="仿宋" w:hAnsi="仿宋" w:eastAsia="仿宋" w:cs="仿宋"/>
                <w:sz w:val="24"/>
              </w:rPr>
            </w:pPr>
            <w:r>
              <w:rPr>
                <w:rFonts w:hint="eastAsia" w:ascii="仿宋" w:hAnsi="仿宋" w:eastAsia="仿宋" w:cs="仿宋"/>
                <w:sz w:val="24"/>
              </w:rPr>
              <w:t xml:space="preserve">7.提供实物展台功能。支持教师移动终端拍摄实时视频，进行同屏显示，支持保存视频并推送给学生。 </w:t>
            </w:r>
          </w:p>
          <w:p w14:paraId="3AD23D88">
            <w:pPr>
              <w:pStyle w:val="203"/>
              <w:ind w:left="107" w:right="98"/>
              <w:rPr>
                <w:rFonts w:ascii="仿宋" w:hAnsi="仿宋" w:eastAsia="仿宋" w:cs="仿宋"/>
                <w:sz w:val="24"/>
              </w:rPr>
            </w:pPr>
            <w:r>
              <w:rPr>
                <w:rFonts w:hint="eastAsia" w:ascii="仿宋" w:hAnsi="仿宋" w:eastAsia="仿宋" w:cs="仿宋"/>
                <w:sz w:val="24"/>
              </w:rPr>
              <w:t xml:space="preserve">8.提供白板教学功能。支持白板书写、放大、缩小、扩展、自由批注、擦除等功能，支持笔迹保存功能；支持将白板内容一键推送给学生。 </w:t>
            </w:r>
          </w:p>
          <w:p w14:paraId="61D7A703">
            <w:pPr>
              <w:pStyle w:val="203"/>
              <w:ind w:left="107"/>
              <w:rPr>
                <w:rFonts w:ascii="仿宋" w:hAnsi="仿宋" w:eastAsia="仿宋" w:cs="仿宋"/>
                <w:sz w:val="24"/>
              </w:rPr>
            </w:pPr>
            <w:r>
              <w:rPr>
                <w:rFonts w:hint="eastAsia" w:ascii="仿宋" w:hAnsi="仿宋" w:eastAsia="仿宋" w:cs="仿宋"/>
                <w:sz w:val="24"/>
              </w:rPr>
              <w:t>9.提供作业讲评功能。教师便捷调取课后作业进行讲评，支持查看班级全体、学生个体每题的答题情况，同时支持对典型答题进行展示、推送；支持多个学生的同屏对比讲评。</w:t>
            </w:r>
          </w:p>
          <w:p w14:paraId="1FD4DDF1">
            <w:pPr>
              <w:pStyle w:val="203"/>
              <w:ind w:left="107"/>
              <w:rPr>
                <w:rFonts w:ascii="仿宋" w:hAnsi="仿宋" w:eastAsia="仿宋" w:cs="仿宋"/>
                <w:sz w:val="24"/>
              </w:rPr>
            </w:pPr>
            <w:r>
              <w:rPr>
                <w:rFonts w:hint="eastAsia" w:ascii="仿宋" w:hAnsi="仿宋" w:eastAsia="仿宋" w:cs="仿宋"/>
                <w:sz w:val="24"/>
              </w:rPr>
              <w:t xml:space="preserve">10.提供微课录制功能。教师可在使用电子教材、PPT 课件、电子白板、图片、作业批改、第三方教学应用时进行微课录制，支持微课的导出、上传与推送功能。 </w:t>
            </w:r>
          </w:p>
          <w:p w14:paraId="414DCAAC">
            <w:pPr>
              <w:pStyle w:val="203"/>
              <w:ind w:left="107"/>
              <w:rPr>
                <w:rFonts w:ascii="仿宋" w:hAnsi="仿宋" w:eastAsia="仿宋" w:cs="仿宋"/>
                <w:sz w:val="24"/>
              </w:rPr>
            </w:pPr>
            <w:r>
              <w:rPr>
                <w:rFonts w:hint="eastAsia" w:ascii="仿宋" w:hAnsi="仿宋" w:eastAsia="仿宋" w:cs="仿宋"/>
                <w:sz w:val="24"/>
              </w:rPr>
              <w:t xml:space="preserve">11.提供小组学习功能。教师可通过手动或学生自主加入进行分组，教师可发送一个或多个话题至各小组，学生选择后进行分角色讨论学习，可查看话题相关学习文件资源，并由记录员提交学习成果；能进行临时小组学习，学生能查看所有话题内容，并自主选择小组及要讨论的话题，开始讨论后能进行组内在线交流。 </w:t>
            </w:r>
          </w:p>
          <w:p w14:paraId="4BCB8B71">
            <w:pPr>
              <w:pStyle w:val="203"/>
              <w:ind w:left="107"/>
              <w:rPr>
                <w:rFonts w:ascii="仿宋" w:hAnsi="仿宋" w:eastAsia="仿宋" w:cs="仿宋"/>
                <w:sz w:val="24"/>
              </w:rPr>
            </w:pPr>
            <w:r>
              <w:rPr>
                <w:rFonts w:hint="eastAsia" w:ascii="仿宋" w:hAnsi="仿宋" w:eastAsia="仿宋" w:cs="仿宋"/>
                <w:sz w:val="24"/>
              </w:rPr>
              <w:t xml:space="preserve">12.提供小组合作学习和自主学习、探究学习控制功能。教师可在课堂上根据教学进度开启或关闭小组学习和自主学习。 </w:t>
            </w:r>
          </w:p>
          <w:p w14:paraId="457708BF">
            <w:pPr>
              <w:pStyle w:val="203"/>
              <w:numPr>
                <w:ilvl w:val="0"/>
                <w:numId w:val="4"/>
              </w:numPr>
              <w:autoSpaceDE/>
              <w:autoSpaceDN/>
              <w:ind w:left="360" w:hanging="360"/>
              <w:jc w:val="both"/>
              <w:rPr>
                <w:rFonts w:ascii="仿宋" w:hAnsi="仿宋" w:eastAsia="仿宋" w:cs="仿宋"/>
                <w:sz w:val="24"/>
              </w:rPr>
            </w:pPr>
            <w:r>
              <w:rPr>
                <w:rFonts w:hint="eastAsia" w:ascii="仿宋" w:hAnsi="仿宋" w:eastAsia="仿宋" w:cs="仿宋"/>
                <w:sz w:val="24"/>
              </w:rPr>
              <w:t>课堂作业辅导</w:t>
            </w:r>
          </w:p>
          <w:p w14:paraId="343BA94B">
            <w:pPr>
              <w:pStyle w:val="203"/>
              <w:ind w:left="107"/>
              <w:rPr>
                <w:rFonts w:ascii="仿宋" w:hAnsi="仿宋" w:eastAsia="仿宋" w:cs="仿宋"/>
                <w:sz w:val="24"/>
              </w:rPr>
            </w:pPr>
            <w:r>
              <w:rPr>
                <w:rFonts w:hint="eastAsia" w:ascii="仿宋" w:hAnsi="仿宋" w:eastAsia="仿宋" w:cs="仿宋"/>
                <w:sz w:val="24"/>
              </w:rPr>
              <w:t xml:space="preserve">1.提供作业互动功能。支持全班作答、分组作答、抢答、随机选人等方式的课堂作业互动活动。 </w:t>
            </w:r>
          </w:p>
          <w:p w14:paraId="4C3766C4">
            <w:pPr>
              <w:pStyle w:val="203"/>
              <w:ind w:left="107"/>
              <w:rPr>
                <w:rFonts w:ascii="仿宋" w:hAnsi="仿宋" w:eastAsia="仿宋" w:cs="仿宋"/>
                <w:sz w:val="24"/>
              </w:rPr>
            </w:pPr>
            <w:r>
              <w:rPr>
                <w:rFonts w:hint="eastAsia" w:ascii="仿宋" w:hAnsi="仿宋" w:eastAsia="仿宋" w:cs="仿宋"/>
                <w:sz w:val="24"/>
              </w:rPr>
              <w:t xml:space="preserve">2. 提供利用已生成的作业或现场从自带题库、省平台提供的题库（暂无，后期建立，中标供应商须在该题库建立后，配合完成省平台题库需要的对接工作，具体对接内容以安徽省电化教育馆要求为准）中随机生成作业，教师选择后进行课堂作业辅导。 </w:t>
            </w:r>
          </w:p>
          <w:p w14:paraId="3AFB3589">
            <w:pPr>
              <w:pStyle w:val="203"/>
              <w:ind w:left="107"/>
              <w:rPr>
                <w:rFonts w:ascii="仿宋" w:hAnsi="仿宋" w:eastAsia="仿宋" w:cs="仿宋"/>
                <w:sz w:val="24"/>
              </w:rPr>
            </w:pPr>
            <w:r>
              <w:rPr>
                <w:rFonts w:hint="eastAsia" w:ascii="仿宋" w:hAnsi="仿宋" w:eastAsia="仿宋" w:cs="仿宋"/>
                <w:sz w:val="24"/>
              </w:rPr>
              <w:t xml:space="preserve">3.支持作业批改功能。 </w:t>
            </w:r>
          </w:p>
          <w:p w14:paraId="179C03F9">
            <w:pPr>
              <w:pStyle w:val="203"/>
              <w:ind w:left="107"/>
              <w:rPr>
                <w:rFonts w:ascii="仿宋" w:hAnsi="仿宋" w:eastAsia="仿宋" w:cs="仿宋"/>
                <w:sz w:val="24"/>
              </w:rPr>
            </w:pPr>
            <w:r>
              <w:rPr>
                <w:rFonts w:hint="eastAsia" w:ascii="仿宋" w:hAnsi="仿宋" w:eastAsia="仿宋" w:cs="仿宋"/>
                <w:sz w:val="24"/>
              </w:rPr>
              <w:t xml:space="preserve">4.提供生成作业分析报告功能。 </w:t>
            </w:r>
          </w:p>
          <w:p w14:paraId="6ED372DA">
            <w:pPr>
              <w:pStyle w:val="203"/>
              <w:ind w:left="107"/>
              <w:rPr>
                <w:rFonts w:ascii="仿宋" w:hAnsi="仿宋" w:eastAsia="仿宋" w:cs="仿宋"/>
                <w:sz w:val="24"/>
              </w:rPr>
            </w:pPr>
            <w:r>
              <w:rPr>
                <w:rFonts w:hint="eastAsia" w:ascii="仿宋" w:hAnsi="仿宋" w:eastAsia="仿宋" w:cs="仿宋"/>
                <w:sz w:val="24"/>
              </w:rPr>
              <w:t xml:space="preserve">5.提供本地作业题导入功能。 </w:t>
            </w:r>
          </w:p>
          <w:p w14:paraId="0B8F3226">
            <w:pPr>
              <w:pStyle w:val="203"/>
              <w:ind w:left="107"/>
              <w:rPr>
                <w:rFonts w:ascii="仿宋" w:hAnsi="仿宋" w:eastAsia="仿宋" w:cs="仿宋"/>
                <w:sz w:val="24"/>
              </w:rPr>
            </w:pPr>
            <w:r>
              <w:rPr>
                <w:rFonts w:hint="eastAsia" w:ascii="仿宋" w:hAnsi="仿宋" w:eastAsia="仿宋" w:cs="仿宋"/>
                <w:sz w:val="24"/>
              </w:rPr>
              <w:t xml:space="preserve">6.提供分学科分学生分时段生成分析报告功能。 </w:t>
            </w:r>
          </w:p>
          <w:p w14:paraId="7739E7C4">
            <w:pPr>
              <w:pStyle w:val="203"/>
              <w:ind w:left="107"/>
              <w:rPr>
                <w:rFonts w:ascii="仿宋" w:hAnsi="仿宋" w:eastAsia="仿宋" w:cs="仿宋"/>
                <w:sz w:val="24"/>
              </w:rPr>
            </w:pPr>
            <w:r>
              <w:rPr>
                <w:rFonts w:hint="eastAsia" w:ascii="仿宋" w:hAnsi="仿宋" w:eastAsia="仿宋" w:cs="仿宋"/>
                <w:sz w:val="24"/>
              </w:rPr>
              <w:t>7.提供报告推送功能。教师根据需要可将个人分析报告推送到学生个人空间。</w:t>
            </w:r>
          </w:p>
          <w:p w14:paraId="66C21B92">
            <w:pPr>
              <w:pStyle w:val="203"/>
              <w:ind w:left="107"/>
              <w:rPr>
                <w:rFonts w:ascii="仿宋" w:hAnsi="仿宋" w:eastAsia="仿宋" w:cs="仿宋"/>
                <w:sz w:val="24"/>
              </w:rPr>
            </w:pPr>
            <w:r>
              <w:rPr>
                <w:rFonts w:hint="eastAsia" w:ascii="仿宋" w:hAnsi="仿宋" w:eastAsia="仿宋" w:cs="仿宋"/>
                <w:sz w:val="24"/>
                <w:lang w:val="en-US"/>
              </w:rPr>
              <w:t>五、</w:t>
            </w:r>
            <w:r>
              <w:rPr>
                <w:rFonts w:hint="eastAsia" w:ascii="仿宋" w:hAnsi="仿宋" w:eastAsia="仿宋" w:cs="仿宋"/>
                <w:sz w:val="24"/>
              </w:rPr>
              <w:t>课后作业评价</w:t>
            </w:r>
          </w:p>
          <w:p w14:paraId="64DC7278">
            <w:pPr>
              <w:pStyle w:val="203"/>
              <w:ind w:left="107" w:right="95"/>
              <w:rPr>
                <w:rFonts w:ascii="仿宋" w:hAnsi="仿宋" w:eastAsia="仿宋" w:cs="仿宋"/>
                <w:sz w:val="24"/>
              </w:rPr>
            </w:pPr>
            <w:r>
              <w:rPr>
                <w:rFonts w:hint="eastAsia" w:ascii="仿宋" w:hAnsi="仿宋" w:eastAsia="仿宋" w:cs="仿宋"/>
                <w:sz w:val="24"/>
              </w:rPr>
              <w:t xml:space="preserve">1.提供作业布置功能。支持教师按教材、年级、学科、知识、题型、难易程度从自带题库、省平台提供的题库中选取作业题目，推送给学生个人空间。支持个性化作业功能，教师可分层分类布置作业，也可选择由系统根据前期预习和作业的完成情况智能推送个性化的学习资源和课后作业。 </w:t>
            </w:r>
          </w:p>
          <w:p w14:paraId="2A6E5CA1">
            <w:pPr>
              <w:pStyle w:val="203"/>
              <w:ind w:left="107"/>
              <w:rPr>
                <w:rFonts w:ascii="仿宋" w:hAnsi="仿宋" w:eastAsia="仿宋" w:cs="仿宋"/>
                <w:sz w:val="24"/>
              </w:rPr>
            </w:pPr>
            <w:r>
              <w:rPr>
                <w:rFonts w:hint="eastAsia" w:ascii="仿宋" w:hAnsi="仿宋" w:eastAsia="仿宋" w:cs="仿宋"/>
                <w:sz w:val="24"/>
              </w:rPr>
              <w:t xml:space="preserve">2.提供作业批改功能。同课堂作业对应功能。 </w:t>
            </w:r>
          </w:p>
          <w:p w14:paraId="3BB8748C">
            <w:pPr>
              <w:pStyle w:val="203"/>
              <w:ind w:left="107"/>
              <w:rPr>
                <w:rFonts w:ascii="仿宋" w:hAnsi="仿宋" w:eastAsia="仿宋" w:cs="仿宋"/>
                <w:sz w:val="24"/>
              </w:rPr>
            </w:pPr>
            <w:r>
              <w:rPr>
                <w:rFonts w:hint="eastAsia" w:ascii="仿宋" w:hAnsi="仿宋" w:eastAsia="仿宋" w:cs="仿宋"/>
                <w:sz w:val="24"/>
              </w:rPr>
              <w:t xml:space="preserve">3.提供解题过程录制功能。同课堂教学录制功能。 </w:t>
            </w:r>
          </w:p>
          <w:p w14:paraId="1FF5CA49">
            <w:pPr>
              <w:pStyle w:val="203"/>
              <w:ind w:left="107"/>
              <w:rPr>
                <w:rFonts w:ascii="仿宋" w:hAnsi="仿宋" w:eastAsia="仿宋" w:cs="仿宋"/>
                <w:sz w:val="24"/>
              </w:rPr>
            </w:pPr>
            <w:r>
              <w:rPr>
                <w:rFonts w:hint="eastAsia" w:ascii="仿宋" w:hAnsi="仿宋" w:eastAsia="仿宋" w:cs="仿宋"/>
                <w:sz w:val="24"/>
              </w:rPr>
              <w:t xml:space="preserve">4.提供作业重做功能。教师在批改作业时，可指定学生重做某题或多题。 </w:t>
            </w:r>
          </w:p>
          <w:p w14:paraId="14973ED6">
            <w:pPr>
              <w:pStyle w:val="203"/>
              <w:ind w:left="107"/>
              <w:rPr>
                <w:rFonts w:ascii="仿宋" w:hAnsi="仿宋" w:eastAsia="仿宋" w:cs="仿宋"/>
                <w:sz w:val="24"/>
              </w:rPr>
            </w:pPr>
            <w:r>
              <w:rPr>
                <w:rFonts w:hint="eastAsia" w:ascii="仿宋" w:hAnsi="仿宋" w:eastAsia="仿宋" w:cs="仿宋"/>
                <w:sz w:val="24"/>
              </w:rPr>
              <w:t>5.提供生成作业分析报告功能。同课堂作业对应功能。</w:t>
            </w:r>
          </w:p>
          <w:p w14:paraId="429DCC7B">
            <w:pPr>
              <w:pStyle w:val="203"/>
              <w:ind w:left="107"/>
              <w:rPr>
                <w:rFonts w:ascii="仿宋" w:hAnsi="仿宋" w:eastAsia="仿宋" w:cs="仿宋"/>
                <w:sz w:val="24"/>
              </w:rPr>
            </w:pPr>
            <w:r>
              <w:rPr>
                <w:rFonts w:hint="eastAsia" w:ascii="仿宋" w:hAnsi="仿宋" w:eastAsia="仿宋" w:cs="仿宋"/>
                <w:sz w:val="24"/>
              </w:rPr>
              <w:t>6.提供报告推送功能。同课堂作业对应功能。</w:t>
            </w:r>
          </w:p>
          <w:p w14:paraId="4873601B">
            <w:pPr>
              <w:pStyle w:val="203"/>
              <w:ind w:left="107"/>
              <w:rPr>
                <w:rFonts w:ascii="仿宋" w:hAnsi="仿宋" w:eastAsia="仿宋" w:cs="仿宋"/>
                <w:sz w:val="24"/>
              </w:rPr>
            </w:pPr>
            <w:r>
              <w:rPr>
                <w:rFonts w:hint="eastAsia" w:ascii="仿宋" w:hAnsi="仿宋" w:eastAsia="仿宋" w:cs="仿宋"/>
                <w:sz w:val="24"/>
                <w:lang w:val="en-US"/>
              </w:rPr>
              <w:t>六、</w:t>
            </w:r>
            <w:r>
              <w:rPr>
                <w:rFonts w:hint="eastAsia" w:ascii="仿宋" w:hAnsi="仿宋" w:eastAsia="仿宋" w:cs="仿宋"/>
                <w:sz w:val="24"/>
              </w:rPr>
              <w:t xml:space="preserve">教学评价 </w:t>
            </w:r>
          </w:p>
          <w:p w14:paraId="785D1C91">
            <w:pPr>
              <w:pStyle w:val="203"/>
              <w:ind w:left="107" w:right="-15"/>
              <w:rPr>
                <w:rFonts w:ascii="仿宋" w:hAnsi="仿宋" w:eastAsia="仿宋" w:cs="仿宋"/>
                <w:sz w:val="24"/>
              </w:rPr>
            </w:pPr>
            <w:r>
              <w:rPr>
                <w:rFonts w:hint="eastAsia" w:ascii="仿宋" w:hAnsi="仿宋" w:eastAsia="仿宋" w:cs="仿宋"/>
                <w:sz w:val="24"/>
              </w:rPr>
              <w:t xml:space="preserve">1.根据教学和学习的行为数据自动生成分析报告，为教师的教学提供决策支撑， 帮助教师精准化、个性化教学。 </w:t>
            </w:r>
          </w:p>
          <w:p w14:paraId="7016C6B7">
            <w:pPr>
              <w:pStyle w:val="203"/>
              <w:ind w:left="107" w:right="101"/>
              <w:rPr>
                <w:rFonts w:ascii="仿宋" w:hAnsi="仿宋" w:eastAsia="仿宋" w:cs="仿宋"/>
                <w:sz w:val="24"/>
              </w:rPr>
            </w:pPr>
            <w:r>
              <w:rPr>
                <w:rFonts w:hint="eastAsia" w:ascii="仿宋" w:hAnsi="仿宋" w:eastAsia="仿宋" w:cs="仿宋"/>
                <w:sz w:val="24"/>
              </w:rPr>
              <w:t xml:space="preserve">（1）提供根据教师智慧课堂使用数据生成教师数据分析功能，指导教师认识个人教学特征，实现精准化教学，辅助教研分析; </w:t>
            </w:r>
          </w:p>
          <w:p w14:paraId="3331A381">
            <w:pPr>
              <w:pStyle w:val="203"/>
              <w:ind w:left="107" w:right="99"/>
              <w:rPr>
                <w:rFonts w:ascii="仿宋" w:hAnsi="仿宋" w:eastAsia="仿宋" w:cs="仿宋"/>
                <w:sz w:val="24"/>
              </w:rPr>
            </w:pPr>
            <w:r>
              <w:rPr>
                <w:rFonts w:hint="eastAsia" w:ascii="仿宋" w:hAnsi="仿宋" w:eastAsia="仿宋" w:cs="仿宋"/>
                <w:sz w:val="24"/>
              </w:rPr>
              <w:t xml:space="preserve">（2）提供学生各学科作业完成情况分析功能，知识掌握情况，帮助教师认识各学生特征分析，支持全班学生总体作业成绩和学生作业完成效率分析，依据课堂表现生成学生画像。 </w:t>
            </w:r>
          </w:p>
          <w:p w14:paraId="485BEF4F">
            <w:pPr>
              <w:ind w:firstLine="120" w:firstLineChars="50"/>
              <w:rPr>
                <w:rFonts w:ascii="仿宋" w:hAnsi="仿宋" w:eastAsia="仿宋" w:cs="仿宋"/>
                <w:sz w:val="24"/>
              </w:rPr>
            </w:pPr>
            <w:r>
              <w:rPr>
                <w:rFonts w:hint="eastAsia" w:ascii="仿宋" w:hAnsi="仿宋" w:eastAsia="仿宋" w:cs="仿宋"/>
                <w:sz w:val="24"/>
              </w:rPr>
              <w:t>2.提供评价分析报告推送功能（支持推送至家长手机或其他软件，便于家长及时了解学生信息）。</w:t>
            </w:r>
          </w:p>
        </w:tc>
        <w:tc>
          <w:tcPr>
            <w:tcW w:w="470" w:type="dxa"/>
            <w:vAlign w:val="center"/>
          </w:tcPr>
          <w:p w14:paraId="408F6771">
            <w:pPr>
              <w:jc w:val="center"/>
              <w:rPr>
                <w:rFonts w:ascii="仿宋" w:hAnsi="仿宋" w:eastAsia="仿宋" w:cs="仿宋"/>
                <w:sz w:val="24"/>
              </w:rPr>
            </w:pPr>
            <w:r>
              <w:rPr>
                <w:rFonts w:hint="eastAsia" w:ascii="仿宋" w:hAnsi="仿宋" w:eastAsia="仿宋" w:cs="仿宋"/>
                <w:sz w:val="24"/>
              </w:rPr>
              <w:t>套</w:t>
            </w:r>
          </w:p>
        </w:tc>
        <w:tc>
          <w:tcPr>
            <w:tcW w:w="584" w:type="dxa"/>
            <w:vAlign w:val="center"/>
          </w:tcPr>
          <w:p w14:paraId="235B0648">
            <w:pPr>
              <w:jc w:val="center"/>
              <w:rPr>
                <w:rFonts w:ascii="仿宋" w:hAnsi="仿宋" w:eastAsia="仿宋" w:cs="仿宋"/>
                <w:sz w:val="24"/>
              </w:rPr>
            </w:pPr>
            <w:r>
              <w:rPr>
                <w:rFonts w:hint="eastAsia" w:ascii="仿宋" w:hAnsi="仿宋" w:eastAsia="仿宋" w:cs="仿宋"/>
                <w:sz w:val="24"/>
              </w:rPr>
              <w:t>12</w:t>
            </w:r>
          </w:p>
        </w:tc>
      </w:tr>
      <w:tr w14:paraId="4CEB3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4" w:hRule="atLeast"/>
        </w:trPr>
        <w:tc>
          <w:tcPr>
            <w:tcW w:w="456" w:type="dxa"/>
            <w:vAlign w:val="center"/>
          </w:tcPr>
          <w:p w14:paraId="1D180E3A">
            <w:pPr>
              <w:jc w:val="center"/>
              <w:rPr>
                <w:rFonts w:ascii="仿宋" w:hAnsi="仿宋" w:eastAsia="仿宋" w:cs="仿宋"/>
                <w:sz w:val="24"/>
              </w:rPr>
            </w:pPr>
            <w:r>
              <w:rPr>
                <w:rFonts w:hint="eastAsia" w:ascii="仿宋" w:hAnsi="仿宋" w:eastAsia="仿宋" w:cs="仿宋"/>
                <w:sz w:val="24"/>
              </w:rPr>
              <w:t>2</w:t>
            </w:r>
          </w:p>
        </w:tc>
        <w:tc>
          <w:tcPr>
            <w:tcW w:w="751" w:type="dxa"/>
            <w:vAlign w:val="center"/>
          </w:tcPr>
          <w:p w14:paraId="37077B95">
            <w:pPr>
              <w:jc w:val="center"/>
              <w:rPr>
                <w:rFonts w:ascii="仿宋" w:hAnsi="仿宋" w:eastAsia="仿宋" w:cs="仿宋"/>
                <w:sz w:val="24"/>
              </w:rPr>
            </w:pPr>
            <w:r>
              <w:rPr>
                <w:rFonts w:hint="eastAsia" w:ascii="仿宋" w:hAnsi="仿宋" w:eastAsia="仿宋" w:cs="仿宋"/>
                <w:sz w:val="24"/>
              </w:rPr>
              <w:t>▲</w:t>
            </w:r>
          </w:p>
          <w:p w14:paraId="3A720BBA">
            <w:pPr>
              <w:jc w:val="center"/>
              <w:rPr>
                <w:rFonts w:ascii="仿宋" w:hAnsi="仿宋" w:eastAsia="仿宋" w:cs="仿宋"/>
                <w:sz w:val="24"/>
              </w:rPr>
            </w:pPr>
            <w:r>
              <w:rPr>
                <w:rFonts w:hint="eastAsia" w:ascii="仿宋" w:hAnsi="仿宋" w:eastAsia="仿宋" w:cs="仿宋"/>
                <w:sz w:val="24"/>
              </w:rPr>
              <w:t>教师移动终端设备</w:t>
            </w:r>
          </w:p>
        </w:tc>
        <w:tc>
          <w:tcPr>
            <w:tcW w:w="7708" w:type="dxa"/>
          </w:tcPr>
          <w:p w14:paraId="68CD370E">
            <w:pPr>
              <w:pStyle w:val="203"/>
              <w:tabs>
                <w:tab w:val="left" w:pos="312"/>
              </w:tabs>
              <w:ind w:left="107"/>
              <w:rPr>
                <w:rFonts w:ascii="仿宋" w:hAnsi="仿宋" w:eastAsia="仿宋" w:cs="仿宋"/>
                <w:sz w:val="24"/>
              </w:rPr>
            </w:pPr>
            <w:r>
              <w:rPr>
                <w:rFonts w:hint="eastAsia" w:ascii="仿宋" w:hAnsi="仿宋" w:eastAsia="仿宋" w:cs="仿宋"/>
                <w:sz w:val="24"/>
              </w:rPr>
              <w:t xml:space="preserve">1.屏幕尺寸：10.4英寸及以上, 预装操作系统。 </w:t>
            </w:r>
          </w:p>
          <w:p w14:paraId="406E9C05">
            <w:pPr>
              <w:pStyle w:val="203"/>
              <w:tabs>
                <w:tab w:val="left" w:pos="312"/>
              </w:tabs>
              <w:ind w:left="107"/>
              <w:rPr>
                <w:rFonts w:ascii="仿宋" w:hAnsi="仿宋" w:eastAsia="仿宋" w:cs="仿宋"/>
                <w:sz w:val="24"/>
              </w:rPr>
            </w:pPr>
            <w:r>
              <w:rPr>
                <w:rFonts w:hint="eastAsia" w:ascii="仿宋" w:hAnsi="仿宋" w:eastAsia="仿宋" w:cs="仿宋"/>
                <w:sz w:val="24"/>
                <w:lang w:val="en-US"/>
              </w:rPr>
              <w:t>2.核</w:t>
            </w:r>
            <w:r>
              <w:rPr>
                <w:rFonts w:hint="eastAsia" w:ascii="仿宋" w:hAnsi="仿宋" w:eastAsia="仿宋" w:cs="仿宋"/>
                <w:sz w:val="24"/>
              </w:rPr>
              <w:t>心数量：八核处理器，CPU 主频：2.0GHZ。</w:t>
            </w:r>
          </w:p>
          <w:p w14:paraId="53A2B5CC">
            <w:pPr>
              <w:pStyle w:val="203"/>
              <w:ind w:left="107"/>
              <w:rPr>
                <w:rFonts w:ascii="仿宋" w:hAnsi="仿宋" w:eastAsia="仿宋" w:cs="仿宋"/>
                <w:sz w:val="24"/>
              </w:rPr>
            </w:pPr>
            <w:r>
              <w:rPr>
                <w:rFonts w:hint="eastAsia" w:ascii="仿宋" w:hAnsi="仿宋" w:eastAsia="仿宋" w:cs="仿宋"/>
                <w:sz w:val="24"/>
              </w:rPr>
              <w:t xml:space="preserve">3.内存容量： 6G。 </w:t>
            </w:r>
          </w:p>
          <w:p w14:paraId="2FEB2FCF">
            <w:pPr>
              <w:pStyle w:val="203"/>
              <w:ind w:left="107"/>
              <w:rPr>
                <w:rFonts w:ascii="仿宋" w:hAnsi="仿宋" w:eastAsia="仿宋" w:cs="仿宋"/>
                <w:sz w:val="24"/>
              </w:rPr>
            </w:pPr>
            <w:r>
              <w:rPr>
                <w:rFonts w:hint="eastAsia" w:ascii="仿宋" w:hAnsi="仿宋" w:eastAsia="仿宋" w:cs="仿宋"/>
                <w:sz w:val="24"/>
              </w:rPr>
              <w:t>4.存储容量：≥128GB ，可扩展。</w:t>
            </w:r>
          </w:p>
          <w:p w14:paraId="0FB28E06">
            <w:pPr>
              <w:pStyle w:val="203"/>
              <w:ind w:left="107"/>
              <w:rPr>
                <w:rFonts w:ascii="仿宋" w:hAnsi="仿宋" w:eastAsia="仿宋" w:cs="仿宋"/>
                <w:sz w:val="24"/>
              </w:rPr>
            </w:pPr>
            <w:r>
              <w:rPr>
                <w:rFonts w:hint="eastAsia" w:ascii="仿宋" w:hAnsi="仿宋" w:eastAsia="仿宋" w:cs="仿宋"/>
                <w:sz w:val="24"/>
              </w:rPr>
              <w:t xml:space="preserve">5.屏幕类型：IPS，分辨率≥1920x1200。 </w:t>
            </w:r>
          </w:p>
          <w:p w14:paraId="3920382D">
            <w:pPr>
              <w:pStyle w:val="203"/>
              <w:ind w:left="107"/>
              <w:rPr>
                <w:rFonts w:ascii="仿宋" w:hAnsi="仿宋" w:eastAsia="仿宋" w:cs="仿宋"/>
                <w:sz w:val="24"/>
              </w:rPr>
            </w:pPr>
            <w:r>
              <w:rPr>
                <w:rFonts w:hint="eastAsia" w:ascii="仿宋" w:hAnsi="仿宋" w:eastAsia="仿宋" w:cs="仿宋"/>
                <w:sz w:val="24"/>
              </w:rPr>
              <w:t>6.前置摄像头≥</w:t>
            </w:r>
            <w:r>
              <w:rPr>
                <w:rFonts w:hint="eastAsia" w:ascii="仿宋" w:hAnsi="仿宋" w:eastAsia="仿宋" w:cs="仿宋"/>
                <w:sz w:val="24"/>
                <w:lang w:val="en-US"/>
              </w:rPr>
              <w:t>800</w:t>
            </w:r>
            <w:r>
              <w:rPr>
                <w:rFonts w:hint="eastAsia" w:ascii="仿宋" w:hAnsi="仿宋" w:eastAsia="仿宋" w:cs="仿宋"/>
                <w:sz w:val="24"/>
              </w:rPr>
              <w:t>万像素，后置摄像头≥</w:t>
            </w:r>
            <w:r>
              <w:rPr>
                <w:rFonts w:hint="eastAsia" w:ascii="仿宋" w:hAnsi="仿宋" w:eastAsia="仿宋" w:cs="仿宋"/>
                <w:sz w:val="24"/>
                <w:lang w:val="en-US"/>
              </w:rPr>
              <w:t>1300</w:t>
            </w:r>
            <w:r>
              <w:rPr>
                <w:rFonts w:hint="eastAsia" w:ascii="仿宋" w:hAnsi="仿宋" w:eastAsia="仿宋" w:cs="仿宋"/>
                <w:sz w:val="24"/>
              </w:rPr>
              <w:t xml:space="preserve">万像素。 </w:t>
            </w:r>
          </w:p>
          <w:p w14:paraId="2D42BA51">
            <w:pPr>
              <w:pStyle w:val="203"/>
              <w:ind w:left="107"/>
              <w:rPr>
                <w:rFonts w:ascii="仿宋" w:hAnsi="仿宋" w:eastAsia="仿宋" w:cs="仿宋"/>
                <w:sz w:val="24"/>
              </w:rPr>
            </w:pPr>
            <w:r>
              <w:rPr>
                <w:rFonts w:hint="eastAsia" w:ascii="仿宋" w:hAnsi="仿宋" w:eastAsia="仿宋" w:cs="仿宋"/>
                <w:sz w:val="24"/>
              </w:rPr>
              <w:t xml:space="preserve">7.支持无线蓝牙。 </w:t>
            </w:r>
          </w:p>
          <w:p w14:paraId="01E9F5CB">
            <w:pPr>
              <w:pStyle w:val="203"/>
              <w:ind w:left="107" w:right="2018"/>
              <w:rPr>
                <w:rFonts w:ascii="仿宋" w:hAnsi="仿宋" w:eastAsia="仿宋" w:cs="仿宋"/>
                <w:sz w:val="24"/>
              </w:rPr>
            </w:pPr>
            <w:r>
              <w:rPr>
                <w:rFonts w:hint="eastAsia" w:ascii="仿宋" w:hAnsi="仿宋" w:eastAsia="仿宋" w:cs="仿宋"/>
                <w:sz w:val="24"/>
              </w:rPr>
              <w:t>8.WiFi 功能：双频 2.4GHz+5GHz，支持 802.11a/b/g/n /ac 无线协议。</w:t>
            </w:r>
          </w:p>
          <w:p w14:paraId="0BA2C5AF">
            <w:pPr>
              <w:pStyle w:val="203"/>
              <w:ind w:left="107"/>
              <w:rPr>
                <w:rFonts w:ascii="仿宋" w:hAnsi="仿宋" w:eastAsia="仿宋" w:cs="仿宋"/>
                <w:sz w:val="24"/>
              </w:rPr>
            </w:pPr>
            <w:r>
              <w:rPr>
                <w:rFonts w:hint="eastAsia" w:ascii="仿宋" w:hAnsi="仿宋" w:eastAsia="仿宋" w:cs="仿宋"/>
                <w:sz w:val="24"/>
              </w:rPr>
              <w:t xml:space="preserve">9.配置皮套和手写笔。 </w:t>
            </w:r>
          </w:p>
          <w:p w14:paraId="4C0800D7">
            <w:pPr>
              <w:pStyle w:val="203"/>
              <w:ind w:left="107"/>
              <w:rPr>
                <w:rFonts w:ascii="仿宋" w:hAnsi="仿宋" w:eastAsia="仿宋" w:cs="仿宋"/>
                <w:sz w:val="24"/>
              </w:rPr>
            </w:pPr>
            <w:r>
              <w:rPr>
                <w:rFonts w:hint="eastAsia" w:ascii="仿宋" w:hAnsi="仿宋" w:eastAsia="仿宋" w:cs="仿宋"/>
                <w:sz w:val="24"/>
              </w:rPr>
              <w:t>10．终端电池容量≥</w:t>
            </w:r>
            <w:r>
              <w:rPr>
                <w:rFonts w:hint="eastAsia" w:ascii="仿宋" w:hAnsi="仿宋" w:eastAsia="仿宋" w:cs="仿宋"/>
                <w:sz w:val="24"/>
                <w:lang w:val="en-US"/>
              </w:rPr>
              <w:t>70</w:t>
            </w:r>
            <w:r>
              <w:rPr>
                <w:rFonts w:hint="eastAsia" w:ascii="仿宋" w:hAnsi="仿宋" w:eastAsia="仿宋" w:cs="仿宋"/>
                <w:sz w:val="24"/>
              </w:rPr>
              <w:t>00mAh。</w:t>
            </w:r>
          </w:p>
          <w:p w14:paraId="3EF1E048">
            <w:pPr>
              <w:pStyle w:val="203"/>
              <w:ind w:left="107"/>
              <w:rPr>
                <w:rFonts w:ascii="仿宋" w:hAnsi="仿宋" w:eastAsia="仿宋" w:cs="仿宋"/>
                <w:sz w:val="24"/>
              </w:rPr>
            </w:pPr>
            <w:r>
              <w:rPr>
                <w:rFonts w:hint="eastAsia" w:ascii="仿宋" w:hAnsi="仿宋" w:eastAsia="仿宋" w:cs="仿宋"/>
                <w:sz w:val="24"/>
              </w:rPr>
              <w:t>11. 具有防蓝光护眼功能、防摔功能（带皮套 70cm 瓷砖或水泥地面掉落无损坏）,</w:t>
            </w:r>
            <w:r>
              <w:rPr>
                <w:rFonts w:hint="eastAsia" w:ascii="仿宋" w:hAnsi="仿宋" w:eastAsia="仿宋" w:cs="仿宋"/>
                <w:b/>
                <w:sz w:val="24"/>
              </w:rPr>
              <w:t>投标文件提供所投教师移动终端产品生产厂商出具的满足本项功能的承诺函。</w:t>
            </w:r>
          </w:p>
          <w:p w14:paraId="7E3DFDE4">
            <w:pPr>
              <w:rPr>
                <w:rFonts w:ascii="仿宋" w:hAnsi="仿宋" w:eastAsia="仿宋" w:cs="仿宋"/>
                <w:b/>
                <w:sz w:val="24"/>
              </w:rPr>
            </w:pPr>
            <w:r>
              <w:rPr>
                <w:rFonts w:hint="eastAsia" w:ascii="仿宋" w:hAnsi="仿宋" w:eastAsia="仿宋" w:cs="仿宋"/>
                <w:b/>
                <w:sz w:val="24"/>
              </w:rPr>
              <w:t>★12.投标文件中提供3C认证和产品检验合格证书（报告）复印件。</w:t>
            </w:r>
          </w:p>
          <w:p w14:paraId="6D8429B6">
            <w:pPr>
              <w:rPr>
                <w:rFonts w:ascii="仿宋" w:hAnsi="仿宋" w:eastAsia="仿宋" w:cs="仿宋"/>
                <w:sz w:val="24"/>
              </w:rPr>
            </w:pPr>
            <w:r>
              <w:rPr>
                <w:rFonts w:hint="eastAsia" w:ascii="仿宋" w:hAnsi="仿宋" w:eastAsia="仿宋" w:cs="仿宋"/>
                <w:sz w:val="24"/>
              </w:rPr>
              <w:t>★</w:t>
            </w:r>
            <w:r>
              <w:rPr>
                <w:rFonts w:hint="eastAsia" w:ascii="仿宋" w:hAnsi="仿宋" w:eastAsia="仿宋" w:cs="仿宋"/>
                <w:b/>
                <w:bCs/>
                <w:sz w:val="24"/>
              </w:rPr>
              <w:t>13.</w:t>
            </w:r>
            <w:r>
              <w:rPr>
                <w:rFonts w:hint="eastAsia" w:ascii="仿宋" w:hAnsi="仿宋" w:eastAsia="仿宋" w:cs="仿宋"/>
                <w:b/>
                <w:sz w:val="24"/>
              </w:rPr>
              <w:t>投标文件中</w:t>
            </w:r>
            <w:r>
              <w:rPr>
                <w:rFonts w:hint="eastAsia" w:ascii="仿宋" w:hAnsi="仿宋" w:eastAsia="仿宋" w:cs="仿宋"/>
                <w:b/>
                <w:bCs/>
                <w:sz w:val="24"/>
              </w:rPr>
              <w:t>提供由工信部颁发的该型号产品有效的无线电发射设备型号核准证书复印件。</w:t>
            </w:r>
          </w:p>
        </w:tc>
        <w:tc>
          <w:tcPr>
            <w:tcW w:w="470" w:type="dxa"/>
            <w:vAlign w:val="center"/>
          </w:tcPr>
          <w:p w14:paraId="5C142A05">
            <w:pPr>
              <w:jc w:val="center"/>
              <w:rPr>
                <w:rFonts w:ascii="仿宋" w:hAnsi="仿宋" w:eastAsia="仿宋" w:cs="仿宋"/>
                <w:sz w:val="24"/>
              </w:rPr>
            </w:pPr>
            <w:r>
              <w:rPr>
                <w:rFonts w:hint="eastAsia" w:ascii="仿宋" w:hAnsi="仿宋" w:eastAsia="仿宋" w:cs="仿宋"/>
                <w:sz w:val="24"/>
              </w:rPr>
              <w:t>台</w:t>
            </w:r>
          </w:p>
        </w:tc>
        <w:tc>
          <w:tcPr>
            <w:tcW w:w="584" w:type="dxa"/>
            <w:vAlign w:val="center"/>
          </w:tcPr>
          <w:p w14:paraId="16DE47FB">
            <w:pPr>
              <w:jc w:val="center"/>
              <w:rPr>
                <w:rFonts w:ascii="仿宋" w:hAnsi="仿宋" w:eastAsia="仿宋" w:cs="仿宋"/>
                <w:sz w:val="24"/>
              </w:rPr>
            </w:pPr>
            <w:r>
              <w:rPr>
                <w:rFonts w:hint="eastAsia" w:ascii="仿宋" w:hAnsi="仿宋" w:eastAsia="仿宋" w:cs="仿宋"/>
                <w:sz w:val="24"/>
              </w:rPr>
              <w:t>12</w:t>
            </w:r>
          </w:p>
        </w:tc>
      </w:tr>
      <w:tr w14:paraId="11D50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6" w:hRule="atLeast"/>
        </w:trPr>
        <w:tc>
          <w:tcPr>
            <w:tcW w:w="456" w:type="dxa"/>
            <w:vAlign w:val="center"/>
          </w:tcPr>
          <w:p w14:paraId="1EAA8063">
            <w:pPr>
              <w:jc w:val="center"/>
              <w:rPr>
                <w:rFonts w:ascii="仿宋" w:hAnsi="仿宋" w:eastAsia="仿宋" w:cs="仿宋"/>
                <w:sz w:val="24"/>
              </w:rPr>
            </w:pPr>
            <w:r>
              <w:rPr>
                <w:rFonts w:hint="eastAsia" w:ascii="仿宋" w:hAnsi="仿宋" w:eastAsia="仿宋" w:cs="仿宋"/>
                <w:sz w:val="24"/>
              </w:rPr>
              <w:t>3</w:t>
            </w:r>
          </w:p>
        </w:tc>
        <w:tc>
          <w:tcPr>
            <w:tcW w:w="751" w:type="dxa"/>
            <w:vAlign w:val="center"/>
          </w:tcPr>
          <w:p w14:paraId="65605975">
            <w:pPr>
              <w:jc w:val="center"/>
              <w:rPr>
                <w:rFonts w:ascii="仿宋" w:hAnsi="仿宋" w:eastAsia="仿宋" w:cs="仿宋"/>
                <w:sz w:val="24"/>
              </w:rPr>
            </w:pPr>
            <w:r>
              <w:rPr>
                <w:rFonts w:hint="eastAsia" w:ascii="仿宋" w:hAnsi="仿宋" w:eastAsia="仿宋" w:cs="仿宋"/>
                <w:sz w:val="24"/>
              </w:rPr>
              <w:t>▲</w:t>
            </w:r>
          </w:p>
          <w:p w14:paraId="7F7021DD">
            <w:pPr>
              <w:jc w:val="center"/>
              <w:rPr>
                <w:rFonts w:ascii="仿宋" w:hAnsi="仿宋" w:eastAsia="仿宋" w:cs="仿宋"/>
                <w:sz w:val="24"/>
              </w:rPr>
            </w:pPr>
            <w:r>
              <w:rPr>
                <w:rFonts w:hint="eastAsia" w:ascii="仿宋" w:hAnsi="仿宋" w:eastAsia="仿宋" w:cs="仿宋"/>
                <w:sz w:val="24"/>
              </w:rPr>
              <w:t>学生学习系统</w:t>
            </w:r>
          </w:p>
        </w:tc>
        <w:tc>
          <w:tcPr>
            <w:tcW w:w="7708" w:type="dxa"/>
          </w:tcPr>
          <w:p w14:paraId="6FFAB0DF">
            <w:pPr>
              <w:numPr>
                <w:ilvl w:val="0"/>
                <w:numId w:val="5"/>
              </w:numPr>
              <w:snapToGrid w:val="0"/>
              <w:rPr>
                <w:rFonts w:ascii="仿宋" w:hAnsi="仿宋" w:eastAsia="仿宋" w:cs="仿宋"/>
                <w:sz w:val="24"/>
              </w:rPr>
            </w:pPr>
            <w:r>
              <w:rPr>
                <w:rFonts w:hint="eastAsia" w:ascii="仿宋" w:hAnsi="仿宋" w:eastAsia="仿宋" w:cs="仿宋"/>
                <w:sz w:val="24"/>
              </w:rPr>
              <w:t>课前预习功能</w:t>
            </w:r>
          </w:p>
          <w:p w14:paraId="16CF1B10">
            <w:pPr>
              <w:pStyle w:val="203"/>
              <w:ind w:left="107"/>
              <w:rPr>
                <w:rFonts w:ascii="仿宋" w:hAnsi="仿宋" w:eastAsia="仿宋" w:cs="仿宋"/>
                <w:sz w:val="24"/>
              </w:rPr>
            </w:pPr>
            <w:r>
              <w:rPr>
                <w:rFonts w:hint="eastAsia" w:ascii="仿宋" w:hAnsi="仿宋" w:eastAsia="仿宋" w:cs="仿宋"/>
                <w:sz w:val="24"/>
              </w:rPr>
              <w:t xml:space="preserve">1.提供学生查看教师推送的课前预习资源进行在线学习和记录学习笔记功能。 </w:t>
            </w:r>
          </w:p>
          <w:p w14:paraId="3A836BE8">
            <w:pPr>
              <w:pStyle w:val="3"/>
              <w:ind w:firstLine="120" w:firstLineChars="50"/>
              <w:rPr>
                <w:rFonts w:ascii="仿宋" w:hAnsi="仿宋" w:eastAsia="仿宋" w:cs="仿宋"/>
                <w:kern w:val="0"/>
                <w:sz w:val="24"/>
                <w:lang w:val="zh-CN" w:bidi="zh-CN"/>
              </w:rPr>
            </w:pPr>
            <w:r>
              <w:rPr>
                <w:rFonts w:hint="eastAsia" w:ascii="仿宋" w:hAnsi="仿宋" w:eastAsia="仿宋" w:cs="仿宋"/>
                <w:kern w:val="0"/>
                <w:sz w:val="24"/>
                <w:lang w:val="zh-CN" w:bidi="zh-CN"/>
              </w:rPr>
              <w:t>2.提供学生对教师推送的作业进行作答功能。</w:t>
            </w:r>
          </w:p>
          <w:p w14:paraId="365B9901">
            <w:pPr>
              <w:pStyle w:val="4"/>
              <w:rPr>
                <w:rFonts w:ascii="仿宋" w:hAnsi="仿宋" w:eastAsia="仿宋" w:cs="仿宋"/>
                <w:sz w:val="24"/>
                <w:szCs w:val="24"/>
              </w:rPr>
            </w:pPr>
            <w:r>
              <w:rPr>
                <w:rFonts w:hint="eastAsia" w:ascii="仿宋" w:hAnsi="仿宋" w:eastAsia="仿宋" w:cs="仿宋"/>
                <w:sz w:val="24"/>
                <w:szCs w:val="24"/>
              </w:rPr>
              <w:t xml:space="preserve">二、课堂互动参与功能 </w:t>
            </w:r>
          </w:p>
          <w:p w14:paraId="2EB80A15">
            <w:pPr>
              <w:pStyle w:val="203"/>
              <w:ind w:left="107" w:right="-29"/>
              <w:rPr>
                <w:rFonts w:ascii="仿宋" w:hAnsi="仿宋" w:eastAsia="仿宋" w:cs="仿宋"/>
                <w:sz w:val="24"/>
              </w:rPr>
            </w:pPr>
            <w:r>
              <w:rPr>
                <w:rFonts w:hint="eastAsia" w:ascii="仿宋" w:hAnsi="仿宋" w:eastAsia="仿宋" w:cs="仿宋"/>
                <w:sz w:val="24"/>
              </w:rPr>
              <w:t xml:space="preserve">1.提供学生通过移动终端完成教师下发的随堂测试题目功能，并支持勾选、拍照、批注作答等方式提交答案，提交后即时生成统计分析报告。 </w:t>
            </w:r>
          </w:p>
          <w:p w14:paraId="63CF9438">
            <w:pPr>
              <w:pStyle w:val="203"/>
              <w:ind w:left="107"/>
              <w:rPr>
                <w:rFonts w:ascii="仿宋" w:hAnsi="仿宋" w:eastAsia="仿宋" w:cs="仿宋"/>
                <w:sz w:val="24"/>
              </w:rPr>
            </w:pPr>
            <w:r>
              <w:rPr>
                <w:rFonts w:hint="eastAsia" w:ascii="仿宋" w:hAnsi="仿宋" w:eastAsia="仿宋" w:cs="仿宋"/>
                <w:sz w:val="24"/>
              </w:rPr>
              <w:t xml:space="preserve">2.支持收藏习题或教师推送的内容。 </w:t>
            </w:r>
          </w:p>
          <w:p w14:paraId="6A14F047">
            <w:pPr>
              <w:pStyle w:val="4"/>
              <w:ind w:firstLine="120" w:firstLineChars="50"/>
              <w:rPr>
                <w:rFonts w:ascii="仿宋" w:hAnsi="仿宋" w:eastAsia="仿宋" w:cs="仿宋"/>
                <w:sz w:val="24"/>
                <w:szCs w:val="24"/>
              </w:rPr>
            </w:pPr>
            <w:r>
              <w:rPr>
                <w:rFonts w:hint="eastAsia" w:ascii="仿宋" w:hAnsi="仿宋" w:eastAsia="仿宋" w:cs="仿宋"/>
                <w:sz w:val="24"/>
                <w:szCs w:val="24"/>
              </w:rPr>
              <w:t>3.提供完成抢答、随机选人、投票、讨论、分组答题等互动任务的功能。</w:t>
            </w:r>
          </w:p>
          <w:p w14:paraId="1FD3BC18">
            <w:pPr>
              <w:pStyle w:val="4"/>
              <w:rPr>
                <w:rFonts w:ascii="仿宋" w:hAnsi="仿宋" w:eastAsia="仿宋" w:cs="仿宋"/>
                <w:sz w:val="24"/>
                <w:szCs w:val="24"/>
              </w:rPr>
            </w:pPr>
            <w:r>
              <w:rPr>
                <w:rFonts w:hint="eastAsia" w:ascii="仿宋" w:hAnsi="仿宋" w:eastAsia="仿宋" w:cs="仿宋"/>
                <w:sz w:val="24"/>
                <w:szCs w:val="24"/>
              </w:rPr>
              <w:t>三、课后作业</w:t>
            </w:r>
          </w:p>
          <w:p w14:paraId="7D111C32">
            <w:pPr>
              <w:pStyle w:val="203"/>
              <w:ind w:left="105" w:leftChars="50" w:right="-15"/>
              <w:rPr>
                <w:rFonts w:ascii="仿宋" w:hAnsi="仿宋" w:eastAsia="仿宋" w:cs="仿宋"/>
                <w:sz w:val="24"/>
                <w:lang w:val="en-US"/>
              </w:rPr>
            </w:pPr>
            <w:r>
              <w:rPr>
                <w:rFonts w:hint="eastAsia" w:ascii="仿宋" w:hAnsi="仿宋" w:eastAsia="仿宋" w:cs="仿宋"/>
                <w:sz w:val="24"/>
              </w:rPr>
              <w:t>1.提供在线答题功能。学生可在个人空间内查看教师下发的课后作业，并支持勾选、拍照、输入文本的方式提交答案；在任意终端答题后，支持保留答题记录，方便继续答题。</w:t>
            </w:r>
            <w:r>
              <w:rPr>
                <w:rFonts w:hint="eastAsia" w:ascii="仿宋" w:hAnsi="仿宋" w:eastAsia="仿宋" w:cs="仿宋"/>
                <w:sz w:val="24"/>
                <w:lang w:val="en-US"/>
              </w:rPr>
              <w:t>并提供试题和作业的打印功能</w:t>
            </w:r>
          </w:p>
          <w:p w14:paraId="7BF93EAE">
            <w:pPr>
              <w:pStyle w:val="203"/>
              <w:ind w:left="107"/>
              <w:rPr>
                <w:rFonts w:ascii="仿宋" w:hAnsi="仿宋" w:eastAsia="仿宋" w:cs="仿宋"/>
                <w:sz w:val="24"/>
              </w:rPr>
            </w:pPr>
            <w:r>
              <w:rPr>
                <w:rFonts w:hint="eastAsia" w:ascii="仿宋" w:hAnsi="仿宋" w:eastAsia="仿宋" w:cs="仿宋"/>
                <w:sz w:val="24"/>
              </w:rPr>
              <w:t>2.查看作业报告功能。学生可查看作业完成的整体情况以及答案和正确答案对比、题目解析，并支持查看教师对学生答案的批注。</w:t>
            </w:r>
          </w:p>
          <w:p w14:paraId="1A16A2DF">
            <w:pPr>
              <w:pStyle w:val="4"/>
              <w:rPr>
                <w:rFonts w:ascii="仿宋" w:hAnsi="仿宋" w:eastAsia="仿宋" w:cs="仿宋"/>
                <w:sz w:val="24"/>
                <w:szCs w:val="24"/>
              </w:rPr>
            </w:pPr>
            <w:r>
              <w:rPr>
                <w:rFonts w:hint="eastAsia" w:ascii="仿宋" w:hAnsi="仿宋" w:eastAsia="仿宋" w:cs="仿宋"/>
                <w:sz w:val="24"/>
                <w:szCs w:val="24"/>
              </w:rPr>
              <w:t>四、自主学习功能</w:t>
            </w:r>
          </w:p>
          <w:p w14:paraId="27B8D537">
            <w:pPr>
              <w:pStyle w:val="203"/>
              <w:ind w:left="107"/>
              <w:rPr>
                <w:rFonts w:ascii="仿宋" w:hAnsi="仿宋" w:eastAsia="仿宋" w:cs="仿宋"/>
                <w:sz w:val="24"/>
              </w:rPr>
            </w:pPr>
            <w:r>
              <w:rPr>
                <w:rFonts w:hint="eastAsia" w:ascii="仿宋" w:hAnsi="仿宋" w:eastAsia="仿宋" w:cs="仿宋"/>
                <w:sz w:val="24"/>
              </w:rPr>
              <w:t xml:space="preserve">1.通过云端提供自主学习资源服务： </w:t>
            </w:r>
          </w:p>
          <w:p w14:paraId="0085C8D2">
            <w:pPr>
              <w:pStyle w:val="203"/>
              <w:ind w:left="107"/>
              <w:rPr>
                <w:rFonts w:ascii="仿宋" w:hAnsi="仿宋" w:eastAsia="仿宋" w:cs="仿宋"/>
                <w:sz w:val="24"/>
              </w:rPr>
            </w:pPr>
            <w:r>
              <w:rPr>
                <w:rFonts w:hint="eastAsia" w:ascii="仿宋" w:hAnsi="仿宋" w:eastAsia="仿宋" w:cs="仿宋"/>
                <w:sz w:val="24"/>
              </w:rPr>
              <w:t xml:space="preserve">（1）资源须符合国家课程标准、相关法律法规和其它有关规定； </w:t>
            </w:r>
          </w:p>
          <w:p w14:paraId="62D8FD0A">
            <w:pPr>
              <w:pStyle w:val="203"/>
              <w:rPr>
                <w:rFonts w:ascii="仿宋" w:hAnsi="仿宋" w:eastAsia="仿宋" w:cs="仿宋"/>
                <w:sz w:val="24"/>
                <w:lang w:val="en-US"/>
              </w:rPr>
            </w:pPr>
            <w:r>
              <w:rPr>
                <w:rFonts w:hint="eastAsia" w:ascii="仿宋" w:hAnsi="仿宋" w:eastAsia="仿宋" w:cs="仿宋"/>
                <w:sz w:val="24"/>
                <w:lang w:val="en-US"/>
              </w:rPr>
              <w:t>★（2）提供符合小学生阅读认知能力的阅读资源（符合《教育部基础教育课程教材发展中心中小学生阅读指定目录（2020年版）》，</w:t>
            </w:r>
            <w:r>
              <w:rPr>
                <w:rFonts w:hint="eastAsia" w:ascii="仿宋" w:hAnsi="仿宋" w:eastAsia="仿宋" w:cs="仿宋"/>
                <w:b/>
                <w:sz w:val="24"/>
                <w:lang w:val="en-US"/>
              </w:rPr>
              <w:t>投标文件中提供功能截图</w:t>
            </w:r>
            <w:r>
              <w:rPr>
                <w:rFonts w:hint="eastAsia" w:ascii="仿宋" w:hAnsi="仿宋" w:eastAsia="仿宋" w:cs="仿宋"/>
                <w:sz w:val="24"/>
                <w:lang w:val="en-US"/>
              </w:rPr>
              <w:t>）；</w:t>
            </w:r>
          </w:p>
          <w:p w14:paraId="100B2804">
            <w:pPr>
              <w:pStyle w:val="203"/>
              <w:rPr>
                <w:rFonts w:ascii="仿宋" w:hAnsi="仿宋" w:eastAsia="仿宋" w:cs="仿宋"/>
                <w:sz w:val="24"/>
                <w:lang w:val="en-US"/>
              </w:rPr>
            </w:pPr>
            <w:r>
              <w:rPr>
                <w:rFonts w:hint="eastAsia" w:ascii="仿宋" w:hAnsi="仿宋" w:eastAsia="仿宋" w:cs="仿宋"/>
                <w:sz w:val="24"/>
                <w:lang w:val="en-US"/>
              </w:rPr>
              <w:t>★（3）资源须与当地教材相配套（其中语文、道德与法治为教育部统编教材，且须提供配套的电子教材和云课程资源），覆盖中小学所有学科，到教材章节和知识，满足自主学习需要（</w:t>
            </w:r>
            <w:r>
              <w:rPr>
                <w:rFonts w:hint="eastAsia" w:ascii="仿宋" w:hAnsi="仿宋" w:eastAsia="仿宋" w:cs="仿宋"/>
                <w:b/>
                <w:sz w:val="24"/>
                <w:lang w:val="en-US"/>
              </w:rPr>
              <w:t>投标文件中提供资源清单</w:t>
            </w:r>
            <w:r>
              <w:rPr>
                <w:rFonts w:hint="eastAsia" w:ascii="仿宋" w:hAnsi="仿宋" w:eastAsia="仿宋" w:cs="仿宋"/>
                <w:sz w:val="24"/>
                <w:lang w:val="en-US"/>
              </w:rPr>
              <w:t>）。</w:t>
            </w:r>
          </w:p>
          <w:p w14:paraId="0C9AED05">
            <w:pPr>
              <w:pStyle w:val="203"/>
              <w:ind w:left="107"/>
              <w:rPr>
                <w:rFonts w:ascii="仿宋" w:hAnsi="仿宋" w:eastAsia="仿宋" w:cs="仿宋"/>
                <w:sz w:val="24"/>
                <w:lang w:val="en-US"/>
              </w:rPr>
            </w:pPr>
            <w:r>
              <w:rPr>
                <w:rFonts w:hint="eastAsia" w:ascii="仿宋" w:hAnsi="仿宋" w:eastAsia="仿宋" w:cs="仿宋"/>
                <w:sz w:val="24"/>
                <w:lang w:val="en-US"/>
              </w:rPr>
              <w:t>★2.实现省平台资源（含国家平台资源）和其它渠道资源的接入。（</w:t>
            </w:r>
            <w:r>
              <w:rPr>
                <w:rFonts w:hint="eastAsia" w:ascii="仿宋" w:hAnsi="仿宋" w:eastAsia="仿宋" w:cs="仿宋"/>
                <w:b/>
                <w:sz w:val="24"/>
                <w:lang w:val="en-US"/>
              </w:rPr>
              <w:t>投标文件中提供所投智慧课堂系统与省平台互联互通的第三方评测机构提供的检测报告复印件</w:t>
            </w:r>
            <w:r>
              <w:rPr>
                <w:rFonts w:hint="eastAsia" w:ascii="仿宋" w:hAnsi="仿宋" w:eastAsia="仿宋" w:cs="仿宋"/>
                <w:sz w:val="24"/>
                <w:lang w:val="en-US"/>
              </w:rPr>
              <w:t>）</w:t>
            </w:r>
          </w:p>
          <w:p w14:paraId="3D5FB032">
            <w:pPr>
              <w:pStyle w:val="203"/>
              <w:ind w:left="107"/>
              <w:rPr>
                <w:rFonts w:ascii="仿宋" w:hAnsi="仿宋" w:eastAsia="仿宋" w:cs="仿宋"/>
                <w:sz w:val="24"/>
                <w:lang w:val="en-US"/>
              </w:rPr>
            </w:pPr>
            <w:r>
              <w:rPr>
                <w:rFonts w:hint="eastAsia" w:ascii="仿宋" w:hAnsi="仿宋" w:eastAsia="仿宋" w:cs="仿宋"/>
                <w:sz w:val="24"/>
                <w:lang w:val="en-US"/>
              </w:rPr>
              <w:t>3.实现学生按照教材、年级、学科、知识自行选择自主学习资源进行学习。</w:t>
            </w:r>
          </w:p>
          <w:p w14:paraId="3F719255">
            <w:pPr>
              <w:pStyle w:val="203"/>
              <w:ind w:left="107"/>
              <w:rPr>
                <w:rFonts w:ascii="仿宋" w:hAnsi="仿宋" w:eastAsia="仿宋" w:cs="仿宋"/>
                <w:sz w:val="24"/>
              </w:rPr>
            </w:pPr>
            <w:r>
              <w:rPr>
                <w:rFonts w:hint="eastAsia" w:ascii="仿宋" w:hAnsi="仿宋" w:eastAsia="仿宋" w:cs="仿宋"/>
                <w:sz w:val="24"/>
                <w:lang w:val="en-US"/>
              </w:rPr>
              <w:t>4.实现学生按照教材、年级、学科、知识自行选择试题进行作答，答题完成后支持查看题目正确性以及答题解析，并提供试题和作业的打印功能。</w:t>
            </w:r>
          </w:p>
          <w:p w14:paraId="28EB8121">
            <w:pPr>
              <w:pStyle w:val="4"/>
              <w:rPr>
                <w:rFonts w:ascii="仿宋" w:hAnsi="仿宋" w:eastAsia="仿宋" w:cs="仿宋"/>
                <w:sz w:val="24"/>
                <w:szCs w:val="24"/>
              </w:rPr>
            </w:pPr>
            <w:r>
              <w:rPr>
                <w:rFonts w:hint="eastAsia" w:ascii="仿宋" w:hAnsi="仿宋" w:eastAsia="仿宋" w:cs="仿宋"/>
                <w:sz w:val="24"/>
                <w:szCs w:val="24"/>
              </w:rPr>
              <w:t>五、错题本功能</w:t>
            </w:r>
          </w:p>
          <w:p w14:paraId="0C92771C">
            <w:pPr>
              <w:pStyle w:val="203"/>
              <w:ind w:left="107" w:right="95"/>
              <w:rPr>
                <w:rFonts w:ascii="仿宋" w:hAnsi="仿宋" w:eastAsia="仿宋" w:cs="仿宋"/>
                <w:sz w:val="24"/>
              </w:rPr>
            </w:pPr>
            <w:r>
              <w:rPr>
                <w:rFonts w:hint="eastAsia" w:ascii="仿宋" w:hAnsi="仿宋" w:eastAsia="仿宋" w:cs="仿宋"/>
                <w:sz w:val="24"/>
              </w:rPr>
              <w:t xml:space="preserve">1.提供错题本功能。对于答错的所有题目，自动分学科归纳至错题本，推送到个人空间。 </w:t>
            </w:r>
          </w:p>
          <w:p w14:paraId="54CA3199">
            <w:pPr>
              <w:pStyle w:val="203"/>
              <w:ind w:left="107"/>
              <w:rPr>
                <w:rFonts w:ascii="仿宋" w:hAnsi="仿宋" w:eastAsia="仿宋" w:cs="仿宋"/>
                <w:sz w:val="24"/>
              </w:rPr>
            </w:pPr>
            <w:r>
              <w:rPr>
                <w:rFonts w:hint="eastAsia" w:ascii="仿宋" w:hAnsi="仿宋" w:eastAsia="仿宋" w:cs="仿宋"/>
                <w:sz w:val="24"/>
              </w:rPr>
              <w:t xml:space="preserve">2.提供查看错题题面、我的答案和正确答案对比、知识、难度和题目解析等。 </w:t>
            </w:r>
          </w:p>
          <w:p w14:paraId="712804F3">
            <w:pPr>
              <w:pStyle w:val="203"/>
              <w:ind w:left="107"/>
              <w:rPr>
                <w:rFonts w:ascii="仿宋" w:hAnsi="仿宋" w:eastAsia="仿宋" w:cs="仿宋"/>
                <w:sz w:val="24"/>
              </w:rPr>
            </w:pPr>
            <w:r>
              <w:rPr>
                <w:rFonts w:hint="eastAsia" w:ascii="仿宋" w:hAnsi="仿宋" w:eastAsia="仿宋" w:cs="仿宋"/>
                <w:sz w:val="24"/>
              </w:rPr>
              <w:t xml:space="preserve">3.提供智能推送错题对应知识和难度的试题，对应学习资源，以及其它同学的优秀答题结果。 </w:t>
            </w:r>
          </w:p>
          <w:p w14:paraId="1AEF23B8">
            <w:pPr>
              <w:rPr>
                <w:rFonts w:ascii="仿宋" w:hAnsi="仿宋" w:eastAsia="仿宋" w:cs="仿宋"/>
                <w:sz w:val="24"/>
              </w:rPr>
            </w:pPr>
            <w:r>
              <w:rPr>
                <w:rFonts w:hint="eastAsia" w:ascii="仿宋" w:hAnsi="仿宋" w:eastAsia="仿宋" w:cs="仿宋"/>
                <w:sz w:val="24"/>
              </w:rPr>
              <w:t>4.提供错题导出功能。</w:t>
            </w:r>
          </w:p>
        </w:tc>
        <w:tc>
          <w:tcPr>
            <w:tcW w:w="470" w:type="dxa"/>
            <w:vAlign w:val="center"/>
          </w:tcPr>
          <w:p w14:paraId="0344D2B7">
            <w:pPr>
              <w:jc w:val="center"/>
              <w:rPr>
                <w:rFonts w:ascii="仿宋" w:hAnsi="仿宋" w:eastAsia="仿宋" w:cs="仿宋"/>
                <w:sz w:val="24"/>
              </w:rPr>
            </w:pPr>
            <w:r>
              <w:rPr>
                <w:rFonts w:hint="eastAsia" w:ascii="仿宋" w:hAnsi="仿宋" w:eastAsia="仿宋" w:cs="仿宋"/>
                <w:sz w:val="24"/>
              </w:rPr>
              <w:t>套</w:t>
            </w:r>
          </w:p>
        </w:tc>
        <w:tc>
          <w:tcPr>
            <w:tcW w:w="584" w:type="dxa"/>
            <w:vAlign w:val="center"/>
          </w:tcPr>
          <w:p w14:paraId="1DD4937C">
            <w:pPr>
              <w:jc w:val="center"/>
              <w:rPr>
                <w:rFonts w:ascii="仿宋" w:hAnsi="仿宋" w:eastAsia="仿宋" w:cs="仿宋"/>
                <w:sz w:val="24"/>
              </w:rPr>
            </w:pPr>
            <w:r>
              <w:rPr>
                <w:rFonts w:hint="eastAsia" w:ascii="仿宋" w:hAnsi="仿宋" w:eastAsia="仿宋" w:cs="仿宋"/>
                <w:sz w:val="24"/>
              </w:rPr>
              <w:t>180</w:t>
            </w:r>
          </w:p>
        </w:tc>
      </w:tr>
      <w:tr w14:paraId="15C8D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8" w:hRule="atLeast"/>
        </w:trPr>
        <w:tc>
          <w:tcPr>
            <w:tcW w:w="456" w:type="dxa"/>
            <w:vAlign w:val="center"/>
          </w:tcPr>
          <w:p w14:paraId="334C79CC">
            <w:pPr>
              <w:jc w:val="center"/>
              <w:rPr>
                <w:rFonts w:ascii="仿宋" w:hAnsi="仿宋" w:eastAsia="仿宋" w:cs="仿宋"/>
                <w:sz w:val="24"/>
              </w:rPr>
            </w:pPr>
            <w:r>
              <w:rPr>
                <w:rFonts w:hint="eastAsia" w:ascii="仿宋" w:hAnsi="仿宋" w:eastAsia="仿宋" w:cs="仿宋"/>
                <w:sz w:val="24"/>
              </w:rPr>
              <w:t>4</w:t>
            </w:r>
          </w:p>
        </w:tc>
        <w:tc>
          <w:tcPr>
            <w:tcW w:w="751" w:type="dxa"/>
            <w:vAlign w:val="center"/>
          </w:tcPr>
          <w:p w14:paraId="0E39F7BC">
            <w:pPr>
              <w:jc w:val="center"/>
              <w:rPr>
                <w:rFonts w:ascii="仿宋" w:hAnsi="仿宋" w:eastAsia="仿宋" w:cs="仿宋"/>
                <w:sz w:val="24"/>
              </w:rPr>
            </w:pPr>
            <w:r>
              <w:rPr>
                <w:rFonts w:hint="eastAsia" w:ascii="仿宋" w:hAnsi="仿宋" w:eastAsia="仿宋" w:cs="仿宋"/>
                <w:sz w:val="24"/>
              </w:rPr>
              <w:t>▲</w:t>
            </w:r>
          </w:p>
          <w:p w14:paraId="1196C6A6">
            <w:pPr>
              <w:jc w:val="center"/>
              <w:rPr>
                <w:rFonts w:ascii="仿宋" w:hAnsi="仿宋" w:eastAsia="仿宋" w:cs="仿宋"/>
                <w:sz w:val="24"/>
              </w:rPr>
            </w:pPr>
            <w:r>
              <w:rPr>
                <w:rFonts w:hint="eastAsia" w:ascii="仿宋" w:hAnsi="仿宋" w:eastAsia="仿宋" w:cs="仿宋"/>
                <w:sz w:val="24"/>
              </w:rPr>
              <w:t>学生移动终端设备</w:t>
            </w:r>
          </w:p>
        </w:tc>
        <w:tc>
          <w:tcPr>
            <w:tcW w:w="7708" w:type="dxa"/>
          </w:tcPr>
          <w:p w14:paraId="1BE83EDE">
            <w:pPr>
              <w:snapToGrid w:val="0"/>
              <w:rPr>
                <w:rFonts w:ascii="仿宋" w:hAnsi="仿宋" w:eastAsia="仿宋" w:cs="仿宋"/>
                <w:sz w:val="24"/>
              </w:rPr>
            </w:pPr>
            <w:r>
              <w:rPr>
                <w:rFonts w:hint="eastAsia" w:ascii="仿宋" w:hAnsi="仿宋" w:eastAsia="仿宋" w:cs="仿宋"/>
                <w:sz w:val="24"/>
              </w:rPr>
              <w:t>学生移动终端</w:t>
            </w:r>
          </w:p>
          <w:p w14:paraId="44C7736A">
            <w:pPr>
              <w:pStyle w:val="203"/>
              <w:ind w:left="107"/>
              <w:rPr>
                <w:rFonts w:ascii="仿宋" w:hAnsi="仿宋" w:eastAsia="仿宋" w:cs="仿宋"/>
                <w:sz w:val="24"/>
              </w:rPr>
            </w:pPr>
            <w:r>
              <w:rPr>
                <w:rFonts w:hint="eastAsia" w:ascii="仿宋" w:hAnsi="仿宋" w:eastAsia="仿宋" w:cs="仿宋"/>
                <w:sz w:val="24"/>
              </w:rPr>
              <w:t>1.屏幕尺寸：</w:t>
            </w:r>
            <w:r>
              <w:rPr>
                <w:rFonts w:hint="eastAsia" w:ascii="仿宋" w:hAnsi="仿宋" w:eastAsia="仿宋" w:cs="仿宋"/>
                <w:sz w:val="24"/>
                <w:lang w:val="en-US"/>
              </w:rPr>
              <w:t>10.1</w:t>
            </w:r>
            <w:r>
              <w:rPr>
                <w:rFonts w:hint="eastAsia" w:ascii="仿宋" w:hAnsi="仿宋" w:eastAsia="仿宋" w:cs="仿宋"/>
                <w:sz w:val="24"/>
              </w:rPr>
              <w:t xml:space="preserve">英寸及以上,预装操作系统。 </w:t>
            </w:r>
          </w:p>
          <w:p w14:paraId="566ABC75">
            <w:pPr>
              <w:pStyle w:val="203"/>
              <w:ind w:left="107"/>
              <w:rPr>
                <w:rFonts w:ascii="仿宋" w:hAnsi="仿宋" w:eastAsia="仿宋" w:cs="仿宋"/>
                <w:sz w:val="24"/>
              </w:rPr>
            </w:pPr>
            <w:r>
              <w:rPr>
                <w:rFonts w:hint="eastAsia" w:ascii="仿宋" w:hAnsi="仿宋" w:eastAsia="仿宋" w:cs="仿宋"/>
                <w:sz w:val="24"/>
              </w:rPr>
              <w:t>2.核心数量：</w:t>
            </w:r>
            <w:r>
              <w:rPr>
                <w:rFonts w:hint="eastAsia" w:ascii="仿宋" w:hAnsi="仿宋" w:eastAsia="仿宋" w:cs="仿宋"/>
                <w:sz w:val="24"/>
                <w:lang w:val="en-US"/>
              </w:rPr>
              <w:t>八</w:t>
            </w:r>
            <w:r>
              <w:rPr>
                <w:rFonts w:hint="eastAsia" w:ascii="仿宋" w:hAnsi="仿宋" w:eastAsia="仿宋" w:cs="仿宋"/>
                <w:sz w:val="24"/>
              </w:rPr>
              <w:t xml:space="preserve">核处理器，CPU 主频：1.5GHZ。 </w:t>
            </w:r>
          </w:p>
          <w:p w14:paraId="46C08BF7">
            <w:pPr>
              <w:pStyle w:val="203"/>
              <w:ind w:left="107"/>
              <w:rPr>
                <w:rFonts w:ascii="仿宋" w:hAnsi="仿宋" w:eastAsia="仿宋" w:cs="仿宋"/>
                <w:sz w:val="24"/>
              </w:rPr>
            </w:pPr>
            <w:r>
              <w:rPr>
                <w:rFonts w:hint="eastAsia" w:ascii="仿宋" w:hAnsi="仿宋" w:eastAsia="仿宋" w:cs="仿宋"/>
                <w:sz w:val="24"/>
              </w:rPr>
              <w:t>3.内存容量：</w:t>
            </w:r>
            <w:r>
              <w:rPr>
                <w:rFonts w:hint="eastAsia" w:ascii="仿宋" w:hAnsi="仿宋" w:eastAsia="仿宋" w:cs="仿宋"/>
                <w:sz w:val="24"/>
                <w:lang w:val="en-US"/>
              </w:rPr>
              <w:t>4</w:t>
            </w:r>
            <w:r>
              <w:rPr>
                <w:rFonts w:hint="eastAsia" w:ascii="仿宋" w:hAnsi="仿宋" w:eastAsia="仿宋" w:cs="仿宋"/>
                <w:sz w:val="24"/>
              </w:rPr>
              <w:t xml:space="preserve">G。 </w:t>
            </w:r>
          </w:p>
          <w:p w14:paraId="1CCBFE75">
            <w:pPr>
              <w:pStyle w:val="203"/>
              <w:ind w:left="107"/>
              <w:rPr>
                <w:rFonts w:ascii="仿宋" w:hAnsi="仿宋" w:eastAsia="仿宋" w:cs="仿宋"/>
                <w:sz w:val="24"/>
              </w:rPr>
            </w:pPr>
            <w:r>
              <w:rPr>
                <w:rFonts w:hint="eastAsia" w:ascii="仿宋" w:hAnsi="仿宋" w:eastAsia="仿宋" w:cs="仿宋"/>
                <w:sz w:val="24"/>
              </w:rPr>
              <w:t xml:space="preserve">4.存储容量：32GB,最大可扩展至 128G。 </w:t>
            </w:r>
          </w:p>
          <w:p w14:paraId="725BA22C">
            <w:pPr>
              <w:pStyle w:val="203"/>
              <w:ind w:left="107"/>
              <w:rPr>
                <w:rFonts w:ascii="仿宋" w:hAnsi="仿宋" w:eastAsia="仿宋" w:cs="仿宋"/>
                <w:sz w:val="24"/>
              </w:rPr>
            </w:pPr>
            <w:r>
              <w:rPr>
                <w:rFonts w:hint="eastAsia" w:ascii="仿宋" w:hAnsi="仿宋" w:eastAsia="仿宋" w:cs="仿宋"/>
                <w:sz w:val="24"/>
              </w:rPr>
              <w:t xml:space="preserve">5.屏幕类型：IPS，分辨率≥1920x1200。 </w:t>
            </w:r>
          </w:p>
          <w:p w14:paraId="1B8BC13D">
            <w:pPr>
              <w:pStyle w:val="203"/>
              <w:ind w:left="107"/>
              <w:rPr>
                <w:rFonts w:ascii="仿宋" w:hAnsi="仿宋" w:eastAsia="仿宋" w:cs="仿宋"/>
                <w:sz w:val="24"/>
              </w:rPr>
            </w:pPr>
            <w:r>
              <w:rPr>
                <w:rFonts w:hint="eastAsia" w:ascii="仿宋" w:hAnsi="仿宋" w:eastAsia="仿宋" w:cs="仿宋"/>
                <w:sz w:val="24"/>
              </w:rPr>
              <w:t>6.前置摄像头≥200 万像素，后置摄像头≥</w:t>
            </w:r>
            <w:r>
              <w:rPr>
                <w:rFonts w:hint="eastAsia" w:ascii="仿宋" w:hAnsi="仿宋" w:eastAsia="仿宋" w:cs="仿宋"/>
                <w:sz w:val="24"/>
                <w:lang w:val="en-US"/>
              </w:rPr>
              <w:t>800</w:t>
            </w:r>
            <w:r>
              <w:rPr>
                <w:rFonts w:hint="eastAsia" w:ascii="仿宋" w:hAnsi="仿宋" w:eastAsia="仿宋" w:cs="仿宋"/>
                <w:sz w:val="24"/>
              </w:rPr>
              <w:t xml:space="preserve"> 万像素。 </w:t>
            </w:r>
          </w:p>
          <w:p w14:paraId="6CA537B2">
            <w:pPr>
              <w:pStyle w:val="203"/>
              <w:ind w:left="107"/>
              <w:rPr>
                <w:rFonts w:ascii="仿宋" w:hAnsi="仿宋" w:eastAsia="仿宋" w:cs="仿宋"/>
                <w:sz w:val="24"/>
              </w:rPr>
            </w:pPr>
            <w:r>
              <w:rPr>
                <w:rFonts w:hint="eastAsia" w:ascii="仿宋" w:hAnsi="仿宋" w:eastAsia="仿宋" w:cs="仿宋"/>
                <w:sz w:val="24"/>
              </w:rPr>
              <w:t>7．WiFi 功能：双频 2.4GHz+5GHz，支持 802.11a/b/g/n /ac 无线协议。</w:t>
            </w:r>
          </w:p>
          <w:p w14:paraId="191E194B">
            <w:pPr>
              <w:pStyle w:val="203"/>
              <w:ind w:left="107"/>
              <w:rPr>
                <w:rFonts w:ascii="仿宋" w:hAnsi="仿宋" w:eastAsia="仿宋" w:cs="仿宋"/>
                <w:sz w:val="24"/>
                <w:lang w:val="en-US"/>
              </w:rPr>
            </w:pPr>
            <w:r>
              <w:rPr>
                <w:rFonts w:hint="eastAsia" w:ascii="仿宋" w:hAnsi="仿宋" w:eastAsia="仿宋" w:cs="仿宋"/>
                <w:sz w:val="24"/>
                <w:lang w:val="en-US"/>
              </w:rPr>
              <w:t>8、实现教师远程控制关机。</w:t>
            </w:r>
          </w:p>
          <w:p w14:paraId="53578BAB">
            <w:pPr>
              <w:pStyle w:val="203"/>
              <w:ind w:left="107"/>
              <w:rPr>
                <w:rFonts w:ascii="仿宋" w:hAnsi="仿宋" w:eastAsia="仿宋" w:cs="仿宋"/>
                <w:sz w:val="24"/>
              </w:rPr>
            </w:pPr>
            <w:r>
              <w:rPr>
                <w:rFonts w:hint="eastAsia" w:ascii="仿宋" w:hAnsi="仿宋" w:eastAsia="仿宋" w:cs="仿宋"/>
                <w:sz w:val="24"/>
              </w:rPr>
              <w:t>9.终端电池容量≥</w:t>
            </w:r>
            <w:r>
              <w:rPr>
                <w:rFonts w:hint="eastAsia" w:ascii="仿宋" w:hAnsi="仿宋" w:eastAsia="仿宋" w:cs="仿宋"/>
                <w:sz w:val="24"/>
                <w:lang w:val="en-US"/>
              </w:rPr>
              <w:t>7000</w:t>
            </w:r>
            <w:r>
              <w:rPr>
                <w:rFonts w:hint="eastAsia" w:ascii="仿宋" w:hAnsi="仿宋" w:eastAsia="仿宋" w:cs="仿宋"/>
                <w:sz w:val="24"/>
              </w:rPr>
              <w:t xml:space="preserve">mAh。 </w:t>
            </w:r>
          </w:p>
          <w:p w14:paraId="1786A1E9">
            <w:pPr>
              <w:pStyle w:val="203"/>
              <w:ind w:left="107"/>
              <w:rPr>
                <w:rFonts w:ascii="仿宋" w:hAnsi="仿宋" w:eastAsia="仿宋" w:cs="仿宋"/>
                <w:sz w:val="24"/>
              </w:rPr>
            </w:pPr>
            <w:r>
              <w:rPr>
                <w:rFonts w:hint="eastAsia" w:ascii="仿宋" w:hAnsi="仿宋" w:eastAsia="仿宋" w:cs="仿宋"/>
                <w:sz w:val="24"/>
              </w:rPr>
              <w:t xml:space="preserve">10.配置皮套。 </w:t>
            </w:r>
          </w:p>
          <w:p w14:paraId="2575B390">
            <w:pPr>
              <w:pStyle w:val="203"/>
              <w:ind w:left="107" w:right="-29"/>
              <w:rPr>
                <w:rFonts w:ascii="仿宋" w:hAnsi="仿宋" w:eastAsia="仿宋" w:cs="仿宋"/>
                <w:sz w:val="24"/>
              </w:rPr>
            </w:pPr>
            <w:r>
              <w:rPr>
                <w:rFonts w:hint="eastAsia" w:ascii="仿宋" w:hAnsi="仿宋" w:eastAsia="仿宋" w:cs="仿宋"/>
                <w:sz w:val="24"/>
              </w:rPr>
              <w:t xml:space="preserve">11.具有防蓝光护眼功能和防摔功能（带皮套 70cm 瓷砖或水泥地面掉落无损坏）。 </w:t>
            </w:r>
          </w:p>
          <w:p w14:paraId="1AF48EFC">
            <w:pPr>
              <w:pStyle w:val="203"/>
              <w:ind w:left="107"/>
              <w:rPr>
                <w:rFonts w:ascii="仿宋" w:hAnsi="仿宋" w:eastAsia="仿宋" w:cs="仿宋"/>
                <w:sz w:val="24"/>
              </w:rPr>
            </w:pPr>
            <w:r>
              <w:rPr>
                <w:rFonts w:hint="eastAsia" w:ascii="仿宋" w:hAnsi="仿宋" w:eastAsia="仿宋" w:cs="仿宋"/>
                <w:sz w:val="24"/>
              </w:rPr>
              <w:t>12.提供屏幕手写功能。</w:t>
            </w:r>
          </w:p>
          <w:p w14:paraId="7DECB771">
            <w:pPr>
              <w:pStyle w:val="203"/>
              <w:ind w:left="107"/>
              <w:rPr>
                <w:rFonts w:ascii="仿宋" w:hAnsi="仿宋" w:eastAsia="仿宋" w:cs="仿宋"/>
                <w:sz w:val="24"/>
              </w:rPr>
            </w:pPr>
            <w:r>
              <w:rPr>
                <w:rFonts w:hint="eastAsia" w:ascii="仿宋" w:hAnsi="仿宋" w:eastAsia="仿宋" w:cs="仿宋"/>
                <w:sz w:val="24"/>
              </w:rPr>
              <w:t>13.提供学生行为管控功能：自成应用生态体系，屏蔽原生态应用，提供可控制的浏览器、文档管理、相机、wifi 管理，限制学生访问未经授权的网页和安装软件，自动检测屏蔽涉黄涉非内容，限制学生通过外接设备等方式进行应用安装，经教师授权后可安装软件。</w:t>
            </w:r>
          </w:p>
          <w:p w14:paraId="4DB5579F">
            <w:pPr>
              <w:rPr>
                <w:rFonts w:ascii="仿宋" w:hAnsi="仿宋" w:eastAsia="仿宋" w:cs="仿宋"/>
                <w:kern w:val="0"/>
                <w:sz w:val="24"/>
              </w:rPr>
            </w:pPr>
            <w:r>
              <w:rPr>
                <w:rFonts w:hint="eastAsia" w:ascii="仿宋" w:hAnsi="仿宋" w:eastAsia="仿宋" w:cs="仿宋"/>
                <w:kern w:val="0"/>
                <w:sz w:val="24"/>
              </w:rPr>
              <w:t>★14.</w:t>
            </w:r>
            <w:r>
              <w:rPr>
                <w:rFonts w:hint="eastAsia" w:ascii="仿宋" w:hAnsi="仿宋" w:eastAsia="仿宋" w:cs="仿宋"/>
                <w:b/>
                <w:kern w:val="0"/>
                <w:sz w:val="24"/>
              </w:rPr>
              <w:t>投标文件中提供3C认证和产品检验合格证书（报告）复印件</w:t>
            </w:r>
            <w:r>
              <w:rPr>
                <w:rFonts w:hint="eastAsia" w:ascii="仿宋" w:hAnsi="仿宋" w:eastAsia="仿宋" w:cs="仿宋"/>
                <w:kern w:val="0"/>
                <w:sz w:val="24"/>
              </w:rPr>
              <w:t>。</w:t>
            </w:r>
          </w:p>
          <w:p w14:paraId="160FC11F">
            <w:pPr>
              <w:rPr>
                <w:rFonts w:ascii="仿宋" w:hAnsi="仿宋" w:eastAsia="仿宋" w:cs="仿宋"/>
                <w:sz w:val="24"/>
              </w:rPr>
            </w:pPr>
            <w:r>
              <w:rPr>
                <w:rFonts w:hint="eastAsia" w:ascii="仿宋" w:hAnsi="仿宋" w:eastAsia="仿宋" w:cs="仿宋"/>
                <w:kern w:val="0"/>
                <w:sz w:val="24"/>
              </w:rPr>
              <w:t>★15.</w:t>
            </w:r>
            <w:r>
              <w:rPr>
                <w:rFonts w:hint="eastAsia" w:ascii="仿宋" w:hAnsi="仿宋" w:eastAsia="仿宋" w:cs="仿宋"/>
                <w:b/>
                <w:kern w:val="0"/>
                <w:sz w:val="24"/>
              </w:rPr>
              <w:t>投标文件中</w:t>
            </w:r>
            <w:r>
              <w:rPr>
                <w:rFonts w:hint="eastAsia" w:ascii="仿宋" w:hAnsi="仿宋" w:eastAsia="仿宋" w:cs="仿宋"/>
                <w:b/>
                <w:bCs/>
                <w:kern w:val="0"/>
                <w:sz w:val="24"/>
              </w:rPr>
              <w:t>提供由工信部颁发的该型号产品有效的无线电发射设备型号核准证书。</w:t>
            </w:r>
          </w:p>
        </w:tc>
        <w:tc>
          <w:tcPr>
            <w:tcW w:w="470" w:type="dxa"/>
            <w:vAlign w:val="center"/>
          </w:tcPr>
          <w:p w14:paraId="00ED3348">
            <w:pPr>
              <w:jc w:val="center"/>
              <w:rPr>
                <w:rFonts w:ascii="仿宋" w:hAnsi="仿宋" w:eastAsia="仿宋" w:cs="仿宋"/>
                <w:sz w:val="24"/>
              </w:rPr>
            </w:pPr>
            <w:r>
              <w:rPr>
                <w:rFonts w:hint="eastAsia" w:ascii="仿宋" w:hAnsi="仿宋" w:eastAsia="仿宋" w:cs="仿宋"/>
                <w:sz w:val="24"/>
              </w:rPr>
              <w:t>台</w:t>
            </w:r>
          </w:p>
        </w:tc>
        <w:tc>
          <w:tcPr>
            <w:tcW w:w="584" w:type="dxa"/>
            <w:vAlign w:val="center"/>
          </w:tcPr>
          <w:p w14:paraId="48AEF67D">
            <w:pPr>
              <w:jc w:val="center"/>
              <w:rPr>
                <w:rFonts w:ascii="仿宋" w:hAnsi="仿宋" w:eastAsia="仿宋" w:cs="仿宋"/>
                <w:sz w:val="24"/>
              </w:rPr>
            </w:pPr>
            <w:r>
              <w:rPr>
                <w:rFonts w:hint="eastAsia" w:ascii="仿宋" w:hAnsi="仿宋" w:eastAsia="仿宋" w:cs="仿宋"/>
                <w:sz w:val="24"/>
              </w:rPr>
              <w:t>180</w:t>
            </w:r>
          </w:p>
        </w:tc>
      </w:tr>
      <w:tr w14:paraId="0B2ED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456" w:type="dxa"/>
            <w:vAlign w:val="center"/>
          </w:tcPr>
          <w:p w14:paraId="442D0B5B">
            <w:pPr>
              <w:jc w:val="center"/>
              <w:rPr>
                <w:rFonts w:ascii="仿宋" w:hAnsi="仿宋" w:eastAsia="仿宋" w:cs="仿宋"/>
                <w:sz w:val="24"/>
              </w:rPr>
            </w:pPr>
            <w:r>
              <w:rPr>
                <w:rFonts w:hint="eastAsia" w:ascii="仿宋" w:hAnsi="仿宋" w:eastAsia="仿宋" w:cs="仿宋"/>
                <w:sz w:val="24"/>
              </w:rPr>
              <w:t>5</w:t>
            </w:r>
          </w:p>
        </w:tc>
        <w:tc>
          <w:tcPr>
            <w:tcW w:w="751" w:type="dxa"/>
            <w:vAlign w:val="center"/>
          </w:tcPr>
          <w:p w14:paraId="786E5A52">
            <w:pPr>
              <w:jc w:val="center"/>
              <w:rPr>
                <w:rFonts w:ascii="仿宋" w:hAnsi="仿宋" w:eastAsia="仿宋" w:cs="仿宋"/>
                <w:sz w:val="24"/>
              </w:rPr>
            </w:pPr>
            <w:r>
              <w:rPr>
                <w:rFonts w:hint="eastAsia" w:ascii="仿宋" w:hAnsi="仿宋" w:eastAsia="仿宋" w:cs="仿宋"/>
                <w:sz w:val="24"/>
              </w:rPr>
              <w:t>▲</w:t>
            </w:r>
          </w:p>
          <w:p w14:paraId="068DADB1">
            <w:pPr>
              <w:jc w:val="center"/>
              <w:rPr>
                <w:rFonts w:ascii="仿宋" w:hAnsi="仿宋" w:eastAsia="仿宋" w:cs="仿宋"/>
                <w:sz w:val="24"/>
              </w:rPr>
            </w:pPr>
            <w:r>
              <w:rPr>
                <w:rFonts w:hint="eastAsia" w:ascii="仿宋" w:hAnsi="仿宋" w:eastAsia="仿宋" w:cs="仿宋"/>
                <w:sz w:val="24"/>
              </w:rPr>
              <w:t>充电柜</w:t>
            </w:r>
          </w:p>
        </w:tc>
        <w:tc>
          <w:tcPr>
            <w:tcW w:w="7708" w:type="dxa"/>
          </w:tcPr>
          <w:p w14:paraId="7B3085C0">
            <w:pPr>
              <w:rPr>
                <w:rFonts w:ascii="仿宋" w:hAnsi="仿宋" w:eastAsia="仿宋" w:cs="仿宋"/>
                <w:sz w:val="24"/>
              </w:rPr>
            </w:pPr>
            <w:r>
              <w:rPr>
                <w:rFonts w:hint="eastAsia" w:ascii="仿宋" w:hAnsi="仿宋" w:eastAsia="仿宋" w:cs="仿宋"/>
                <w:sz w:val="24"/>
              </w:rPr>
              <w:t>1.采用全封闭防盗结构、工艺上耐酸碱腐蚀、耐磨、防静电等。</w:t>
            </w:r>
          </w:p>
          <w:p w14:paraId="52915480">
            <w:pPr>
              <w:rPr>
                <w:rFonts w:ascii="仿宋" w:hAnsi="仿宋" w:eastAsia="仿宋" w:cs="仿宋"/>
                <w:sz w:val="24"/>
              </w:rPr>
            </w:pPr>
            <w:r>
              <w:rPr>
                <w:rFonts w:hint="eastAsia" w:ascii="仿宋" w:hAnsi="仿宋" w:eastAsia="仿宋" w:cs="仿宋"/>
                <w:sz w:val="24"/>
              </w:rPr>
              <w:t>2.</w:t>
            </w:r>
            <w:r>
              <w:rPr>
                <w:rFonts w:hint="eastAsia" w:ascii="仿宋" w:hAnsi="仿宋" w:eastAsia="仿宋" w:cs="仿宋"/>
                <w:kern w:val="0"/>
                <w:sz w:val="24"/>
              </w:rPr>
              <w:t xml:space="preserve"> </w:t>
            </w:r>
            <w:r>
              <w:rPr>
                <w:rFonts w:hint="eastAsia" w:ascii="仿宋" w:hAnsi="仿宋" w:eastAsia="仿宋" w:cs="仿宋"/>
                <w:sz w:val="24"/>
              </w:rPr>
              <w:t>支持60台及以上配套的平板电脑同时充电。</w:t>
            </w:r>
          </w:p>
          <w:p w14:paraId="14B04DA8">
            <w:pPr>
              <w:rPr>
                <w:rFonts w:ascii="仿宋" w:hAnsi="仿宋" w:eastAsia="仿宋" w:cs="仿宋"/>
                <w:sz w:val="24"/>
              </w:rPr>
            </w:pPr>
            <w:r>
              <w:rPr>
                <w:rFonts w:hint="eastAsia" w:ascii="仿宋" w:hAnsi="仿宋" w:eastAsia="仿宋" w:cs="仿宋"/>
                <w:sz w:val="24"/>
              </w:rPr>
              <w:t>3.环保 ABS 工程塑料单机隔断，隔断板具有扎线口，同时方便拿取电脑。</w:t>
            </w:r>
          </w:p>
          <w:p w14:paraId="0C9C787E">
            <w:pPr>
              <w:rPr>
                <w:rFonts w:ascii="仿宋" w:hAnsi="仿宋" w:eastAsia="仿宋" w:cs="仿宋"/>
                <w:sz w:val="24"/>
              </w:rPr>
            </w:pPr>
            <w:r>
              <w:rPr>
                <w:rFonts w:hint="eastAsia" w:ascii="仿宋" w:hAnsi="仿宋" w:eastAsia="仿宋" w:cs="仿宋"/>
                <w:sz w:val="24"/>
              </w:rPr>
              <w:t>4.机柜具有静音脚轮，四轮万向，四轮刹车，便于移动和固定。</w:t>
            </w:r>
          </w:p>
          <w:p w14:paraId="69BFD823">
            <w:pPr>
              <w:rPr>
                <w:rFonts w:ascii="仿宋" w:hAnsi="仿宋" w:eastAsia="仿宋" w:cs="仿宋"/>
                <w:sz w:val="24"/>
              </w:rPr>
            </w:pPr>
            <w:r>
              <w:rPr>
                <w:rFonts w:hint="eastAsia" w:ascii="仿宋" w:hAnsi="仿宋" w:eastAsia="仿宋" w:cs="仿宋"/>
                <w:sz w:val="24"/>
              </w:rPr>
              <w:t>5.温控双风扇或多风扇强制散热，具有智能散热功能，充电过程中设备产生的热量由风扇强制排出，温度在安全范围内时不动。</w:t>
            </w:r>
          </w:p>
          <w:p w14:paraId="40858E95">
            <w:pPr>
              <w:rPr>
                <w:rFonts w:ascii="仿宋" w:hAnsi="仿宋" w:eastAsia="仿宋" w:cs="仿宋"/>
                <w:b/>
                <w:bCs/>
                <w:sz w:val="24"/>
              </w:rPr>
            </w:pPr>
            <w:r>
              <w:rPr>
                <w:rFonts w:hint="eastAsia" w:ascii="仿宋" w:hAnsi="仿宋" w:eastAsia="仿宋" w:cs="仿宋"/>
                <w:sz w:val="24"/>
              </w:rPr>
              <w:t>6.提供的防漏电安全检测报告。</w:t>
            </w:r>
            <w:r>
              <w:rPr>
                <w:rFonts w:hint="eastAsia" w:ascii="仿宋" w:hAnsi="仿宋" w:eastAsia="仿宋" w:cs="仿宋"/>
                <w:b/>
                <w:bCs/>
                <w:sz w:val="24"/>
              </w:rPr>
              <w:t>投标文件中提供依据国家标准由第三方有权机构出具的检测报告。</w:t>
            </w:r>
          </w:p>
          <w:p w14:paraId="42A5D93D">
            <w:pPr>
              <w:rPr>
                <w:rFonts w:ascii="仿宋" w:hAnsi="仿宋" w:eastAsia="仿宋" w:cs="仿宋"/>
                <w:sz w:val="24"/>
              </w:rPr>
            </w:pPr>
            <w:r>
              <w:rPr>
                <w:rFonts w:hint="eastAsia" w:ascii="仿宋" w:hAnsi="仿宋" w:eastAsia="仿宋" w:cs="仿宋"/>
                <w:sz w:val="24"/>
              </w:rPr>
              <w:t>7.</w:t>
            </w:r>
            <w:r>
              <w:rPr>
                <w:rFonts w:hint="eastAsia" w:ascii="仿宋" w:hAnsi="仿宋" w:eastAsia="仿宋" w:cs="仿宋"/>
                <w:kern w:val="0"/>
                <w:sz w:val="24"/>
              </w:rPr>
              <w:t xml:space="preserve"> </w:t>
            </w:r>
            <w:r>
              <w:rPr>
                <w:rFonts w:hint="eastAsia" w:ascii="仿宋" w:hAnsi="仿宋" w:eastAsia="仿宋" w:cs="仿宋"/>
                <w:sz w:val="24"/>
              </w:rPr>
              <w:t>充电柜设计应满足国家相应标准。</w:t>
            </w:r>
          </w:p>
          <w:p w14:paraId="1E71046A">
            <w:pPr>
              <w:rPr>
                <w:rFonts w:ascii="仿宋" w:hAnsi="仿宋" w:eastAsia="仿宋" w:cs="仿宋"/>
                <w:sz w:val="24"/>
              </w:rPr>
            </w:pPr>
            <w:r>
              <w:rPr>
                <w:rFonts w:hint="eastAsia" w:ascii="仿宋" w:hAnsi="仿宋" w:eastAsia="仿宋" w:cs="仿宋"/>
                <w:sz w:val="24"/>
              </w:rPr>
              <w:t>8. 配电柜参数（额定功率、额定电压、额定电流等）应满足所充电设备的充电需求。</w:t>
            </w:r>
          </w:p>
          <w:p w14:paraId="270F2A7C">
            <w:pPr>
              <w:rPr>
                <w:rFonts w:ascii="仿宋" w:hAnsi="仿宋" w:eastAsia="仿宋" w:cs="仿宋"/>
                <w:sz w:val="24"/>
              </w:rPr>
            </w:pPr>
            <w:r>
              <w:rPr>
                <w:rFonts w:hint="eastAsia" w:ascii="仿宋" w:hAnsi="仿宋" w:eastAsia="仿宋" w:cs="仿宋"/>
                <w:sz w:val="24"/>
              </w:rPr>
              <w:t>9. 外柜上至少具备2 个 5V USB扩展接口。</w:t>
            </w:r>
          </w:p>
          <w:p w14:paraId="75E70845">
            <w:pPr>
              <w:rPr>
                <w:rFonts w:ascii="仿宋" w:hAnsi="仿宋" w:eastAsia="仿宋" w:cs="仿宋"/>
                <w:sz w:val="24"/>
              </w:rPr>
            </w:pPr>
            <w:r>
              <w:rPr>
                <w:rFonts w:hint="eastAsia" w:ascii="仿宋" w:hAnsi="仿宋" w:eastAsia="仿宋" w:cs="仿宋"/>
                <w:sz w:val="24"/>
              </w:rPr>
              <w:t>★10.考虑用电安全，降低安全风险，充电柜需具备限流能力。</w:t>
            </w:r>
          </w:p>
          <w:p w14:paraId="2E890254">
            <w:pPr>
              <w:rPr>
                <w:rFonts w:ascii="仿宋" w:hAnsi="仿宋" w:eastAsia="仿宋" w:cs="仿宋"/>
                <w:sz w:val="24"/>
              </w:rPr>
            </w:pPr>
            <w:r>
              <w:rPr>
                <w:rFonts w:hint="eastAsia" w:ascii="仿宋" w:hAnsi="仿宋" w:eastAsia="仿宋" w:cs="仿宋"/>
                <w:sz w:val="24"/>
              </w:rPr>
              <w:t>★11.</w:t>
            </w:r>
            <w:r>
              <w:rPr>
                <w:rFonts w:hint="eastAsia" w:ascii="仿宋" w:hAnsi="仿宋" w:eastAsia="仿宋" w:cs="仿宋"/>
                <w:b/>
                <w:sz w:val="24"/>
              </w:rPr>
              <w:t>投标文件中提供3C认证和产品检验合格证书（报告）复印件。</w:t>
            </w:r>
          </w:p>
        </w:tc>
        <w:tc>
          <w:tcPr>
            <w:tcW w:w="470" w:type="dxa"/>
            <w:vAlign w:val="center"/>
          </w:tcPr>
          <w:p w14:paraId="759C6C23">
            <w:pPr>
              <w:jc w:val="center"/>
              <w:rPr>
                <w:rFonts w:ascii="仿宋" w:hAnsi="仿宋" w:eastAsia="仿宋" w:cs="仿宋"/>
                <w:sz w:val="24"/>
              </w:rPr>
            </w:pPr>
            <w:r>
              <w:rPr>
                <w:rFonts w:hint="eastAsia" w:ascii="仿宋" w:hAnsi="仿宋" w:eastAsia="仿宋" w:cs="仿宋"/>
                <w:sz w:val="24"/>
              </w:rPr>
              <w:t>个</w:t>
            </w:r>
          </w:p>
        </w:tc>
        <w:tc>
          <w:tcPr>
            <w:tcW w:w="584" w:type="dxa"/>
            <w:vAlign w:val="center"/>
          </w:tcPr>
          <w:p w14:paraId="73620074">
            <w:pPr>
              <w:jc w:val="center"/>
              <w:rPr>
                <w:rFonts w:ascii="仿宋" w:hAnsi="仿宋" w:eastAsia="仿宋" w:cs="仿宋"/>
                <w:sz w:val="24"/>
              </w:rPr>
            </w:pPr>
            <w:r>
              <w:rPr>
                <w:rFonts w:hint="eastAsia" w:ascii="仿宋" w:hAnsi="仿宋" w:eastAsia="仿宋" w:cs="仿宋"/>
                <w:sz w:val="24"/>
              </w:rPr>
              <w:t>4</w:t>
            </w:r>
          </w:p>
        </w:tc>
      </w:tr>
      <w:tr w14:paraId="09A5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2" w:hRule="atLeast"/>
        </w:trPr>
        <w:tc>
          <w:tcPr>
            <w:tcW w:w="456" w:type="dxa"/>
            <w:vAlign w:val="center"/>
          </w:tcPr>
          <w:p w14:paraId="5F22D440">
            <w:pPr>
              <w:jc w:val="center"/>
              <w:rPr>
                <w:rFonts w:ascii="仿宋" w:hAnsi="仿宋" w:eastAsia="仿宋" w:cs="仿宋"/>
                <w:sz w:val="24"/>
              </w:rPr>
            </w:pPr>
            <w:r>
              <w:rPr>
                <w:rFonts w:hint="eastAsia" w:ascii="仿宋" w:hAnsi="仿宋" w:eastAsia="仿宋" w:cs="仿宋"/>
                <w:sz w:val="24"/>
              </w:rPr>
              <w:t>6</w:t>
            </w:r>
          </w:p>
        </w:tc>
        <w:tc>
          <w:tcPr>
            <w:tcW w:w="751" w:type="dxa"/>
            <w:vAlign w:val="center"/>
          </w:tcPr>
          <w:p w14:paraId="4FEA587F">
            <w:pPr>
              <w:jc w:val="center"/>
              <w:rPr>
                <w:rFonts w:ascii="仿宋" w:hAnsi="仿宋" w:eastAsia="仿宋" w:cs="仿宋"/>
                <w:sz w:val="24"/>
              </w:rPr>
            </w:pPr>
            <w:r>
              <w:rPr>
                <w:rFonts w:hint="eastAsia" w:ascii="仿宋" w:hAnsi="仿宋" w:eastAsia="仿宋" w:cs="仿宋"/>
                <w:sz w:val="24"/>
              </w:rPr>
              <w:t>▲</w:t>
            </w:r>
          </w:p>
          <w:p w14:paraId="2CAB1C5F">
            <w:pPr>
              <w:jc w:val="center"/>
              <w:rPr>
                <w:rFonts w:ascii="仿宋" w:hAnsi="仿宋" w:eastAsia="仿宋" w:cs="仿宋"/>
                <w:sz w:val="24"/>
              </w:rPr>
            </w:pPr>
            <w:r>
              <w:rPr>
                <w:rFonts w:hint="eastAsia" w:ascii="仿宋" w:hAnsi="仿宋" w:eastAsia="仿宋" w:cs="仿宋"/>
                <w:sz w:val="24"/>
              </w:rPr>
              <w:t>无线AP</w:t>
            </w:r>
          </w:p>
        </w:tc>
        <w:tc>
          <w:tcPr>
            <w:tcW w:w="7708" w:type="dxa"/>
          </w:tcPr>
          <w:p w14:paraId="05E372C1">
            <w:pPr>
              <w:widowControl/>
              <w:jc w:val="left"/>
              <w:rPr>
                <w:rFonts w:ascii="仿宋" w:hAnsi="仿宋" w:eastAsia="仿宋" w:cs="仿宋"/>
                <w:b/>
                <w:bCs/>
                <w:sz w:val="24"/>
              </w:rPr>
            </w:pPr>
            <w:r>
              <w:rPr>
                <w:rFonts w:hint="eastAsia" w:ascii="仿宋" w:hAnsi="仿宋" w:eastAsia="仿宋" w:cs="仿宋"/>
                <w:b/>
                <w:bCs/>
                <w:sz w:val="24"/>
              </w:rPr>
              <w:t>采用胖AP模式。</w:t>
            </w:r>
          </w:p>
          <w:p w14:paraId="06C9D5B8">
            <w:pPr>
              <w:widowControl/>
              <w:jc w:val="left"/>
              <w:rPr>
                <w:rFonts w:ascii="仿宋" w:hAnsi="仿宋" w:eastAsia="仿宋" w:cs="仿宋"/>
                <w:sz w:val="24"/>
              </w:rPr>
            </w:pPr>
            <w:r>
              <w:rPr>
                <w:rFonts w:hint="eastAsia" w:ascii="仿宋" w:hAnsi="仿宋" w:eastAsia="仿宋" w:cs="仿宋"/>
                <w:sz w:val="24"/>
              </w:rPr>
              <w:t>★1.三路双频设计，不少于两路5GHz和一路2.4GHz射频输出。</w:t>
            </w:r>
          </w:p>
          <w:p w14:paraId="06C1D54A">
            <w:pPr>
              <w:widowControl/>
              <w:jc w:val="left"/>
              <w:rPr>
                <w:rFonts w:ascii="仿宋" w:hAnsi="仿宋" w:eastAsia="仿宋" w:cs="仿宋"/>
                <w:sz w:val="24"/>
              </w:rPr>
            </w:pPr>
            <w:r>
              <w:rPr>
                <w:rFonts w:hint="eastAsia" w:ascii="仿宋" w:hAnsi="仿宋" w:eastAsia="仿宋" w:cs="仿宋"/>
                <w:sz w:val="24"/>
              </w:rPr>
              <w:t>2.支持802.11a/n/ac/ac wave2标准、支持802.11ac MU-MIMO。</w:t>
            </w:r>
          </w:p>
          <w:p w14:paraId="271B14D3">
            <w:pPr>
              <w:widowControl/>
              <w:jc w:val="left"/>
              <w:rPr>
                <w:rFonts w:ascii="仿宋" w:hAnsi="仿宋" w:eastAsia="仿宋" w:cs="仿宋"/>
                <w:sz w:val="24"/>
              </w:rPr>
            </w:pPr>
            <w:r>
              <w:rPr>
                <w:rFonts w:hint="eastAsia" w:ascii="仿宋" w:hAnsi="仿宋" w:eastAsia="仿宋" w:cs="仿宋"/>
                <w:sz w:val="24"/>
              </w:rPr>
              <w:t>3.整机最大接入速率≥2000Mbps；2个及以上10/100/1000Base-T以太网端口，支持POE供电。</w:t>
            </w:r>
          </w:p>
          <w:p w14:paraId="29319B8F">
            <w:pPr>
              <w:widowControl/>
              <w:jc w:val="left"/>
              <w:rPr>
                <w:rFonts w:ascii="仿宋" w:hAnsi="仿宋" w:eastAsia="仿宋" w:cs="仿宋"/>
                <w:sz w:val="24"/>
              </w:rPr>
            </w:pPr>
            <w:r>
              <w:rPr>
                <w:rFonts w:hint="eastAsia" w:ascii="仿宋" w:hAnsi="仿宋" w:eastAsia="仿宋" w:cs="仿宋"/>
                <w:sz w:val="24"/>
              </w:rPr>
              <w:t>4.最大连接数不少于80个。</w:t>
            </w:r>
          </w:p>
          <w:p w14:paraId="1C887865">
            <w:pPr>
              <w:widowControl/>
              <w:jc w:val="left"/>
              <w:rPr>
                <w:rFonts w:ascii="仿宋" w:hAnsi="仿宋" w:eastAsia="仿宋" w:cs="仿宋"/>
                <w:sz w:val="24"/>
              </w:rPr>
            </w:pPr>
            <w:r>
              <w:rPr>
                <w:rFonts w:hint="eastAsia" w:ascii="仿宋" w:hAnsi="仿宋" w:eastAsia="仿宋" w:cs="仿宋"/>
                <w:sz w:val="24"/>
              </w:rPr>
              <w:t>5.无线加密：支持Open System，WPA-PSK，WPA2-PSK。</w:t>
            </w:r>
          </w:p>
          <w:p w14:paraId="2CC05FCC">
            <w:pPr>
              <w:widowControl/>
              <w:jc w:val="left"/>
              <w:rPr>
                <w:rFonts w:ascii="仿宋" w:hAnsi="仿宋" w:eastAsia="仿宋" w:cs="仿宋"/>
                <w:sz w:val="24"/>
              </w:rPr>
            </w:pPr>
            <w:r>
              <w:rPr>
                <w:rFonts w:hint="eastAsia" w:ascii="仿宋" w:hAnsi="仿宋" w:eastAsia="仿宋" w:cs="仿宋"/>
                <w:sz w:val="24"/>
              </w:rPr>
              <w:t>6.支持IPv6技术，包括IPv6报文透传 ,IPv6终端接入认证，采购人保留测试权利。</w:t>
            </w:r>
          </w:p>
          <w:p w14:paraId="00B5BA5C">
            <w:pPr>
              <w:widowControl/>
              <w:jc w:val="left"/>
              <w:rPr>
                <w:rFonts w:ascii="仿宋" w:hAnsi="仿宋" w:eastAsia="仿宋" w:cs="仿宋"/>
                <w:sz w:val="24"/>
              </w:rPr>
            </w:pPr>
            <w:r>
              <w:rPr>
                <w:rFonts w:hint="eastAsia" w:ascii="仿宋" w:hAnsi="仿宋" w:eastAsia="仿宋" w:cs="仿宋"/>
                <w:sz w:val="24"/>
              </w:rPr>
              <w:t>★7.</w:t>
            </w:r>
            <w:r>
              <w:rPr>
                <w:rFonts w:hint="eastAsia" w:ascii="仿宋" w:hAnsi="仿宋" w:eastAsia="仿宋" w:cs="仿宋"/>
                <w:b/>
                <w:sz w:val="24"/>
              </w:rPr>
              <w:t>投标文件中</w:t>
            </w:r>
            <w:r>
              <w:rPr>
                <w:rFonts w:hint="eastAsia" w:ascii="仿宋" w:hAnsi="仿宋" w:eastAsia="仿宋" w:cs="仿宋"/>
                <w:b/>
                <w:bCs/>
                <w:sz w:val="24"/>
              </w:rPr>
              <w:t>提供由工信部颁发的该型号产品有效的无线电发射设备型号核准证书复印件。</w:t>
            </w:r>
          </w:p>
        </w:tc>
        <w:tc>
          <w:tcPr>
            <w:tcW w:w="470" w:type="dxa"/>
            <w:vAlign w:val="center"/>
          </w:tcPr>
          <w:p w14:paraId="6C213F18">
            <w:pPr>
              <w:jc w:val="center"/>
              <w:rPr>
                <w:rFonts w:ascii="仿宋" w:hAnsi="仿宋" w:eastAsia="仿宋" w:cs="仿宋"/>
                <w:sz w:val="24"/>
              </w:rPr>
            </w:pPr>
            <w:r>
              <w:rPr>
                <w:rFonts w:hint="eastAsia" w:ascii="仿宋" w:hAnsi="仿宋" w:eastAsia="仿宋" w:cs="仿宋"/>
                <w:sz w:val="24"/>
              </w:rPr>
              <w:t>台</w:t>
            </w:r>
          </w:p>
        </w:tc>
        <w:tc>
          <w:tcPr>
            <w:tcW w:w="584" w:type="dxa"/>
            <w:vAlign w:val="center"/>
          </w:tcPr>
          <w:p w14:paraId="29897CF3">
            <w:pPr>
              <w:jc w:val="center"/>
              <w:rPr>
                <w:rFonts w:ascii="仿宋" w:hAnsi="仿宋" w:eastAsia="仿宋" w:cs="仿宋"/>
                <w:sz w:val="24"/>
              </w:rPr>
            </w:pPr>
            <w:r>
              <w:rPr>
                <w:rFonts w:hint="eastAsia" w:ascii="仿宋" w:hAnsi="仿宋" w:eastAsia="仿宋" w:cs="仿宋"/>
                <w:sz w:val="24"/>
              </w:rPr>
              <w:t>4</w:t>
            </w:r>
          </w:p>
        </w:tc>
      </w:tr>
      <w:tr w14:paraId="0A99C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6" w:hRule="atLeast"/>
        </w:trPr>
        <w:tc>
          <w:tcPr>
            <w:tcW w:w="456" w:type="dxa"/>
            <w:vAlign w:val="center"/>
          </w:tcPr>
          <w:p w14:paraId="26E323DA">
            <w:pPr>
              <w:jc w:val="center"/>
              <w:rPr>
                <w:rFonts w:ascii="仿宋" w:hAnsi="仿宋" w:eastAsia="仿宋" w:cs="仿宋"/>
                <w:sz w:val="24"/>
              </w:rPr>
            </w:pPr>
            <w:r>
              <w:rPr>
                <w:rFonts w:hint="eastAsia" w:ascii="仿宋" w:hAnsi="仿宋" w:eastAsia="仿宋" w:cs="仿宋"/>
                <w:sz w:val="24"/>
              </w:rPr>
              <w:t>7</w:t>
            </w:r>
          </w:p>
        </w:tc>
        <w:tc>
          <w:tcPr>
            <w:tcW w:w="751" w:type="dxa"/>
            <w:vAlign w:val="center"/>
          </w:tcPr>
          <w:p w14:paraId="1B0C476E">
            <w:pPr>
              <w:jc w:val="center"/>
              <w:rPr>
                <w:rFonts w:ascii="仿宋" w:hAnsi="仿宋" w:eastAsia="仿宋" w:cs="仿宋"/>
                <w:sz w:val="24"/>
              </w:rPr>
            </w:pPr>
            <w:r>
              <w:rPr>
                <w:rFonts w:hint="eastAsia" w:ascii="仿宋" w:hAnsi="仿宋" w:eastAsia="仿宋" w:cs="仿宋"/>
                <w:sz w:val="24"/>
              </w:rPr>
              <w:t>▲</w:t>
            </w:r>
          </w:p>
          <w:p w14:paraId="40E367EB">
            <w:pPr>
              <w:jc w:val="center"/>
              <w:rPr>
                <w:rFonts w:ascii="仿宋" w:hAnsi="仿宋" w:eastAsia="仿宋" w:cs="仿宋"/>
                <w:sz w:val="24"/>
              </w:rPr>
            </w:pPr>
            <w:r>
              <w:rPr>
                <w:rFonts w:hint="eastAsia" w:ascii="仿宋" w:hAnsi="仿宋" w:eastAsia="仿宋" w:cs="仿宋"/>
                <w:sz w:val="24"/>
              </w:rPr>
              <w:t>智慧黑板</w:t>
            </w:r>
          </w:p>
        </w:tc>
        <w:tc>
          <w:tcPr>
            <w:tcW w:w="7708" w:type="dxa"/>
          </w:tcPr>
          <w:p w14:paraId="29B7BB25">
            <w:pPr>
              <w:widowControl/>
              <w:textAlignment w:val="center"/>
              <w:rPr>
                <w:rFonts w:ascii="仿宋" w:hAnsi="仿宋" w:eastAsia="仿宋" w:cs="仿宋"/>
                <w:sz w:val="24"/>
              </w:rPr>
            </w:pPr>
            <w:r>
              <w:rPr>
                <w:rFonts w:hint="eastAsia" w:ascii="仿宋" w:hAnsi="仿宋" w:eastAsia="仿宋" w:cs="仿宋"/>
                <w:sz w:val="24"/>
              </w:rPr>
              <w:t>1.整机采用三拼接平面一体化设计，无推拉式结构及外露连接线，外观简洁。整机尺寸宽度不小于4200mm，高度不小于1200mm。副屏书写屏采用工业级黑色微瓷材质镀膜，表面硬度≥8H，粉笔书写细腻，抗折弯，不掉漆掉色。微瓷镀膜保证副屏硬度的同时提供优秀的书写体验，同时具备防潮、防锈、防眩光、防冲击、耐酒精、耐酸碱、耐高低温等优良特性。中央主屏幕显示采用86英寸UHD超高清LED液晶屏，屏幕分辨率不低于3840*2160，显示比例16:9，主屏具备防眩光效果。</w:t>
            </w:r>
          </w:p>
          <w:p w14:paraId="5F625102">
            <w:pPr>
              <w:widowControl/>
              <w:textAlignment w:val="center"/>
              <w:rPr>
                <w:rFonts w:ascii="仿宋" w:hAnsi="仿宋" w:eastAsia="仿宋" w:cs="仿宋"/>
                <w:sz w:val="24"/>
              </w:rPr>
            </w:pPr>
            <w:r>
              <w:rPr>
                <w:rFonts w:hint="eastAsia" w:ascii="仿宋" w:hAnsi="仿宋" w:eastAsia="仿宋" w:cs="仿宋"/>
                <w:sz w:val="24"/>
              </w:rPr>
              <w:t>2.整机前朝向面板支持教师用作黑板书写板书。主屏与两侧屏幕均支持普通粉笔、液体粉笔、水溶性粉笔等直接书写。</w:t>
            </w:r>
          </w:p>
          <w:p w14:paraId="17059C5B">
            <w:pPr>
              <w:widowControl/>
              <w:textAlignment w:val="center"/>
              <w:rPr>
                <w:rFonts w:ascii="仿宋" w:hAnsi="仿宋" w:eastAsia="仿宋" w:cs="仿宋"/>
                <w:sz w:val="24"/>
              </w:rPr>
            </w:pPr>
            <w:r>
              <w:rPr>
                <w:rFonts w:hint="eastAsia" w:ascii="仿宋" w:hAnsi="仿宋" w:eastAsia="仿宋" w:cs="仿宋"/>
                <w:sz w:val="24"/>
              </w:rPr>
              <w:t>3.★整机屏幕与屏幕保护层全贴合，减少显示面板与玻璃间的偏光、散射，画面显示更加清晰通透、可视角度≥178°，书写延迟时间控制在90ms以内。</w:t>
            </w:r>
          </w:p>
          <w:p w14:paraId="516B7029">
            <w:pPr>
              <w:widowControl/>
              <w:textAlignment w:val="center"/>
              <w:rPr>
                <w:rFonts w:ascii="仿宋" w:hAnsi="仿宋" w:eastAsia="仿宋" w:cs="仿宋"/>
                <w:sz w:val="24"/>
              </w:rPr>
            </w:pPr>
            <w:r>
              <w:rPr>
                <w:rFonts w:hint="eastAsia" w:ascii="仿宋" w:hAnsi="仿宋" w:eastAsia="仿宋" w:cs="仿宋"/>
                <w:sz w:val="24"/>
              </w:rPr>
              <w:t>4.输入接口具备1路VGA；1路Audio；1路AV；1路YPbPr；2路HDMI2.0；1路Android USB；1路RS232；1路RJ45；1路RF；输出接口具备1路耳机；1路同轴输出；1路Touch USB out。</w:t>
            </w:r>
          </w:p>
          <w:p w14:paraId="741662B7">
            <w:pPr>
              <w:widowControl/>
              <w:textAlignment w:val="center"/>
              <w:rPr>
                <w:rFonts w:ascii="仿宋" w:hAnsi="仿宋" w:eastAsia="仿宋" w:cs="仿宋"/>
                <w:sz w:val="24"/>
              </w:rPr>
            </w:pPr>
            <w:r>
              <w:rPr>
                <w:rFonts w:hint="eastAsia" w:ascii="仿宋" w:hAnsi="仿宋" w:eastAsia="仿宋" w:cs="仿宋"/>
                <w:sz w:val="24"/>
              </w:rPr>
              <w:t>5.整机电磁干扰ITE达到国标GB/T9254-2008 Class B等级要求，满足教学环境多电子设备共用，无需采取任何电磁辐射防护措施，不接受GB/T9254-2008 ITE Class A等级产品。</w:t>
            </w:r>
          </w:p>
          <w:p w14:paraId="69EC558B">
            <w:pPr>
              <w:widowControl/>
              <w:textAlignment w:val="center"/>
              <w:rPr>
                <w:rFonts w:ascii="仿宋" w:hAnsi="仿宋" w:eastAsia="仿宋" w:cs="仿宋"/>
                <w:sz w:val="24"/>
              </w:rPr>
            </w:pPr>
            <w:r>
              <w:rPr>
                <w:rFonts w:hint="eastAsia" w:ascii="仿宋" w:hAnsi="仿宋" w:eastAsia="仿宋" w:cs="仿宋"/>
                <w:sz w:val="24"/>
              </w:rPr>
              <w:t>6.整机中间主屏及两侧副屏可支持多种媒介进行板书书写，便于老师完整书写教学内容。整机书写面板采用耐磨玻璃材质，长期书写情况下面板磨损导致的雾度不超过1%。</w:t>
            </w:r>
          </w:p>
          <w:p w14:paraId="4AB2B9AA">
            <w:pPr>
              <w:widowControl/>
              <w:textAlignment w:val="center"/>
              <w:rPr>
                <w:rFonts w:ascii="仿宋" w:hAnsi="仿宋" w:eastAsia="仿宋" w:cs="仿宋"/>
                <w:sz w:val="24"/>
              </w:rPr>
            </w:pPr>
            <w:r>
              <w:rPr>
                <w:rFonts w:hint="eastAsia" w:ascii="仿宋" w:hAnsi="仿宋" w:eastAsia="仿宋" w:cs="仿宋"/>
                <w:sz w:val="24"/>
              </w:rPr>
              <w:t>7.整机书写面板采用防眩光全钢化防爆玻璃面板，面板的碎片状态、抗冲击性、霰弹袋冲击性能、耐热冲击性能均通过国家强制玻璃标准，表面应力≥100Mpa,适应学校复杂环境，保障教学安全。</w:t>
            </w:r>
          </w:p>
          <w:p w14:paraId="38CD52DC">
            <w:pPr>
              <w:widowControl/>
              <w:textAlignment w:val="center"/>
              <w:rPr>
                <w:rFonts w:ascii="仿宋" w:hAnsi="仿宋" w:eastAsia="仿宋" w:cs="仿宋"/>
                <w:sz w:val="24"/>
              </w:rPr>
            </w:pPr>
            <w:r>
              <w:rPr>
                <w:rFonts w:hint="eastAsia" w:ascii="仿宋" w:hAnsi="仿宋" w:eastAsia="仿宋" w:cs="仿宋"/>
                <w:sz w:val="24"/>
              </w:rPr>
              <w:t>8.整机表面覆盖玻璃选用国标优等品，光学变形、点状缺陷、尺寸偏差、弯曲度、透射比等均符合GB11614-2009平板玻璃标准</w:t>
            </w:r>
          </w:p>
          <w:p w14:paraId="5D0CC614">
            <w:pPr>
              <w:widowControl/>
              <w:textAlignment w:val="center"/>
              <w:rPr>
                <w:rFonts w:ascii="仿宋" w:hAnsi="仿宋" w:eastAsia="仿宋" w:cs="仿宋"/>
                <w:sz w:val="24"/>
              </w:rPr>
            </w:pPr>
            <w:r>
              <w:rPr>
                <w:rFonts w:hint="eastAsia" w:ascii="仿宋" w:hAnsi="仿宋" w:eastAsia="仿宋" w:cs="仿宋"/>
                <w:sz w:val="24"/>
              </w:rPr>
              <w:t>9.中间区域屏幕采用钢化玻璃，使用1.04kg钢球，在2m处自由落体撞击整机液晶显示屏幕的钢化玻璃，产品无损伤破裂，功能无异常。</w:t>
            </w:r>
          </w:p>
          <w:p w14:paraId="65065794">
            <w:pPr>
              <w:widowControl/>
              <w:textAlignment w:val="center"/>
              <w:rPr>
                <w:rFonts w:ascii="仿宋" w:hAnsi="仿宋" w:eastAsia="仿宋" w:cs="仿宋"/>
                <w:sz w:val="24"/>
              </w:rPr>
            </w:pPr>
            <w:r>
              <w:rPr>
                <w:rFonts w:hint="eastAsia" w:ascii="仿宋" w:hAnsi="仿宋" w:eastAsia="仿宋" w:cs="仿宋"/>
                <w:sz w:val="24"/>
              </w:rPr>
              <w:t>10.机身具备防盐雾锈蚀特性，且满足GB4943.1-2011标准中的防火要求。</w:t>
            </w:r>
          </w:p>
          <w:p w14:paraId="393FD71B">
            <w:pPr>
              <w:widowControl/>
              <w:textAlignment w:val="center"/>
              <w:rPr>
                <w:rFonts w:ascii="仿宋" w:hAnsi="仿宋" w:eastAsia="仿宋" w:cs="仿宋"/>
                <w:sz w:val="24"/>
              </w:rPr>
            </w:pPr>
            <w:r>
              <w:rPr>
                <w:rFonts w:hint="eastAsia" w:ascii="仿宋" w:hAnsi="仿宋" w:eastAsia="仿宋" w:cs="仿宋"/>
                <w:sz w:val="24"/>
              </w:rPr>
              <w:t>11.整机具备抗振动、防跌落特性，保证整机运输或使用过程中不易受损。</w:t>
            </w:r>
          </w:p>
          <w:p w14:paraId="51C06DFC">
            <w:pPr>
              <w:widowControl/>
              <w:textAlignment w:val="center"/>
              <w:rPr>
                <w:rFonts w:ascii="仿宋" w:hAnsi="仿宋" w:eastAsia="仿宋" w:cs="仿宋"/>
                <w:sz w:val="24"/>
              </w:rPr>
            </w:pPr>
            <w:r>
              <w:rPr>
                <w:rFonts w:hint="eastAsia" w:ascii="仿宋" w:hAnsi="仿宋" w:eastAsia="仿宋" w:cs="仿宋"/>
                <w:sz w:val="24"/>
              </w:rPr>
              <w:t>12.整机在0℃—40℃环境下可正常工作，在-20℃—60℃的环境下可正常贮存且贮存后功能无损。</w:t>
            </w:r>
          </w:p>
          <w:p w14:paraId="2C687FC6">
            <w:pPr>
              <w:widowControl/>
              <w:textAlignment w:val="center"/>
              <w:rPr>
                <w:rFonts w:ascii="仿宋" w:hAnsi="仿宋" w:eastAsia="仿宋" w:cs="仿宋"/>
                <w:sz w:val="24"/>
              </w:rPr>
            </w:pPr>
            <w:r>
              <w:rPr>
                <w:rFonts w:hint="eastAsia" w:ascii="仿宋" w:hAnsi="仿宋" w:eastAsia="仿宋" w:cs="仿宋"/>
                <w:sz w:val="24"/>
              </w:rPr>
              <w:t>13.整机通过产品可靠性检验，MTBF平均无故障时间不低于80000小时。</w:t>
            </w:r>
          </w:p>
          <w:p w14:paraId="19AC0062">
            <w:pPr>
              <w:widowControl/>
              <w:textAlignment w:val="center"/>
              <w:rPr>
                <w:rFonts w:ascii="仿宋" w:hAnsi="仿宋" w:eastAsia="仿宋" w:cs="仿宋"/>
                <w:sz w:val="24"/>
              </w:rPr>
            </w:pPr>
            <w:r>
              <w:rPr>
                <w:rFonts w:hint="eastAsia" w:ascii="仿宋" w:hAnsi="仿宋" w:eastAsia="仿宋" w:cs="仿宋"/>
                <w:sz w:val="24"/>
              </w:rPr>
              <w:t>14.★采用电容触控技术，支持Windows系统中进行20点或以上触控；</w:t>
            </w:r>
          </w:p>
          <w:p w14:paraId="241A0977">
            <w:pPr>
              <w:widowControl/>
              <w:textAlignment w:val="center"/>
              <w:rPr>
                <w:rFonts w:ascii="仿宋" w:hAnsi="仿宋" w:eastAsia="仿宋" w:cs="仿宋"/>
                <w:sz w:val="24"/>
              </w:rPr>
            </w:pPr>
            <w:r>
              <w:rPr>
                <w:rFonts w:hint="eastAsia" w:ascii="仿宋" w:hAnsi="仿宋" w:eastAsia="仿宋" w:cs="仿宋"/>
                <w:sz w:val="24"/>
              </w:rPr>
              <w:t>15.整机内置前朝向2*15w功放，确保声音播放效果。</w:t>
            </w:r>
          </w:p>
          <w:p w14:paraId="2B5242E2">
            <w:pPr>
              <w:widowControl/>
              <w:textAlignment w:val="center"/>
              <w:rPr>
                <w:rFonts w:ascii="仿宋" w:hAnsi="仿宋" w:eastAsia="仿宋" w:cs="仿宋"/>
                <w:sz w:val="24"/>
              </w:rPr>
            </w:pPr>
            <w:r>
              <w:rPr>
                <w:rFonts w:hint="eastAsia" w:ascii="仿宋" w:hAnsi="仿宋" w:eastAsia="仿宋" w:cs="仿宋"/>
                <w:sz w:val="24"/>
              </w:rPr>
              <w:t>16.整机能感应并自动调节屏幕亮度来达到在不同光照环境下的不同亮度显示效果，此功能可自行开启或关闭。</w:t>
            </w:r>
          </w:p>
          <w:p w14:paraId="5D497B4C">
            <w:pPr>
              <w:widowControl/>
              <w:textAlignment w:val="center"/>
              <w:rPr>
                <w:rFonts w:ascii="仿宋" w:hAnsi="仿宋" w:eastAsia="仿宋" w:cs="仿宋"/>
                <w:b/>
                <w:bCs/>
                <w:sz w:val="24"/>
              </w:rPr>
            </w:pPr>
            <w:r>
              <w:rPr>
                <w:rFonts w:hint="eastAsia" w:ascii="仿宋" w:hAnsi="仿宋" w:eastAsia="仿宋" w:cs="仿宋"/>
                <w:sz w:val="24"/>
              </w:rPr>
              <w:t>17.★主副屏采用免工具拆卸安全卡扣拼接，通过免工具拆卸卡扣前翻打开内嵌模块电脑侧的副屏，打开后可通过自带支撑架支撑，无需拆卸副屏即可对整机进行维护。免工具拆卸安全卡扣支持特定螺丝锁定。</w:t>
            </w:r>
            <w:r>
              <w:rPr>
                <w:rFonts w:hint="eastAsia" w:ascii="仿宋" w:hAnsi="仿宋" w:eastAsia="仿宋" w:cs="仿宋"/>
                <w:b/>
                <w:bCs/>
                <w:sz w:val="24"/>
              </w:rPr>
              <w:t>（投标文件中提供第三方权威机构出具的检测报告复印件）</w:t>
            </w:r>
          </w:p>
          <w:p w14:paraId="3662409F">
            <w:pPr>
              <w:widowControl/>
              <w:textAlignment w:val="center"/>
              <w:rPr>
                <w:rFonts w:ascii="仿宋" w:hAnsi="仿宋" w:eastAsia="仿宋" w:cs="仿宋"/>
                <w:sz w:val="24"/>
              </w:rPr>
            </w:pPr>
            <w:r>
              <w:rPr>
                <w:rFonts w:hint="eastAsia" w:ascii="仿宋" w:hAnsi="仿宋" w:eastAsia="仿宋" w:cs="仿宋"/>
                <w:sz w:val="24"/>
              </w:rPr>
              <w:t>18.整机具备不少于1路侧置双通道USB接口，双系统USB接口支持Windows及Android双系统读取外接存储设备数据和识别展台信号。</w:t>
            </w:r>
          </w:p>
          <w:p w14:paraId="646197E8">
            <w:pPr>
              <w:widowControl/>
              <w:textAlignment w:val="center"/>
              <w:rPr>
                <w:rFonts w:ascii="仿宋" w:hAnsi="仿宋" w:eastAsia="仿宋" w:cs="仿宋"/>
                <w:b/>
                <w:bCs/>
                <w:sz w:val="24"/>
              </w:rPr>
            </w:pPr>
            <w:r>
              <w:rPr>
                <w:rFonts w:hint="eastAsia" w:ascii="仿宋" w:hAnsi="仿宋" w:eastAsia="仿宋" w:cs="仿宋"/>
                <w:sz w:val="24"/>
              </w:rPr>
              <w:t>19.★整机具有减滤蓝光功能，可通过前置物理功能按键方式一键启用减滤蓝光模式。</w:t>
            </w:r>
            <w:r>
              <w:rPr>
                <w:rFonts w:hint="eastAsia" w:ascii="仿宋" w:hAnsi="仿宋" w:eastAsia="仿宋" w:cs="仿宋"/>
                <w:b/>
                <w:bCs/>
                <w:sz w:val="24"/>
              </w:rPr>
              <w:t>（投标文件中提供第三方权威机构出具的检测报告复印件）</w:t>
            </w:r>
          </w:p>
          <w:p w14:paraId="123B7698">
            <w:pPr>
              <w:widowControl/>
              <w:textAlignment w:val="center"/>
              <w:rPr>
                <w:rFonts w:ascii="仿宋" w:hAnsi="仿宋" w:eastAsia="仿宋" w:cs="仿宋"/>
                <w:b/>
                <w:bCs/>
                <w:sz w:val="24"/>
              </w:rPr>
            </w:pPr>
            <w:r>
              <w:rPr>
                <w:rFonts w:hint="eastAsia" w:ascii="仿宋" w:hAnsi="仿宋" w:eastAsia="仿宋" w:cs="仿宋"/>
                <w:sz w:val="24"/>
              </w:rPr>
              <w:t>20.★整机内置非独立外扩展的摄像头，支持二维码扫码识别功能，可拍摄不低于500万像素的照片。（</w:t>
            </w:r>
            <w:r>
              <w:rPr>
                <w:rFonts w:hint="eastAsia" w:ascii="仿宋" w:hAnsi="仿宋" w:eastAsia="仿宋" w:cs="仿宋"/>
                <w:b/>
                <w:bCs/>
                <w:sz w:val="24"/>
              </w:rPr>
              <w:t>投标文件中提供第三方权威机构出具的检测报告复印件）</w:t>
            </w:r>
          </w:p>
          <w:p w14:paraId="2C85AC12">
            <w:pPr>
              <w:widowControl/>
              <w:textAlignment w:val="center"/>
              <w:rPr>
                <w:rFonts w:ascii="仿宋" w:hAnsi="仿宋" w:eastAsia="仿宋" w:cs="仿宋"/>
                <w:b/>
                <w:bCs/>
                <w:sz w:val="24"/>
              </w:rPr>
            </w:pPr>
            <w:r>
              <w:rPr>
                <w:rFonts w:hint="eastAsia" w:ascii="仿宋" w:hAnsi="仿宋" w:eastAsia="仿宋" w:cs="仿宋"/>
                <w:sz w:val="24"/>
              </w:rPr>
              <w:t>21.★整机内置非独立外扩展的麦克风，可用于一键录屏对音频进行采集。</w:t>
            </w:r>
            <w:r>
              <w:rPr>
                <w:rFonts w:hint="eastAsia" w:ascii="仿宋" w:hAnsi="仿宋" w:eastAsia="仿宋" w:cs="仿宋"/>
                <w:b/>
                <w:bCs/>
                <w:sz w:val="24"/>
              </w:rPr>
              <w:t>（投标文件中提供第三方权威机构出具的检测报告复印件）</w:t>
            </w:r>
          </w:p>
          <w:p w14:paraId="25BADE08">
            <w:pPr>
              <w:widowControl/>
              <w:textAlignment w:val="center"/>
              <w:rPr>
                <w:rFonts w:ascii="仿宋" w:hAnsi="仿宋" w:eastAsia="仿宋" w:cs="仿宋"/>
                <w:sz w:val="24"/>
              </w:rPr>
            </w:pPr>
            <w:r>
              <w:rPr>
                <w:rFonts w:hint="eastAsia" w:ascii="仿宋" w:hAnsi="仿宋" w:eastAsia="仿宋" w:cs="仿宋"/>
                <w:sz w:val="24"/>
              </w:rPr>
              <w:t>22.内置摄像头、麦克风无需外接线材连接，无任何可见外接线材及模块化拼接痕迹，以确保音视频传输稳定且不占用整机设备端口。</w:t>
            </w:r>
          </w:p>
          <w:p w14:paraId="5065B12E">
            <w:pPr>
              <w:widowControl/>
              <w:textAlignment w:val="center"/>
              <w:rPr>
                <w:rFonts w:ascii="仿宋" w:hAnsi="仿宋" w:eastAsia="仿宋" w:cs="仿宋"/>
                <w:sz w:val="24"/>
              </w:rPr>
            </w:pPr>
            <w:r>
              <w:rPr>
                <w:rFonts w:hint="eastAsia" w:ascii="仿宋" w:hAnsi="仿宋" w:eastAsia="仿宋" w:cs="仿宋"/>
                <w:sz w:val="24"/>
              </w:rPr>
              <w:t>23.外接电脑设备连接整机且触摸信号联通时，外接电脑设备可直接读取整机前置USB接口的移动存储设备数据，连接整机前置USB接口的翻页笔、无线键鼠等外接设备可直接使用于外接电脑，无需重复部署。</w:t>
            </w:r>
          </w:p>
          <w:p w14:paraId="6146851C">
            <w:pPr>
              <w:widowControl/>
              <w:textAlignment w:val="center"/>
              <w:rPr>
                <w:rFonts w:ascii="仿宋" w:hAnsi="仿宋" w:eastAsia="仿宋" w:cs="仿宋"/>
                <w:sz w:val="24"/>
              </w:rPr>
            </w:pPr>
            <w:r>
              <w:rPr>
                <w:rFonts w:hint="eastAsia" w:ascii="仿宋" w:hAnsi="仿宋" w:eastAsia="仿宋" w:cs="仿宋"/>
                <w:sz w:val="24"/>
              </w:rPr>
              <w:t>24.★支持用户在菜单中开启/关闭DBX-TV中总恒音、总绚音、总环音的功能。</w:t>
            </w:r>
            <w:r>
              <w:rPr>
                <w:rFonts w:hint="eastAsia" w:ascii="仿宋" w:hAnsi="仿宋" w:eastAsia="仿宋" w:cs="仿宋"/>
                <w:b/>
                <w:bCs/>
                <w:sz w:val="24"/>
              </w:rPr>
              <w:t>（投标文件中提供第三方权威机构出具的检测报告复印件）</w:t>
            </w:r>
          </w:p>
          <w:p w14:paraId="2E5FD68F">
            <w:pPr>
              <w:widowControl/>
              <w:textAlignment w:val="center"/>
              <w:rPr>
                <w:rFonts w:ascii="仿宋" w:hAnsi="仿宋" w:eastAsia="仿宋" w:cs="仿宋"/>
                <w:b/>
                <w:bCs/>
                <w:sz w:val="24"/>
              </w:rPr>
            </w:pPr>
            <w:r>
              <w:rPr>
                <w:rFonts w:hint="eastAsia" w:ascii="仿宋" w:hAnsi="仿宋" w:eastAsia="仿宋" w:cs="仿宋"/>
                <w:sz w:val="24"/>
              </w:rPr>
              <w:t>25.★采用智能电子产品一键式设计：同一物理按键完成Android系统、Windows系统和节能熄屏操作，通过轻按按键实现节能熄屏/唤醒，长按按键实现关机。（</w:t>
            </w:r>
            <w:r>
              <w:rPr>
                <w:rFonts w:hint="eastAsia" w:ascii="仿宋" w:hAnsi="仿宋" w:eastAsia="仿宋" w:cs="仿宋"/>
                <w:b/>
                <w:bCs/>
                <w:sz w:val="24"/>
              </w:rPr>
              <w:t>投标文件中提供第三方权威机构出具的检测报告复印件）</w:t>
            </w:r>
          </w:p>
          <w:p w14:paraId="4A511BEA">
            <w:pPr>
              <w:widowControl/>
              <w:textAlignment w:val="center"/>
              <w:rPr>
                <w:rFonts w:ascii="仿宋" w:hAnsi="仿宋" w:eastAsia="仿宋" w:cs="仿宋"/>
                <w:sz w:val="24"/>
              </w:rPr>
            </w:pPr>
            <w:r>
              <w:rPr>
                <w:rFonts w:hint="eastAsia" w:ascii="仿宋" w:hAnsi="仿宋" w:eastAsia="仿宋" w:cs="仿宋"/>
                <w:sz w:val="24"/>
              </w:rPr>
              <w:t>26.★整机内置无线网络模块，无任何外接、转接天线及网卡可实现正常网络连接。</w:t>
            </w:r>
            <w:r>
              <w:rPr>
                <w:rFonts w:hint="eastAsia" w:ascii="仿宋" w:hAnsi="仿宋" w:eastAsia="仿宋" w:cs="仿宋"/>
                <w:b/>
                <w:bCs/>
                <w:sz w:val="24"/>
              </w:rPr>
              <w:t>（投标文件中提供第三方权威机构出具的检测报告复印件）</w:t>
            </w:r>
          </w:p>
          <w:p w14:paraId="5FC34357">
            <w:pPr>
              <w:widowControl/>
              <w:textAlignment w:val="center"/>
              <w:rPr>
                <w:rFonts w:ascii="仿宋" w:hAnsi="仿宋" w:eastAsia="仿宋" w:cs="仿宋"/>
                <w:sz w:val="24"/>
              </w:rPr>
            </w:pPr>
            <w:r>
              <w:rPr>
                <w:rFonts w:hint="eastAsia" w:ascii="仿宋" w:hAnsi="仿宋" w:eastAsia="仿宋" w:cs="仿宋"/>
                <w:sz w:val="24"/>
              </w:rPr>
              <w:t>27.整机可实时显示设备温度，根据温度高低显示不同颜色进行提示。</w:t>
            </w:r>
          </w:p>
          <w:p w14:paraId="78A060B9">
            <w:pPr>
              <w:widowControl/>
              <w:textAlignment w:val="center"/>
              <w:rPr>
                <w:rFonts w:ascii="仿宋" w:hAnsi="仿宋" w:eastAsia="仿宋" w:cs="仿宋"/>
                <w:sz w:val="24"/>
              </w:rPr>
            </w:pPr>
            <w:r>
              <w:rPr>
                <w:rFonts w:hint="eastAsia" w:ascii="仿宋" w:hAnsi="仿宋" w:eastAsia="仿宋" w:cs="仿宋"/>
                <w:sz w:val="24"/>
              </w:rPr>
              <w:t>28.整机视网膜蓝光危害（蓝光加权辐射亮度LB）符合IEC62471标准，LB限值范围≤0.55。</w:t>
            </w:r>
          </w:p>
          <w:p w14:paraId="19AA84D2">
            <w:pPr>
              <w:widowControl/>
              <w:textAlignment w:val="center"/>
              <w:rPr>
                <w:rFonts w:ascii="仿宋" w:hAnsi="仿宋" w:eastAsia="仿宋" w:cs="仿宋"/>
                <w:b/>
                <w:bCs/>
                <w:sz w:val="24"/>
              </w:rPr>
            </w:pPr>
            <w:r>
              <w:rPr>
                <w:rFonts w:hint="eastAsia" w:ascii="仿宋" w:hAnsi="仿宋" w:eastAsia="仿宋" w:cs="仿宋"/>
                <w:sz w:val="24"/>
              </w:rPr>
              <w:t>29.★整机支持机身前置物理按键一键启动录屏功能，可将屏幕中显示的课件、音频等内容与老师人声同步录制。</w:t>
            </w:r>
            <w:r>
              <w:rPr>
                <w:rFonts w:hint="eastAsia" w:ascii="仿宋" w:hAnsi="仿宋" w:eastAsia="仿宋" w:cs="仿宋"/>
                <w:b/>
                <w:bCs/>
                <w:sz w:val="24"/>
              </w:rPr>
              <w:t>（投标文件中提供第三方权威机构出具的检测报告复印件）</w:t>
            </w:r>
          </w:p>
          <w:p w14:paraId="2CFE795F">
            <w:pPr>
              <w:widowControl/>
              <w:textAlignment w:val="center"/>
              <w:rPr>
                <w:rFonts w:ascii="仿宋" w:hAnsi="仿宋" w:eastAsia="仿宋" w:cs="仿宋"/>
                <w:sz w:val="24"/>
              </w:rPr>
            </w:pPr>
            <w:r>
              <w:rPr>
                <w:rFonts w:hint="eastAsia" w:ascii="仿宋" w:hAnsi="仿宋" w:eastAsia="仿宋" w:cs="仿宋"/>
                <w:sz w:val="24"/>
              </w:rPr>
              <w:t>30.整机无需外接无线网卡，在嵌入式系统下接入无线网络，切换到Windows系统下可同时实现无线上网功能，不需手动重复设置。</w:t>
            </w:r>
          </w:p>
          <w:p w14:paraId="6C860141">
            <w:pPr>
              <w:widowControl/>
              <w:textAlignment w:val="center"/>
              <w:rPr>
                <w:rFonts w:ascii="仿宋" w:hAnsi="仿宋" w:eastAsia="仿宋" w:cs="仿宋"/>
                <w:sz w:val="24"/>
              </w:rPr>
            </w:pPr>
            <w:r>
              <w:rPr>
                <w:rFonts w:hint="eastAsia" w:ascii="仿宋" w:hAnsi="仿宋" w:eastAsia="仿宋" w:cs="仿宋"/>
                <w:sz w:val="24"/>
              </w:rPr>
              <w:t xml:space="preserve">31.在PC系统出现异常或需要清除PC数据时，可插入带激活文件的U盘，在嵌入式系统的设置界面中启动PC一键还原功能，将PC系统恢复至出厂状态。                                 </w:t>
            </w:r>
          </w:p>
          <w:p w14:paraId="70A751FD">
            <w:pPr>
              <w:widowControl/>
              <w:textAlignment w:val="center"/>
              <w:rPr>
                <w:rFonts w:ascii="仿宋" w:hAnsi="仿宋" w:eastAsia="仿宋" w:cs="仿宋"/>
                <w:sz w:val="24"/>
              </w:rPr>
            </w:pPr>
            <w:r>
              <w:rPr>
                <w:rFonts w:hint="eastAsia" w:ascii="仿宋" w:hAnsi="仿宋" w:eastAsia="仿宋" w:cs="仿宋"/>
                <w:sz w:val="24"/>
              </w:rPr>
              <w:t xml:space="preserve">32.支持锁定屏幕触摸及整机前置按键，可通过遥控器、软件菜单（调试菜单）实现该功能，也通过前置的实体按键，以组合按键的形式锁定/解锁。          </w:t>
            </w:r>
          </w:p>
          <w:p w14:paraId="3DD2F363">
            <w:pPr>
              <w:widowControl/>
              <w:textAlignment w:val="center"/>
              <w:rPr>
                <w:rFonts w:ascii="仿宋" w:hAnsi="仿宋" w:eastAsia="仿宋" w:cs="仿宋"/>
                <w:sz w:val="24"/>
              </w:rPr>
            </w:pPr>
            <w:r>
              <w:rPr>
                <w:rFonts w:hint="eastAsia" w:ascii="仿宋" w:hAnsi="仿宋" w:eastAsia="仿宋" w:cs="仿宋"/>
                <w:sz w:val="24"/>
              </w:rPr>
              <w:t>33.整机具备至少6个前置按键，方便老师快速开关机、调出中控菜单、进入安卓系统等操作。</w:t>
            </w:r>
          </w:p>
          <w:p w14:paraId="53C5D1BA">
            <w:pPr>
              <w:widowControl/>
              <w:textAlignment w:val="center"/>
              <w:rPr>
                <w:rFonts w:ascii="仿宋" w:hAnsi="仿宋" w:eastAsia="仿宋" w:cs="仿宋"/>
                <w:b/>
                <w:bCs/>
                <w:sz w:val="24"/>
              </w:rPr>
            </w:pPr>
            <w:r>
              <w:rPr>
                <w:rFonts w:hint="eastAsia" w:ascii="仿宋" w:hAnsi="仿宋" w:eastAsia="仿宋" w:cs="仿宋"/>
                <w:sz w:val="24"/>
              </w:rPr>
              <w:t>34.★系统版本不低于Android 7.0，运行内存不低于2GB，存储空间不低于8GB</w:t>
            </w:r>
            <w:r>
              <w:rPr>
                <w:rFonts w:hint="eastAsia" w:ascii="仿宋" w:hAnsi="仿宋" w:eastAsia="仿宋" w:cs="仿宋"/>
                <w:b/>
                <w:bCs/>
                <w:sz w:val="24"/>
              </w:rPr>
              <w:t>（投标文件中提供第三方权威机构出具的检测报告复印件）</w:t>
            </w:r>
          </w:p>
          <w:p w14:paraId="27C02B56">
            <w:pPr>
              <w:widowControl/>
              <w:textAlignment w:val="center"/>
              <w:rPr>
                <w:rFonts w:ascii="仿宋" w:hAnsi="仿宋" w:eastAsia="仿宋" w:cs="仿宋"/>
                <w:sz w:val="24"/>
              </w:rPr>
            </w:pPr>
            <w:r>
              <w:rPr>
                <w:rFonts w:hint="eastAsia" w:ascii="仿宋" w:hAnsi="仿宋" w:eastAsia="仿宋" w:cs="仿宋"/>
                <w:sz w:val="24"/>
              </w:rPr>
              <w:t>35.整机在任意通道下，可调用互动课堂功能。</w:t>
            </w:r>
          </w:p>
          <w:p w14:paraId="2237E44A">
            <w:pPr>
              <w:widowControl/>
              <w:textAlignment w:val="center"/>
              <w:rPr>
                <w:rFonts w:ascii="仿宋" w:hAnsi="仿宋" w:eastAsia="仿宋" w:cs="仿宋"/>
                <w:sz w:val="24"/>
              </w:rPr>
            </w:pPr>
            <w:r>
              <w:rPr>
                <w:rFonts w:hint="eastAsia" w:ascii="仿宋" w:hAnsi="仿宋" w:eastAsia="仿宋" w:cs="仿宋"/>
                <w:sz w:val="24"/>
              </w:rPr>
              <w:t>36.支持手机扫描二维码进行互动答题；教师可发起单选题、多选题、抢答题、判断题等，答题结束可查看答题数据并导出。学生可自行设置姓名，支持课堂抽选功能。提供实时提问功能，学生可通过移动端实时发送提问内容至智慧黑板展示。</w:t>
            </w:r>
          </w:p>
          <w:p w14:paraId="74E56703">
            <w:pPr>
              <w:widowControl/>
              <w:textAlignment w:val="center"/>
              <w:rPr>
                <w:rFonts w:ascii="仿宋" w:hAnsi="仿宋" w:eastAsia="仿宋" w:cs="仿宋"/>
                <w:sz w:val="24"/>
              </w:rPr>
            </w:pPr>
            <w:r>
              <w:rPr>
                <w:rFonts w:hint="eastAsia" w:ascii="仿宋" w:hAnsi="仿宋" w:eastAsia="仿宋" w:cs="仿宋"/>
                <w:sz w:val="24"/>
              </w:rPr>
              <w:t>37.嵌入式白板支持对已经书写的笔迹和形状的颜色进行更换。</w:t>
            </w:r>
          </w:p>
          <w:p w14:paraId="6E7E8A51">
            <w:pPr>
              <w:widowControl/>
              <w:textAlignment w:val="center"/>
              <w:rPr>
                <w:rFonts w:ascii="仿宋" w:hAnsi="仿宋" w:eastAsia="仿宋" w:cs="仿宋"/>
                <w:sz w:val="24"/>
              </w:rPr>
            </w:pPr>
            <w:r>
              <w:rPr>
                <w:rFonts w:hint="eastAsia" w:ascii="仿宋" w:hAnsi="仿宋" w:eastAsia="仿宋" w:cs="仿宋"/>
                <w:sz w:val="24"/>
              </w:rPr>
              <w:t>38.用户自定义通道信号源名称后，若该名称为系统记录过的常见信号源，将会自动更换为该信号源名称匹配的图标。</w:t>
            </w:r>
          </w:p>
          <w:p w14:paraId="23D51B40">
            <w:pPr>
              <w:widowControl/>
              <w:textAlignment w:val="center"/>
              <w:rPr>
                <w:rFonts w:ascii="仿宋" w:hAnsi="仿宋" w:eastAsia="仿宋" w:cs="仿宋"/>
                <w:sz w:val="24"/>
              </w:rPr>
            </w:pPr>
            <w:r>
              <w:rPr>
                <w:rFonts w:hint="eastAsia" w:ascii="仿宋" w:hAnsi="仿宋" w:eastAsia="仿宋" w:cs="仿宋"/>
                <w:sz w:val="24"/>
              </w:rPr>
              <w:t>39.支持智能U盘锁功能，整机可设置触摸及按键自动锁定，锁定后无法随意自由操作，需要使用时只需插入USB key即可解锁。</w:t>
            </w:r>
          </w:p>
          <w:p w14:paraId="653A0522">
            <w:pPr>
              <w:widowControl/>
              <w:textAlignment w:val="center"/>
              <w:rPr>
                <w:rFonts w:ascii="仿宋" w:hAnsi="仿宋" w:eastAsia="仿宋" w:cs="仿宋"/>
                <w:sz w:val="24"/>
              </w:rPr>
            </w:pPr>
            <w:r>
              <w:rPr>
                <w:rFonts w:hint="eastAsia" w:ascii="仿宋" w:hAnsi="仿宋" w:eastAsia="仿宋" w:cs="仿宋"/>
                <w:sz w:val="24"/>
              </w:rPr>
              <w:t>40.整机支持任意通道画面冻结放大功能，可在任意通道下将画面冻结并双击画面任一部分进行放大，放大后的屏幕画面可进行任意拖拽。</w:t>
            </w:r>
          </w:p>
          <w:p w14:paraId="6D379CF5">
            <w:pPr>
              <w:widowControl/>
              <w:textAlignment w:val="center"/>
              <w:rPr>
                <w:rFonts w:ascii="仿宋" w:hAnsi="仿宋" w:eastAsia="仿宋" w:cs="仿宋"/>
                <w:sz w:val="24"/>
              </w:rPr>
            </w:pPr>
            <w:r>
              <w:rPr>
                <w:rFonts w:hint="eastAsia" w:ascii="仿宋" w:hAnsi="仿宋" w:eastAsia="仿宋" w:cs="仿宋"/>
                <w:sz w:val="24"/>
              </w:rPr>
              <w:t>41.开机画面支持自定义（调试菜单），可设置为文字、图片。</w:t>
            </w:r>
          </w:p>
          <w:p w14:paraId="4C2E2FDD">
            <w:pPr>
              <w:widowControl/>
              <w:textAlignment w:val="center"/>
              <w:rPr>
                <w:rFonts w:ascii="仿宋" w:hAnsi="仿宋" w:eastAsia="仿宋" w:cs="仿宋"/>
                <w:sz w:val="24"/>
              </w:rPr>
            </w:pPr>
            <w:r>
              <w:rPr>
                <w:rFonts w:hint="eastAsia" w:ascii="仿宋" w:hAnsi="仿宋" w:eastAsia="仿宋" w:cs="仿宋"/>
                <w:sz w:val="24"/>
              </w:rPr>
              <w:t>42.Android系统中，同一局域网环境下，支持通过移动端扫描二维码的方式实现整机文件共享及板书内容共享。</w:t>
            </w:r>
          </w:p>
          <w:p w14:paraId="2C1087BB">
            <w:pPr>
              <w:widowControl/>
              <w:textAlignment w:val="center"/>
              <w:rPr>
                <w:rFonts w:ascii="仿宋" w:hAnsi="仿宋" w:eastAsia="仿宋" w:cs="仿宋"/>
                <w:b/>
                <w:bCs/>
                <w:sz w:val="24"/>
              </w:rPr>
            </w:pPr>
            <w:r>
              <w:rPr>
                <w:rFonts w:hint="eastAsia" w:ascii="仿宋" w:hAnsi="仿宋" w:eastAsia="仿宋" w:cs="仿宋"/>
                <w:sz w:val="24"/>
              </w:rPr>
              <w:t>43.★可通过软件快捷键即可实现液晶屏显示窗口下移，并可进行触控批注。</w:t>
            </w:r>
            <w:r>
              <w:rPr>
                <w:rFonts w:hint="eastAsia" w:ascii="仿宋" w:hAnsi="仿宋" w:eastAsia="仿宋" w:cs="仿宋"/>
                <w:b/>
                <w:bCs/>
                <w:sz w:val="24"/>
              </w:rPr>
              <w:t>（投标文件中提供第三方权威机构出具的检测报告复印件）</w:t>
            </w:r>
          </w:p>
          <w:p w14:paraId="13C9AB3D">
            <w:pPr>
              <w:widowControl/>
              <w:textAlignment w:val="center"/>
              <w:rPr>
                <w:rFonts w:ascii="仿宋" w:hAnsi="仿宋" w:eastAsia="仿宋" w:cs="仿宋"/>
                <w:sz w:val="24"/>
              </w:rPr>
            </w:pPr>
            <w:r>
              <w:rPr>
                <w:rFonts w:hint="eastAsia" w:ascii="仿宋" w:hAnsi="仿宋" w:eastAsia="仿宋" w:cs="仿宋"/>
                <w:sz w:val="24"/>
              </w:rPr>
              <w:t>44.无PC状态下，嵌入式安卓操作系统支持超级计算器功能，可进行初级计算、方程（组）智能求解、自动求导求积分的操作，可根据用户输入的函数智能绘制函数图像。</w:t>
            </w:r>
          </w:p>
          <w:p w14:paraId="1BEB8550">
            <w:pPr>
              <w:widowControl/>
              <w:textAlignment w:val="center"/>
              <w:rPr>
                <w:rFonts w:ascii="仿宋" w:hAnsi="仿宋" w:eastAsia="仿宋" w:cs="仿宋"/>
                <w:sz w:val="24"/>
              </w:rPr>
            </w:pPr>
            <w:r>
              <w:rPr>
                <w:rFonts w:hint="eastAsia" w:ascii="仿宋" w:hAnsi="仿宋" w:eastAsia="仿宋" w:cs="仿宋"/>
                <w:sz w:val="24"/>
              </w:rPr>
              <w:t>45.内置无线传屏接收器，无需外接接收部件，无线传屏发射器与整机匹配后即可实现传屏功能。</w:t>
            </w:r>
          </w:p>
          <w:p w14:paraId="02360835">
            <w:pPr>
              <w:widowControl/>
              <w:textAlignment w:val="center"/>
              <w:rPr>
                <w:rFonts w:ascii="仿宋" w:hAnsi="仿宋" w:eastAsia="仿宋" w:cs="仿宋"/>
                <w:sz w:val="24"/>
              </w:rPr>
            </w:pPr>
            <w:r>
              <w:rPr>
                <w:rFonts w:hint="eastAsia" w:ascii="仿宋" w:hAnsi="仿宋" w:eastAsia="仿宋" w:cs="仿宋"/>
                <w:sz w:val="24"/>
              </w:rPr>
              <w:t>46.嵌入式系统内具备视频展台应用工具，可对摄像头内整个画面进行截图以及对所截取画面进行批注、旋转及截图，支持二分屏或四分屏同时展示画面内容，可任意更换分屏幕画面内容。</w:t>
            </w:r>
          </w:p>
          <w:p w14:paraId="69B9DE9E">
            <w:pPr>
              <w:widowControl/>
              <w:textAlignment w:val="center"/>
              <w:rPr>
                <w:rFonts w:ascii="仿宋" w:hAnsi="仿宋" w:eastAsia="仿宋" w:cs="仿宋"/>
                <w:sz w:val="24"/>
              </w:rPr>
            </w:pPr>
            <w:r>
              <w:rPr>
                <w:rFonts w:hint="eastAsia" w:ascii="仿宋" w:hAnsi="仿宋" w:eastAsia="仿宋" w:cs="仿宋"/>
                <w:sz w:val="24"/>
              </w:rPr>
              <w:t>47.快捷小工具：支持自定义侧边菜单中的小工具功能，用户在任意通道下可调取板中板、聚光灯、秒表、倒计时、倒计日、日历等小工具，并支持根据用户习惯任意调整显示顺序，方便老师组合使用。</w:t>
            </w:r>
          </w:p>
          <w:p w14:paraId="11773D67">
            <w:pPr>
              <w:widowControl/>
              <w:textAlignment w:val="center"/>
              <w:rPr>
                <w:rFonts w:ascii="仿宋" w:hAnsi="仿宋" w:eastAsia="仿宋" w:cs="仿宋"/>
                <w:sz w:val="24"/>
              </w:rPr>
            </w:pPr>
            <w:r>
              <w:rPr>
                <w:rFonts w:hint="eastAsia" w:ascii="仿宋" w:hAnsi="仿宋" w:eastAsia="仿宋" w:cs="仿宋"/>
                <w:sz w:val="24"/>
              </w:rPr>
              <w:t>48.整机处于非内置PC通道下，在屏幕侧边可调出PC通道按钮，支持用户一键回到PC常用快捷通道，可从侧边栏一键进入该通道。</w:t>
            </w:r>
          </w:p>
          <w:p w14:paraId="7D6ECDAF">
            <w:pPr>
              <w:widowControl/>
              <w:textAlignment w:val="center"/>
              <w:rPr>
                <w:rFonts w:ascii="仿宋" w:hAnsi="仿宋" w:eastAsia="仿宋" w:cs="仿宋"/>
                <w:sz w:val="24"/>
              </w:rPr>
            </w:pPr>
            <w:r>
              <w:rPr>
                <w:rFonts w:hint="eastAsia" w:ascii="仿宋" w:hAnsi="仿宋" w:eastAsia="仿宋" w:cs="仿宋"/>
                <w:sz w:val="24"/>
              </w:rPr>
              <w:t>49.具备智能手势识别功能，系统在任意信号源通道下可智能识别上、下、左、右方向手势滑动并调用响应功能，支持将手势滑动方向自定义设置为快速返回、截图、冻结屏幕。</w:t>
            </w:r>
          </w:p>
          <w:p w14:paraId="346DF0BD">
            <w:pPr>
              <w:widowControl/>
              <w:textAlignment w:val="center"/>
              <w:rPr>
                <w:rFonts w:ascii="仿宋" w:hAnsi="仿宋" w:eastAsia="仿宋" w:cs="仿宋"/>
                <w:sz w:val="24"/>
              </w:rPr>
            </w:pPr>
            <w:r>
              <w:rPr>
                <w:rFonts w:hint="eastAsia" w:ascii="仿宋" w:hAnsi="仿宋" w:eastAsia="仿宋" w:cs="仿宋"/>
                <w:sz w:val="24"/>
              </w:rPr>
              <w:t>50.无PC状态下，嵌入式安卓操作系统可实现windows系统中常用的教学应用功能，如白板书写、Office软件使用、网页浏览等。</w:t>
            </w:r>
          </w:p>
          <w:p w14:paraId="778791EC">
            <w:pPr>
              <w:widowControl/>
              <w:textAlignment w:val="center"/>
              <w:rPr>
                <w:rFonts w:ascii="仿宋" w:hAnsi="仿宋" w:eastAsia="仿宋" w:cs="仿宋"/>
                <w:sz w:val="24"/>
              </w:rPr>
            </w:pPr>
            <w:r>
              <w:rPr>
                <w:rFonts w:hint="eastAsia" w:ascii="仿宋" w:hAnsi="仿宋" w:eastAsia="仿宋" w:cs="仿宋"/>
                <w:sz w:val="24"/>
              </w:rPr>
              <w:t>51.在嵌入式安卓操作系统下，能对TV多媒体USB所读取到的课件文件进行自动归类，可快速分类查找文档、板书、图片、音视频，检索后可直接在界面中打开。</w:t>
            </w:r>
          </w:p>
          <w:p w14:paraId="3A509620">
            <w:pPr>
              <w:widowControl/>
              <w:textAlignment w:val="center"/>
              <w:rPr>
                <w:rFonts w:ascii="仿宋" w:hAnsi="仿宋" w:eastAsia="仿宋" w:cs="仿宋"/>
                <w:sz w:val="24"/>
              </w:rPr>
            </w:pPr>
            <w:r>
              <w:rPr>
                <w:rFonts w:hint="eastAsia" w:ascii="仿宋" w:hAnsi="仿宋" w:eastAsia="仿宋" w:cs="仿宋"/>
                <w:sz w:val="24"/>
              </w:rPr>
              <w:t>52.整机在任意通道下支持手势识别调出板擦工具擦除批注内容可根据手与屏幕的接触面积自动调整板擦工具的大小。</w:t>
            </w:r>
          </w:p>
          <w:p w14:paraId="75EFE240">
            <w:pPr>
              <w:widowControl/>
              <w:textAlignment w:val="center"/>
              <w:rPr>
                <w:rFonts w:ascii="仿宋" w:hAnsi="仿宋" w:eastAsia="仿宋" w:cs="仿宋"/>
                <w:sz w:val="24"/>
              </w:rPr>
            </w:pPr>
            <w:r>
              <w:rPr>
                <w:rFonts w:hint="eastAsia" w:ascii="仿宋" w:hAnsi="仿宋" w:eastAsia="仿宋" w:cs="仿宋"/>
                <w:sz w:val="24"/>
              </w:rPr>
              <w:t>53.无PC状态下，嵌入式系统内置互动白板支持十笔书写及手掌擦除（擦除面积根据手掌与屏幕的接触面大小自动调整），白板书写内容可导出PDF、iwb、svg等格式。支持单点书写和多点书写的切换。支持10种以上平面图形工具、8种以上立体图形工具。</w:t>
            </w:r>
          </w:p>
          <w:p w14:paraId="1F5EA8A3">
            <w:pPr>
              <w:widowControl/>
              <w:textAlignment w:val="center"/>
              <w:rPr>
                <w:rFonts w:ascii="仿宋" w:hAnsi="仿宋" w:eastAsia="仿宋" w:cs="仿宋"/>
                <w:sz w:val="24"/>
              </w:rPr>
            </w:pPr>
            <w:r>
              <w:rPr>
                <w:rFonts w:hint="eastAsia" w:ascii="仿宋" w:hAnsi="仿宋" w:eastAsia="仿宋" w:cs="仿宋"/>
                <w:sz w:val="24"/>
              </w:rPr>
              <w:t>54.触摸中控菜单上通道信号源名称支持自定义，支持中、英、数字、标点符号自定义。</w:t>
            </w:r>
          </w:p>
          <w:p w14:paraId="58CBD2ED">
            <w:pPr>
              <w:widowControl/>
              <w:textAlignment w:val="center"/>
              <w:rPr>
                <w:rFonts w:ascii="仿宋" w:hAnsi="仿宋" w:eastAsia="仿宋" w:cs="仿宋"/>
                <w:sz w:val="24"/>
              </w:rPr>
            </w:pPr>
            <w:r>
              <w:rPr>
                <w:rFonts w:hint="eastAsia" w:ascii="仿宋" w:hAnsi="仿宋" w:eastAsia="仿宋" w:cs="仿宋"/>
                <w:sz w:val="24"/>
              </w:rPr>
              <w:t>55.Android系统下支持屏幕密码锁功能，可自定义解锁密码，开启后锁定屏幕、整机按键及遥控器。</w:t>
            </w:r>
          </w:p>
          <w:p w14:paraId="56FEC552">
            <w:pPr>
              <w:widowControl/>
              <w:textAlignment w:val="center"/>
              <w:rPr>
                <w:rFonts w:ascii="仿宋" w:hAnsi="仿宋" w:eastAsia="仿宋" w:cs="仿宋"/>
                <w:sz w:val="24"/>
              </w:rPr>
            </w:pPr>
            <w:r>
              <w:rPr>
                <w:rFonts w:hint="eastAsia" w:ascii="仿宋" w:hAnsi="仿宋" w:eastAsia="仿宋" w:cs="仿宋"/>
                <w:sz w:val="24"/>
              </w:rPr>
              <w:t>56.在嵌入式系统下，白板中支持一键将白板内容上传到云盘，支持添加用户云盘账号，以便用户进行内容分享。</w:t>
            </w:r>
          </w:p>
          <w:p w14:paraId="26E87574">
            <w:pPr>
              <w:widowControl/>
              <w:textAlignment w:val="center"/>
              <w:rPr>
                <w:rFonts w:ascii="仿宋" w:hAnsi="仿宋" w:eastAsia="仿宋" w:cs="仿宋"/>
                <w:sz w:val="24"/>
              </w:rPr>
            </w:pPr>
            <w:r>
              <w:rPr>
                <w:rFonts w:hint="eastAsia" w:ascii="仿宋" w:hAnsi="仿宋" w:eastAsia="仿宋" w:cs="仿宋"/>
                <w:sz w:val="24"/>
              </w:rPr>
              <w:t>57.无PC状态下，嵌入式系统内置互动白板支持全局漫游，并能在工具栏中对全局内容进行预览和移动。</w:t>
            </w:r>
          </w:p>
          <w:p w14:paraId="52329BB0">
            <w:pPr>
              <w:widowControl/>
              <w:textAlignment w:val="center"/>
              <w:rPr>
                <w:rFonts w:ascii="仿宋" w:hAnsi="仿宋" w:eastAsia="仿宋" w:cs="仿宋"/>
                <w:sz w:val="24"/>
              </w:rPr>
            </w:pPr>
            <w:r>
              <w:rPr>
                <w:rFonts w:hint="eastAsia" w:ascii="仿宋" w:hAnsi="仿宋" w:eastAsia="仿宋" w:cs="仿宋"/>
                <w:sz w:val="24"/>
              </w:rPr>
              <w:t>58.在设置中有系统更新选项，支持云端自动在线系统固件升级，保证功能实时更新。</w:t>
            </w:r>
          </w:p>
          <w:p w14:paraId="7D46E8A6">
            <w:pPr>
              <w:widowControl/>
              <w:textAlignment w:val="center"/>
              <w:rPr>
                <w:rFonts w:ascii="仿宋" w:hAnsi="仿宋" w:eastAsia="仿宋" w:cs="仿宋"/>
                <w:sz w:val="24"/>
              </w:rPr>
            </w:pPr>
            <w:r>
              <w:rPr>
                <w:rFonts w:hint="eastAsia" w:ascii="仿宋" w:hAnsi="仿宋" w:eastAsia="仿宋" w:cs="仿宋"/>
                <w:sz w:val="24"/>
              </w:rPr>
              <w:t>59.支持定时开关机，可以在设置应用中设置3组定时开关机时间，可以自动将设从待机状态唤醒或者开机状态关机，开机后可以定义开机后的通道或者开机后自动进入节能模式。</w:t>
            </w:r>
          </w:p>
          <w:p w14:paraId="5D7A16D0">
            <w:pPr>
              <w:widowControl/>
              <w:textAlignment w:val="center"/>
              <w:rPr>
                <w:rFonts w:ascii="仿宋" w:hAnsi="仿宋" w:eastAsia="仿宋" w:cs="仿宋"/>
                <w:sz w:val="24"/>
              </w:rPr>
            </w:pPr>
            <w:r>
              <w:rPr>
                <w:rFonts w:hint="eastAsia" w:ascii="仿宋" w:hAnsi="仿宋" w:eastAsia="仿宋" w:cs="仿宋"/>
                <w:sz w:val="24"/>
              </w:rPr>
              <w:t>60.OPS电脑部分：</w:t>
            </w:r>
          </w:p>
          <w:p w14:paraId="27FCCFAD">
            <w:pPr>
              <w:widowControl/>
              <w:textAlignment w:val="center"/>
              <w:rPr>
                <w:rFonts w:ascii="仿宋" w:hAnsi="仿宋" w:eastAsia="仿宋" w:cs="仿宋"/>
                <w:b/>
                <w:bCs/>
                <w:sz w:val="24"/>
              </w:rPr>
            </w:pPr>
            <w:r>
              <w:rPr>
                <w:rFonts w:hint="eastAsia" w:ascii="仿宋" w:hAnsi="仿宋" w:eastAsia="仿宋" w:cs="仿宋"/>
                <w:sz w:val="24"/>
              </w:rPr>
              <w:t>61.★采用抽拉内置式模块化电脑，采用120pin或以上接口。</w:t>
            </w:r>
            <w:r>
              <w:rPr>
                <w:rFonts w:hint="eastAsia" w:ascii="仿宋" w:hAnsi="仿宋" w:eastAsia="仿宋" w:cs="仿宋"/>
                <w:b/>
                <w:bCs/>
                <w:sz w:val="24"/>
              </w:rPr>
              <w:t>（投标文件中提供第三方权威机构出具的检测报告复印件）</w:t>
            </w:r>
          </w:p>
          <w:p w14:paraId="13784AE7">
            <w:pPr>
              <w:widowControl/>
              <w:textAlignment w:val="center"/>
              <w:rPr>
                <w:rFonts w:ascii="仿宋" w:hAnsi="仿宋" w:eastAsia="仿宋" w:cs="仿宋"/>
                <w:sz w:val="24"/>
              </w:rPr>
            </w:pPr>
            <w:r>
              <w:rPr>
                <w:rFonts w:hint="eastAsia" w:ascii="仿宋" w:hAnsi="仿宋" w:eastAsia="仿宋" w:cs="仿宋"/>
                <w:sz w:val="24"/>
              </w:rPr>
              <w:t>62.机身采用热浸镀锌金属材质，采用智能风扇低噪音散热设计,模块主体尺寸不小于22cm*17cm*3cm以预留足够散热空间，确保封闭空间内有效散热。</w:t>
            </w:r>
          </w:p>
          <w:p w14:paraId="73651B98">
            <w:pPr>
              <w:widowControl/>
              <w:textAlignment w:val="center"/>
              <w:rPr>
                <w:rFonts w:ascii="仿宋" w:hAnsi="仿宋" w:eastAsia="仿宋" w:cs="仿宋"/>
                <w:sz w:val="24"/>
              </w:rPr>
            </w:pPr>
            <w:r>
              <w:rPr>
                <w:rFonts w:hint="eastAsia" w:ascii="仿宋" w:hAnsi="仿宋" w:eastAsia="仿宋" w:cs="仿宋"/>
                <w:sz w:val="24"/>
              </w:rPr>
              <w:t>63.主板采用H310芯片组，搭载Intel 8代酷睿系列 i5CPU，内存：8GB DDR4笔记本内存或以上配置，硬盘：256GB或以上SSD固态硬盘。</w:t>
            </w:r>
          </w:p>
          <w:p w14:paraId="339FCB26">
            <w:pPr>
              <w:widowControl/>
              <w:textAlignment w:val="center"/>
              <w:rPr>
                <w:rFonts w:ascii="仿宋" w:hAnsi="仿宋" w:eastAsia="仿宋" w:cs="仿宋"/>
                <w:b/>
                <w:bCs/>
                <w:sz w:val="24"/>
              </w:rPr>
            </w:pPr>
            <w:r>
              <w:rPr>
                <w:rFonts w:hint="eastAsia" w:ascii="仿宋" w:hAnsi="仿宋" w:eastAsia="仿宋" w:cs="仿宋"/>
                <w:sz w:val="24"/>
              </w:rPr>
              <w:t>64.★具有独立非外扩展的电脑USB接口：电脑上至少具备4个USB3.0 TypeA接口，1个USB TypeC接口</w:t>
            </w:r>
            <w:r>
              <w:rPr>
                <w:rFonts w:hint="eastAsia" w:ascii="仿宋" w:hAnsi="仿宋" w:eastAsia="仿宋" w:cs="仿宋"/>
                <w:b/>
                <w:bCs/>
                <w:sz w:val="24"/>
              </w:rPr>
              <w:t>（投标文件中提供第三方权威机构出具的检测报告复印件）。</w:t>
            </w:r>
          </w:p>
          <w:p w14:paraId="574B6353">
            <w:pPr>
              <w:widowControl/>
              <w:textAlignment w:val="center"/>
              <w:rPr>
                <w:rFonts w:ascii="仿宋" w:hAnsi="仿宋" w:eastAsia="仿宋" w:cs="仿宋"/>
                <w:b/>
                <w:bCs/>
                <w:sz w:val="24"/>
              </w:rPr>
            </w:pPr>
            <w:r>
              <w:rPr>
                <w:rFonts w:hint="eastAsia" w:ascii="仿宋" w:hAnsi="仿宋" w:eastAsia="仿宋" w:cs="仿宋"/>
                <w:sz w:val="24"/>
              </w:rPr>
              <w:t>65.★采用按压式卡扣，无需工具即可快速拆卸电脑模块。</w:t>
            </w:r>
            <w:r>
              <w:rPr>
                <w:rFonts w:hint="eastAsia" w:ascii="仿宋" w:hAnsi="仿宋" w:eastAsia="仿宋" w:cs="仿宋"/>
                <w:b/>
                <w:bCs/>
                <w:sz w:val="24"/>
              </w:rPr>
              <w:t>（投标文件中提供第三方权威机构出具的检测报告复印件）</w:t>
            </w:r>
          </w:p>
          <w:p w14:paraId="06BBD256">
            <w:pPr>
              <w:widowControl/>
              <w:textAlignment w:val="center"/>
              <w:rPr>
                <w:rFonts w:ascii="仿宋" w:hAnsi="仿宋" w:eastAsia="仿宋" w:cs="仿宋"/>
                <w:sz w:val="24"/>
              </w:rPr>
            </w:pPr>
            <w:r>
              <w:rPr>
                <w:rFonts w:hint="eastAsia" w:ascii="仿宋" w:hAnsi="仿宋" w:eastAsia="仿宋" w:cs="仿宋"/>
                <w:sz w:val="24"/>
              </w:rPr>
              <w:t>66.具有独立非外扩展的视频输出接口：≥1路VGA ；≥1路HDMI ；≥1路DP。</w:t>
            </w:r>
          </w:p>
          <w:p w14:paraId="3E20D857">
            <w:pPr>
              <w:widowControl/>
              <w:textAlignment w:val="center"/>
              <w:rPr>
                <w:rFonts w:ascii="仿宋" w:hAnsi="仿宋" w:eastAsia="仿宋" w:cs="仿宋"/>
                <w:sz w:val="24"/>
              </w:rPr>
            </w:pPr>
            <w:r>
              <w:rPr>
                <w:rFonts w:hint="eastAsia" w:ascii="仿宋" w:hAnsi="仿宋" w:eastAsia="仿宋" w:cs="仿宋"/>
                <w:sz w:val="24"/>
              </w:rPr>
              <w:t>67.具有标准PC防盗锁孔，确保电脑模块安全防盗。</w:t>
            </w:r>
          </w:p>
        </w:tc>
        <w:tc>
          <w:tcPr>
            <w:tcW w:w="470" w:type="dxa"/>
            <w:vAlign w:val="center"/>
          </w:tcPr>
          <w:p w14:paraId="349C4987">
            <w:pPr>
              <w:jc w:val="center"/>
              <w:rPr>
                <w:rFonts w:ascii="仿宋" w:hAnsi="仿宋" w:eastAsia="仿宋" w:cs="仿宋"/>
                <w:sz w:val="24"/>
              </w:rPr>
            </w:pPr>
            <w:r>
              <w:rPr>
                <w:rFonts w:hint="eastAsia" w:ascii="仿宋" w:hAnsi="仿宋" w:eastAsia="仿宋" w:cs="仿宋"/>
                <w:sz w:val="24"/>
              </w:rPr>
              <w:t>块</w:t>
            </w:r>
          </w:p>
        </w:tc>
        <w:tc>
          <w:tcPr>
            <w:tcW w:w="584" w:type="dxa"/>
            <w:vAlign w:val="center"/>
          </w:tcPr>
          <w:p w14:paraId="2F3BC67A">
            <w:pPr>
              <w:jc w:val="center"/>
              <w:rPr>
                <w:rFonts w:ascii="仿宋" w:hAnsi="仿宋" w:eastAsia="仿宋" w:cs="仿宋"/>
                <w:sz w:val="24"/>
              </w:rPr>
            </w:pPr>
            <w:r>
              <w:rPr>
                <w:rFonts w:hint="eastAsia" w:ascii="仿宋" w:hAnsi="仿宋" w:eastAsia="仿宋" w:cs="仿宋"/>
                <w:sz w:val="24"/>
              </w:rPr>
              <w:t>4</w:t>
            </w:r>
          </w:p>
        </w:tc>
      </w:tr>
      <w:tr w14:paraId="66905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456" w:type="dxa"/>
            <w:vAlign w:val="center"/>
          </w:tcPr>
          <w:p w14:paraId="7386C44B">
            <w:pPr>
              <w:jc w:val="center"/>
              <w:rPr>
                <w:rFonts w:ascii="仿宋" w:hAnsi="仿宋" w:eastAsia="仿宋" w:cs="仿宋"/>
                <w:sz w:val="24"/>
              </w:rPr>
            </w:pPr>
            <w:r>
              <w:rPr>
                <w:rFonts w:hint="eastAsia" w:ascii="仿宋" w:hAnsi="仿宋" w:eastAsia="仿宋" w:cs="仿宋"/>
                <w:sz w:val="24"/>
              </w:rPr>
              <w:t>8</w:t>
            </w:r>
          </w:p>
        </w:tc>
        <w:tc>
          <w:tcPr>
            <w:tcW w:w="751" w:type="dxa"/>
            <w:vAlign w:val="center"/>
          </w:tcPr>
          <w:p w14:paraId="29B93E92">
            <w:pPr>
              <w:jc w:val="center"/>
              <w:rPr>
                <w:rFonts w:ascii="仿宋" w:hAnsi="仿宋" w:eastAsia="仿宋" w:cs="仿宋"/>
                <w:sz w:val="24"/>
              </w:rPr>
            </w:pPr>
            <w:r>
              <w:rPr>
                <w:rFonts w:hint="eastAsia" w:ascii="仿宋" w:hAnsi="仿宋" w:eastAsia="仿宋" w:cs="仿宋"/>
                <w:sz w:val="24"/>
              </w:rPr>
              <w:t>智能讲台</w:t>
            </w:r>
          </w:p>
        </w:tc>
        <w:tc>
          <w:tcPr>
            <w:tcW w:w="7708" w:type="dxa"/>
          </w:tcPr>
          <w:p w14:paraId="41B7A61F">
            <w:pPr>
              <w:rPr>
                <w:rFonts w:ascii="仿宋" w:hAnsi="仿宋" w:eastAsia="仿宋" w:cs="仿宋"/>
                <w:sz w:val="24"/>
              </w:rPr>
            </w:pPr>
            <w:r>
              <w:rPr>
                <w:rFonts w:hint="eastAsia" w:ascii="仿宋" w:hAnsi="仿宋" w:eastAsia="仿宋" w:cs="仿宋"/>
                <w:sz w:val="24"/>
              </w:rPr>
              <w:t>1.钢木结合设计，1.2mm-1.5mm厚的冷轧钢板桌体，老师接触位置为木质桌面，桌面防静电。</w:t>
            </w:r>
            <w:r>
              <w:rPr>
                <w:rFonts w:hint="eastAsia" w:ascii="仿宋" w:hAnsi="仿宋" w:eastAsia="仿宋" w:cs="仿宋"/>
                <w:sz w:val="24"/>
              </w:rPr>
              <w:br w:type="textWrapping"/>
            </w:r>
            <w:r>
              <w:rPr>
                <w:rFonts w:hint="eastAsia" w:ascii="仿宋" w:hAnsi="仿宋" w:eastAsia="仿宋" w:cs="仿宋"/>
                <w:sz w:val="24"/>
              </w:rPr>
              <w:t>2.讲台尺寸设计最高点不遮挡学生视线，不占用教室空间。</w:t>
            </w:r>
            <w:r>
              <w:rPr>
                <w:rFonts w:hint="eastAsia" w:ascii="仿宋" w:hAnsi="仿宋" w:eastAsia="仿宋" w:cs="仿宋"/>
                <w:sz w:val="24"/>
              </w:rPr>
              <w:br w:type="textWrapping"/>
            </w:r>
            <w:r>
              <w:rPr>
                <w:rFonts w:hint="eastAsia" w:ascii="仿宋" w:hAnsi="仿宋" w:eastAsia="仿宋" w:cs="仿宋"/>
                <w:sz w:val="24"/>
              </w:rPr>
              <w:t>3.讲台桌面平整，全封闭设计，整体外观流线型设计，无菱角处理，受到冲击时不易倾倒，保护师生安全。</w:t>
            </w:r>
            <w:r>
              <w:rPr>
                <w:rFonts w:hint="eastAsia" w:ascii="仿宋" w:hAnsi="仿宋" w:eastAsia="仿宋" w:cs="仿宋"/>
                <w:sz w:val="24"/>
              </w:rPr>
              <w:br w:type="textWrapping"/>
            </w:r>
            <w:r>
              <w:rPr>
                <w:rFonts w:hint="eastAsia" w:ascii="仿宋" w:hAnsi="仿宋" w:eastAsia="仿宋" w:cs="仿宋"/>
                <w:sz w:val="24"/>
              </w:rPr>
              <w:t>4.讲台设置21.5寸电容触摸屏幕，覆盖3mm钢化玻璃，保护屏幕安全。屏幕融合在讲台中，无突出边角撞伤学生，无法在没有工具的情况下拆除。同时支持10点触控对一体机操作，同步显示一体机画面，老师讲课无需转身背对学生，提高授课效率。</w:t>
            </w:r>
            <w:r>
              <w:rPr>
                <w:rFonts w:hint="eastAsia" w:ascii="仿宋" w:hAnsi="仿宋" w:eastAsia="仿宋" w:cs="仿宋"/>
                <w:b/>
                <w:bCs/>
                <w:sz w:val="24"/>
              </w:rPr>
              <w:t>(投标文件中提供第三方权威机构出具的检测报告复印件)</w:t>
            </w:r>
            <w:r>
              <w:rPr>
                <w:rFonts w:hint="eastAsia" w:ascii="仿宋" w:hAnsi="仿宋" w:eastAsia="仿宋" w:cs="仿宋"/>
                <w:b/>
                <w:bCs/>
                <w:sz w:val="24"/>
              </w:rPr>
              <w:br w:type="textWrapping"/>
            </w:r>
            <w:r>
              <w:rPr>
                <w:rFonts w:hint="eastAsia" w:ascii="仿宋" w:hAnsi="仿宋" w:eastAsia="仿宋" w:cs="仿宋"/>
                <w:sz w:val="24"/>
              </w:rPr>
              <w:t>5.讲台设置快捷按键，方便老师对一体机进行一键关机、关屏开屏、音量加减、任务窗、返回桌面等快捷控制</w:t>
            </w:r>
            <w:r>
              <w:rPr>
                <w:rFonts w:hint="eastAsia" w:ascii="仿宋" w:hAnsi="仿宋" w:eastAsia="仿宋" w:cs="仿宋"/>
                <w:b/>
                <w:bCs/>
                <w:sz w:val="24"/>
              </w:rPr>
              <w:t>(投标文件中提供第三方权威机构出具的检测报告复印件)。</w:t>
            </w:r>
            <w:r>
              <w:rPr>
                <w:rFonts w:hint="eastAsia" w:ascii="仿宋" w:hAnsi="仿宋" w:eastAsia="仿宋" w:cs="仿宋"/>
                <w:b/>
                <w:bCs/>
                <w:sz w:val="24"/>
              </w:rPr>
              <w:br w:type="textWrapping"/>
            </w:r>
            <w:r>
              <w:rPr>
                <w:rFonts w:hint="eastAsia" w:ascii="仿宋" w:hAnsi="仿宋" w:eastAsia="仿宋" w:cs="仿宋"/>
                <w:sz w:val="24"/>
              </w:rPr>
              <w:t>6.讲台快捷按键设置有自定义按键，可通过软件设置选择自定义按键功能。包括一键启动白板、一键降低屏幕亮度到20%、一键护眼模式、一键启动视频展台、一键关闭当前windows程序五个选项</w:t>
            </w:r>
            <w:r>
              <w:rPr>
                <w:rFonts w:hint="eastAsia" w:ascii="仿宋" w:hAnsi="仿宋" w:eastAsia="仿宋" w:cs="仿宋"/>
                <w:b/>
                <w:bCs/>
                <w:sz w:val="24"/>
              </w:rPr>
              <w:t>(投标文件中提供第三方权威机构出具的检测报告复印件)。</w:t>
            </w:r>
            <w:r>
              <w:rPr>
                <w:rFonts w:hint="eastAsia" w:ascii="仿宋" w:hAnsi="仿宋" w:eastAsia="仿宋" w:cs="仿宋"/>
                <w:b/>
                <w:bCs/>
                <w:sz w:val="24"/>
              </w:rPr>
              <w:br w:type="textWrapping"/>
            </w:r>
            <w:r>
              <w:rPr>
                <w:rFonts w:hint="eastAsia" w:ascii="仿宋" w:hAnsi="仿宋" w:eastAsia="仿宋" w:cs="仿宋"/>
                <w:sz w:val="24"/>
              </w:rPr>
              <w:t>7.控制讲桌设置带滑轨抽拉式抽屉，抽屉带锁，抽屉内可放置黑板檫、环保书写笔、无线鼠标、无线键盘、无线麦克风等常用教具，同时抽屉内设置三个USB快速充电口（5V/2A），对接入设备进行充电，方便学校对教学用品的管理及维护。即使讲台关机后，依然可持续提供4小时连续充电(投标文件中提供第三方权威机构出具的检测报告复印件)。</w:t>
            </w:r>
            <w:r>
              <w:rPr>
                <w:rFonts w:hint="eastAsia" w:ascii="仿宋" w:hAnsi="仿宋" w:eastAsia="仿宋" w:cs="仿宋"/>
                <w:sz w:val="24"/>
              </w:rPr>
              <w:br w:type="textWrapping"/>
            </w:r>
            <w:r>
              <w:rPr>
                <w:rFonts w:hint="eastAsia" w:ascii="仿宋" w:hAnsi="仿宋" w:eastAsia="仿宋" w:cs="仿宋"/>
                <w:sz w:val="24"/>
              </w:rPr>
              <w:t>8.讲台桌面位置设置有3个USB口，供老师接入键盘、鼠标、U盘等设备，USB位置不易受到撞击，有效保护设备安全。</w:t>
            </w:r>
            <w:r>
              <w:rPr>
                <w:rFonts w:hint="eastAsia" w:ascii="仿宋" w:hAnsi="仿宋" w:eastAsia="仿宋" w:cs="仿宋"/>
                <w:sz w:val="24"/>
              </w:rPr>
              <w:br w:type="textWrapping"/>
            </w:r>
            <w:r>
              <w:rPr>
                <w:rFonts w:hint="eastAsia" w:ascii="仿宋" w:hAnsi="仿宋" w:eastAsia="仿宋" w:cs="仿宋"/>
                <w:sz w:val="24"/>
              </w:rPr>
              <w:t>9.讲台设置有220V三相电源接口，方便老师接入笔记本电脑等设备。</w:t>
            </w:r>
          </w:p>
        </w:tc>
        <w:tc>
          <w:tcPr>
            <w:tcW w:w="470" w:type="dxa"/>
            <w:vAlign w:val="center"/>
          </w:tcPr>
          <w:p w14:paraId="12FDB9B5">
            <w:pPr>
              <w:jc w:val="center"/>
              <w:rPr>
                <w:rFonts w:ascii="仿宋" w:hAnsi="仿宋" w:eastAsia="仿宋" w:cs="仿宋"/>
                <w:sz w:val="24"/>
              </w:rPr>
            </w:pPr>
            <w:r>
              <w:rPr>
                <w:rFonts w:hint="eastAsia" w:ascii="仿宋" w:hAnsi="仿宋" w:eastAsia="仿宋" w:cs="仿宋"/>
                <w:sz w:val="24"/>
              </w:rPr>
              <w:t>台</w:t>
            </w:r>
          </w:p>
        </w:tc>
        <w:tc>
          <w:tcPr>
            <w:tcW w:w="584" w:type="dxa"/>
            <w:vAlign w:val="center"/>
          </w:tcPr>
          <w:p w14:paraId="6CECAA56">
            <w:pPr>
              <w:jc w:val="center"/>
              <w:rPr>
                <w:rFonts w:ascii="仿宋" w:hAnsi="仿宋" w:eastAsia="仿宋" w:cs="仿宋"/>
                <w:sz w:val="24"/>
              </w:rPr>
            </w:pPr>
            <w:r>
              <w:rPr>
                <w:rFonts w:hint="eastAsia" w:ascii="仿宋" w:hAnsi="仿宋" w:eastAsia="仿宋" w:cs="仿宋"/>
                <w:sz w:val="24"/>
              </w:rPr>
              <w:t>4</w:t>
            </w:r>
          </w:p>
        </w:tc>
      </w:tr>
      <w:tr w14:paraId="0A07D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6" w:hRule="atLeast"/>
        </w:trPr>
        <w:tc>
          <w:tcPr>
            <w:tcW w:w="456" w:type="dxa"/>
            <w:vAlign w:val="center"/>
          </w:tcPr>
          <w:p w14:paraId="270D7EB1">
            <w:pPr>
              <w:jc w:val="center"/>
              <w:rPr>
                <w:rFonts w:ascii="仿宋" w:hAnsi="仿宋" w:eastAsia="仿宋" w:cs="仿宋"/>
                <w:sz w:val="24"/>
              </w:rPr>
            </w:pPr>
            <w:r>
              <w:rPr>
                <w:rFonts w:hint="eastAsia" w:ascii="仿宋" w:hAnsi="仿宋" w:eastAsia="仿宋" w:cs="仿宋"/>
                <w:sz w:val="24"/>
              </w:rPr>
              <w:t>9</w:t>
            </w:r>
          </w:p>
        </w:tc>
        <w:tc>
          <w:tcPr>
            <w:tcW w:w="751" w:type="dxa"/>
            <w:vAlign w:val="center"/>
          </w:tcPr>
          <w:p w14:paraId="7A4D6D89">
            <w:pPr>
              <w:jc w:val="center"/>
              <w:rPr>
                <w:rFonts w:ascii="仿宋" w:hAnsi="仿宋" w:eastAsia="仿宋" w:cs="仿宋"/>
                <w:sz w:val="24"/>
              </w:rPr>
            </w:pPr>
            <w:r>
              <w:rPr>
                <w:rFonts w:hint="eastAsia" w:ascii="仿宋" w:hAnsi="仿宋" w:eastAsia="仿宋" w:cs="仿宋"/>
                <w:sz w:val="24"/>
              </w:rPr>
              <w:t>智能笔</w:t>
            </w:r>
          </w:p>
        </w:tc>
        <w:tc>
          <w:tcPr>
            <w:tcW w:w="7708" w:type="dxa"/>
            <w:vAlign w:val="center"/>
          </w:tcPr>
          <w:p w14:paraId="67E6B8A8">
            <w:pPr>
              <w:jc w:val="left"/>
              <w:rPr>
                <w:rFonts w:ascii="仿宋" w:hAnsi="仿宋" w:eastAsia="仿宋" w:cs="仿宋"/>
                <w:sz w:val="24"/>
              </w:rPr>
            </w:pPr>
            <w:r>
              <w:rPr>
                <w:rFonts w:hint="eastAsia" w:ascii="仿宋" w:hAnsi="仿宋" w:eastAsia="仿宋" w:cs="仿宋"/>
                <w:sz w:val="24"/>
              </w:rPr>
              <w:t>1.锥型笔头设计，笔头直径≦3mm，支持红外高精度书写。</w:t>
            </w:r>
            <w:r>
              <w:rPr>
                <w:rFonts w:hint="eastAsia" w:ascii="仿宋" w:hAnsi="仿宋" w:eastAsia="仿宋" w:cs="仿宋"/>
                <w:sz w:val="24"/>
              </w:rPr>
              <w:br w:type="textWrapping"/>
            </w:r>
            <w:r>
              <w:rPr>
                <w:rFonts w:hint="eastAsia" w:ascii="仿宋" w:hAnsi="仿宋" w:eastAsia="仿宋" w:cs="仿宋"/>
                <w:sz w:val="24"/>
              </w:rPr>
              <w:t>2.笔身配置不少于三个物理按键，具备翻页和模拟激光笔功能，兼顾触摸书写以及远程操控的握持姿态</w:t>
            </w:r>
            <w:r>
              <w:rPr>
                <w:rFonts w:hint="eastAsia" w:ascii="仿宋" w:hAnsi="仿宋" w:eastAsia="仿宋" w:cs="仿宋"/>
                <w:b/>
                <w:bCs/>
                <w:sz w:val="24"/>
              </w:rPr>
              <w:t>（投标文件中提供第三方权威机构出具的检测报告复印件）。</w:t>
            </w:r>
            <w:r>
              <w:rPr>
                <w:rFonts w:hint="eastAsia" w:ascii="仿宋" w:hAnsi="仿宋" w:eastAsia="仿宋" w:cs="仿宋"/>
                <w:b/>
                <w:bCs/>
                <w:sz w:val="24"/>
              </w:rPr>
              <w:br w:type="textWrapping"/>
            </w:r>
            <w:r>
              <w:rPr>
                <w:rFonts w:hint="eastAsia" w:ascii="仿宋" w:hAnsi="仿宋" w:eastAsia="仿宋" w:cs="仿宋"/>
                <w:sz w:val="24"/>
              </w:rPr>
              <w:t>3.兼容白板软件、PPT、PDF等多种演示软件课件的远程翻页控制。</w:t>
            </w:r>
            <w:r>
              <w:rPr>
                <w:rFonts w:hint="eastAsia" w:ascii="仿宋" w:hAnsi="仿宋" w:eastAsia="仿宋" w:cs="仿宋"/>
                <w:sz w:val="24"/>
              </w:rPr>
              <w:br w:type="textWrapping"/>
            </w:r>
            <w:r>
              <w:rPr>
                <w:rFonts w:hint="eastAsia" w:ascii="仿宋" w:hAnsi="仿宋" w:eastAsia="仿宋" w:cs="仿宋"/>
                <w:sz w:val="24"/>
              </w:rPr>
              <w:t>4.内置高精度陀螺仪，具备模拟激光笔功能，可通过笔身按钮激活陀螺仪模拟激光功能，适用于加载防眩光设计的教学显示设备</w:t>
            </w:r>
            <w:r>
              <w:rPr>
                <w:rFonts w:hint="eastAsia" w:ascii="仿宋" w:hAnsi="仿宋" w:eastAsia="仿宋" w:cs="仿宋"/>
                <w:b/>
                <w:bCs/>
                <w:sz w:val="24"/>
              </w:rPr>
              <w:t>（投标文件中提供第三方权威机构出具的检测报告复印件）。</w:t>
            </w:r>
            <w:r>
              <w:rPr>
                <w:rFonts w:hint="eastAsia" w:ascii="仿宋" w:hAnsi="仿宋" w:eastAsia="仿宋" w:cs="仿宋"/>
                <w:b/>
                <w:bCs/>
                <w:sz w:val="24"/>
              </w:rPr>
              <w:br w:type="textWrapping"/>
            </w:r>
            <w:r>
              <w:rPr>
                <w:rFonts w:hint="eastAsia" w:ascii="仿宋" w:hAnsi="仿宋" w:eastAsia="仿宋" w:cs="仿宋"/>
                <w:sz w:val="24"/>
              </w:rPr>
              <w:t>5.支持笔身翻转矫正，笔身轻微倾斜时，水平移动智能笔，可瞬时矫正识别光标动作为水平移动。</w:t>
            </w:r>
            <w:r>
              <w:rPr>
                <w:rFonts w:hint="eastAsia" w:ascii="仿宋" w:hAnsi="仿宋" w:eastAsia="仿宋" w:cs="仿宋"/>
                <w:sz w:val="24"/>
              </w:rPr>
              <w:br w:type="textWrapping"/>
            </w:r>
            <w:r>
              <w:rPr>
                <w:rFonts w:hint="eastAsia" w:ascii="仿宋" w:hAnsi="仿宋" w:eastAsia="仿宋" w:cs="仿宋"/>
                <w:sz w:val="24"/>
              </w:rPr>
              <w:t>6.兼容windows、android双系统使用，双系统环境下应用软件可远程响应智能笔操作指令。</w:t>
            </w:r>
            <w:r>
              <w:rPr>
                <w:rFonts w:hint="eastAsia" w:ascii="仿宋" w:hAnsi="仿宋" w:eastAsia="仿宋" w:cs="仿宋"/>
                <w:sz w:val="24"/>
              </w:rPr>
              <w:br w:type="textWrapping"/>
            </w:r>
            <w:r>
              <w:rPr>
                <w:rFonts w:hint="eastAsia" w:ascii="仿宋" w:hAnsi="仿宋" w:eastAsia="仿宋" w:cs="仿宋"/>
                <w:sz w:val="24"/>
              </w:rPr>
              <w:t>7.采用无线连接方式，无线接收距离≥10米。</w:t>
            </w:r>
            <w:r>
              <w:rPr>
                <w:rFonts w:hint="eastAsia" w:ascii="仿宋" w:hAnsi="仿宋" w:eastAsia="仿宋" w:cs="仿宋"/>
                <w:sz w:val="24"/>
              </w:rPr>
              <w:br w:type="textWrapping"/>
            </w:r>
            <w:r>
              <w:rPr>
                <w:rFonts w:hint="eastAsia" w:ascii="仿宋" w:hAnsi="仿宋" w:eastAsia="仿宋" w:cs="仿宋"/>
                <w:sz w:val="24"/>
              </w:rPr>
              <w:t>8.无线接收器采用微型Nano设计，即插即用，方便安装实施，整洁美观。</w:t>
            </w:r>
            <w:r>
              <w:rPr>
                <w:rFonts w:hint="eastAsia" w:ascii="仿宋" w:hAnsi="仿宋" w:eastAsia="仿宋" w:cs="仿宋"/>
                <w:sz w:val="24"/>
              </w:rPr>
              <w:br w:type="textWrapping"/>
            </w:r>
            <w:r>
              <w:rPr>
                <w:rFonts w:hint="eastAsia" w:ascii="仿宋" w:hAnsi="仿宋" w:eastAsia="仿宋" w:cs="仿宋"/>
                <w:sz w:val="24"/>
              </w:rPr>
              <w:t>9.支持智能休眠节电，智能笔15秒内无人使用时自动进入休眠节电模式，按任意按键唤醒智能遥控笔。</w:t>
            </w:r>
          </w:p>
        </w:tc>
        <w:tc>
          <w:tcPr>
            <w:tcW w:w="470" w:type="dxa"/>
            <w:vAlign w:val="center"/>
          </w:tcPr>
          <w:p w14:paraId="1FFDFBFB">
            <w:pPr>
              <w:jc w:val="center"/>
              <w:rPr>
                <w:rFonts w:ascii="仿宋" w:hAnsi="仿宋" w:eastAsia="仿宋" w:cs="仿宋"/>
                <w:sz w:val="24"/>
              </w:rPr>
            </w:pPr>
            <w:r>
              <w:rPr>
                <w:rFonts w:hint="eastAsia" w:ascii="仿宋" w:hAnsi="仿宋" w:eastAsia="仿宋" w:cs="仿宋"/>
                <w:sz w:val="24"/>
              </w:rPr>
              <w:t>支</w:t>
            </w:r>
          </w:p>
        </w:tc>
        <w:tc>
          <w:tcPr>
            <w:tcW w:w="584" w:type="dxa"/>
            <w:vAlign w:val="center"/>
          </w:tcPr>
          <w:p w14:paraId="7A1CDFFB">
            <w:pPr>
              <w:jc w:val="center"/>
              <w:rPr>
                <w:rFonts w:ascii="仿宋" w:hAnsi="仿宋" w:eastAsia="仿宋" w:cs="仿宋"/>
                <w:sz w:val="24"/>
              </w:rPr>
            </w:pPr>
            <w:r>
              <w:rPr>
                <w:rFonts w:hint="eastAsia" w:ascii="仿宋" w:hAnsi="仿宋" w:eastAsia="仿宋" w:cs="仿宋"/>
                <w:sz w:val="24"/>
              </w:rPr>
              <w:t>4</w:t>
            </w:r>
          </w:p>
        </w:tc>
      </w:tr>
      <w:tr w14:paraId="14588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456" w:type="dxa"/>
            <w:vAlign w:val="center"/>
          </w:tcPr>
          <w:p w14:paraId="1854D538">
            <w:pPr>
              <w:jc w:val="center"/>
              <w:rPr>
                <w:rFonts w:ascii="仿宋" w:hAnsi="仿宋" w:eastAsia="仿宋" w:cs="仿宋"/>
                <w:sz w:val="24"/>
              </w:rPr>
            </w:pPr>
            <w:r>
              <w:rPr>
                <w:rFonts w:hint="eastAsia" w:ascii="仿宋" w:hAnsi="仿宋" w:eastAsia="仿宋" w:cs="仿宋"/>
                <w:sz w:val="24"/>
              </w:rPr>
              <w:t>10</w:t>
            </w:r>
          </w:p>
        </w:tc>
        <w:tc>
          <w:tcPr>
            <w:tcW w:w="751" w:type="dxa"/>
            <w:vAlign w:val="center"/>
          </w:tcPr>
          <w:p w14:paraId="09B8C5DA">
            <w:pPr>
              <w:jc w:val="center"/>
              <w:rPr>
                <w:rFonts w:ascii="仿宋" w:hAnsi="仿宋" w:eastAsia="仿宋" w:cs="仿宋"/>
                <w:sz w:val="24"/>
              </w:rPr>
            </w:pPr>
            <w:r>
              <w:rPr>
                <w:rFonts w:hint="eastAsia" w:ascii="仿宋" w:hAnsi="仿宋" w:eastAsia="仿宋" w:cs="仿宋"/>
                <w:sz w:val="24"/>
                <w:szCs w:val="24"/>
              </w:rPr>
              <w:t>互联互通功能需求</w:t>
            </w:r>
          </w:p>
        </w:tc>
        <w:tc>
          <w:tcPr>
            <w:tcW w:w="7708" w:type="dxa"/>
            <w:vAlign w:val="center"/>
          </w:tcPr>
          <w:p w14:paraId="614FAC9C">
            <w:pPr>
              <w:rPr>
                <w:rFonts w:ascii="仿宋" w:hAnsi="仿宋" w:eastAsia="仿宋" w:cs="仿宋"/>
                <w:sz w:val="24"/>
                <w:szCs w:val="24"/>
              </w:rPr>
            </w:pPr>
            <w:r>
              <w:rPr>
                <w:rFonts w:hint="eastAsia" w:ascii="仿宋" w:hAnsi="仿宋" w:eastAsia="仿宋" w:cs="仿宋"/>
                <w:sz w:val="24"/>
                <w:szCs w:val="24"/>
              </w:rPr>
              <w:t>1.教师和学生移动终端必须采用省平台</w:t>
            </w:r>
            <w:r>
              <w:rPr>
                <w:rFonts w:hint="eastAsia" w:ascii="仿宋" w:hAnsi="仿宋" w:eastAsia="仿宋" w:cs="仿宋"/>
                <w:sz w:val="24"/>
                <w:szCs w:val="24"/>
                <w:lang w:eastAsia="zh-CN"/>
              </w:rPr>
              <w:t>账号</w:t>
            </w:r>
            <w:r>
              <w:rPr>
                <w:rFonts w:hint="eastAsia" w:ascii="仿宋" w:hAnsi="仿宋" w:eastAsia="仿宋" w:cs="仿宋"/>
                <w:sz w:val="24"/>
                <w:szCs w:val="24"/>
              </w:rPr>
              <w:t>登陆，实现人与</w:t>
            </w:r>
            <w:r>
              <w:rPr>
                <w:rFonts w:hint="eastAsia" w:ascii="仿宋" w:hAnsi="仿宋" w:eastAsia="仿宋" w:cs="仿宋"/>
                <w:sz w:val="24"/>
                <w:szCs w:val="24"/>
                <w:lang w:eastAsia="zh-CN"/>
              </w:rPr>
              <w:t>账号</w:t>
            </w:r>
            <w:r>
              <w:rPr>
                <w:rFonts w:hint="eastAsia" w:ascii="仿宋" w:hAnsi="仿宋" w:eastAsia="仿宋" w:cs="仿宋"/>
                <w:sz w:val="24"/>
                <w:szCs w:val="24"/>
              </w:rPr>
              <w:t>绑定，人与设备解耦。</w:t>
            </w:r>
          </w:p>
          <w:p w14:paraId="0B1D0F1C">
            <w:pPr>
              <w:rPr>
                <w:rFonts w:ascii="仿宋" w:hAnsi="仿宋" w:eastAsia="仿宋" w:cs="仿宋"/>
                <w:sz w:val="24"/>
                <w:szCs w:val="24"/>
              </w:rPr>
            </w:pPr>
            <w:r>
              <w:rPr>
                <w:rFonts w:hint="eastAsia" w:ascii="仿宋" w:hAnsi="仿宋" w:eastAsia="仿宋" w:cs="仿宋"/>
                <w:sz w:val="24"/>
                <w:szCs w:val="24"/>
              </w:rPr>
              <w:t>2.必须与省平台统一资源元数据标准，必须和省平台进行资源的无缝集成（用户可以直接检索、选择并调用省平台资源时，不经过任何中转），实现省平台资源服务下沉。</w:t>
            </w:r>
          </w:p>
          <w:p w14:paraId="0460EC79">
            <w:pPr>
              <w:rPr>
                <w:rFonts w:ascii="仿宋" w:hAnsi="仿宋" w:eastAsia="仿宋" w:cs="仿宋"/>
                <w:sz w:val="24"/>
                <w:szCs w:val="24"/>
              </w:rPr>
            </w:pPr>
            <w:r>
              <w:rPr>
                <w:rFonts w:hint="eastAsia" w:ascii="仿宋" w:hAnsi="仿宋" w:eastAsia="仿宋" w:cs="仿宋"/>
                <w:sz w:val="24"/>
                <w:szCs w:val="24"/>
              </w:rPr>
              <w:t>3.必须与省平台空间无缝衔接（用户直接访问并获取省平台空间中的个人资源和信息），使空间实现用户个人资源的存储、中转、系统信息推送及个人之间的信息推送等。</w:t>
            </w:r>
          </w:p>
          <w:p w14:paraId="41A36D1D">
            <w:pPr>
              <w:rPr>
                <w:rFonts w:ascii="仿宋" w:hAnsi="仿宋" w:eastAsia="仿宋" w:cs="仿宋"/>
                <w:sz w:val="24"/>
                <w:szCs w:val="24"/>
              </w:rPr>
            </w:pPr>
            <w:r>
              <w:rPr>
                <w:rFonts w:hint="eastAsia" w:ascii="仿宋" w:hAnsi="仿宋" w:eastAsia="仿宋" w:cs="仿宋"/>
                <w:sz w:val="24"/>
                <w:szCs w:val="24"/>
              </w:rPr>
              <w:t>4.能够按照提供的数据接入API接口与省平台应用监管系统（暂无，后期建立，中标人须在该系统建立后，配合完成该系统需要的对接工作，具体对接内容以安徽省电化教育馆要求为准）对接，提供应用监管数据。</w:t>
            </w:r>
          </w:p>
          <w:p w14:paraId="5264DC6A">
            <w:pPr>
              <w:jc w:val="left"/>
              <w:rPr>
                <w:rFonts w:ascii="仿宋" w:hAnsi="仿宋" w:eastAsia="仿宋" w:cs="仿宋"/>
                <w:sz w:val="24"/>
              </w:rPr>
            </w:pPr>
            <w:r>
              <w:rPr>
                <w:rFonts w:hint="eastAsia" w:ascii="仿宋" w:hAnsi="仿宋" w:eastAsia="仿宋" w:cs="仿宋"/>
                <w:kern w:val="0"/>
                <w:sz w:val="24"/>
                <w:szCs w:val="24"/>
              </w:rPr>
              <w:t>★5.详细要求见《安徽省智慧课堂等应用系统与省平台互联互通技术规范V2.0》。（</w:t>
            </w:r>
            <w:r>
              <w:rPr>
                <w:rFonts w:hint="eastAsia" w:ascii="仿宋" w:hAnsi="仿宋" w:eastAsia="仿宋" w:cs="仿宋"/>
                <w:b/>
                <w:kern w:val="0"/>
                <w:sz w:val="24"/>
                <w:szCs w:val="24"/>
              </w:rPr>
              <w:t>投标文件中提供所投智慧课堂系统与省平台互联互通的</w:t>
            </w:r>
            <w:r>
              <w:rPr>
                <w:rFonts w:hint="eastAsia" w:ascii="仿宋" w:hAnsi="仿宋" w:eastAsia="仿宋" w:cs="仿宋"/>
                <w:b/>
                <w:sz w:val="24"/>
                <w:szCs w:val="24"/>
              </w:rPr>
              <w:t>第三方评测机构提供的检测报告复印件</w:t>
            </w:r>
            <w:r>
              <w:rPr>
                <w:rFonts w:hint="eastAsia" w:ascii="仿宋" w:hAnsi="仿宋" w:eastAsia="仿宋" w:cs="仿宋"/>
                <w:szCs w:val="20"/>
              </w:rPr>
              <w:t>）</w:t>
            </w:r>
          </w:p>
        </w:tc>
        <w:tc>
          <w:tcPr>
            <w:tcW w:w="470" w:type="dxa"/>
            <w:vAlign w:val="center"/>
          </w:tcPr>
          <w:p w14:paraId="311A27D0">
            <w:pPr>
              <w:jc w:val="center"/>
              <w:rPr>
                <w:rFonts w:ascii="仿宋" w:hAnsi="仿宋" w:eastAsia="仿宋" w:cs="仿宋"/>
                <w:sz w:val="24"/>
              </w:rPr>
            </w:pPr>
          </w:p>
        </w:tc>
        <w:tc>
          <w:tcPr>
            <w:tcW w:w="584" w:type="dxa"/>
            <w:vAlign w:val="center"/>
          </w:tcPr>
          <w:p w14:paraId="4625F1D3">
            <w:pPr>
              <w:jc w:val="center"/>
              <w:rPr>
                <w:rFonts w:ascii="仿宋" w:hAnsi="仿宋" w:eastAsia="仿宋" w:cs="仿宋"/>
                <w:sz w:val="24"/>
              </w:rPr>
            </w:pPr>
          </w:p>
        </w:tc>
      </w:tr>
    </w:tbl>
    <w:p w14:paraId="6CC2EF27">
      <w:pPr>
        <w:pStyle w:val="2"/>
        <w:ind w:firstLine="0" w:firstLineChars="0"/>
        <w:rPr>
          <w:rFonts w:ascii="仿宋" w:hAnsi="仿宋" w:eastAsia="仿宋" w:cs="仿宋"/>
          <w:b/>
          <w:bCs/>
        </w:rPr>
      </w:pPr>
    </w:p>
    <w:p w14:paraId="2381750E">
      <w:pPr>
        <w:spacing w:before="240" w:line="360" w:lineRule="auto"/>
        <w:rPr>
          <w:rFonts w:ascii="仿宋" w:hAnsi="仿宋" w:eastAsia="仿宋" w:cs="仿宋"/>
          <w:b/>
          <w:sz w:val="24"/>
          <w:szCs w:val="18"/>
        </w:rPr>
      </w:pPr>
      <w:r>
        <w:rPr>
          <w:rFonts w:hint="eastAsia" w:ascii="仿宋" w:hAnsi="仿宋" w:eastAsia="仿宋" w:cs="仿宋"/>
          <w:b/>
          <w:sz w:val="24"/>
          <w:szCs w:val="18"/>
        </w:rPr>
        <w:t>（三）性能需求</w:t>
      </w:r>
    </w:p>
    <w:p w14:paraId="282C54E7">
      <w:pPr>
        <w:spacing w:line="360" w:lineRule="auto"/>
        <w:ind w:firstLine="354" w:firstLineChars="147"/>
        <w:rPr>
          <w:rFonts w:ascii="仿宋" w:hAnsi="仿宋" w:eastAsia="仿宋" w:cs="仿宋"/>
          <w:b/>
          <w:sz w:val="24"/>
          <w:szCs w:val="24"/>
        </w:rPr>
      </w:pPr>
      <w:r>
        <w:rPr>
          <w:rFonts w:hint="eastAsia" w:ascii="仿宋" w:hAnsi="仿宋" w:eastAsia="仿宋" w:cs="仿宋"/>
          <w:b/>
          <w:sz w:val="24"/>
          <w:szCs w:val="24"/>
        </w:rPr>
        <w:t>（1）稳定性</w:t>
      </w:r>
    </w:p>
    <w:p w14:paraId="03A5E16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应通过完善云端服务能力、优化传输策略、提升学校端设备性能和增加学校端设备设施等方式，保障系统性能和稳定性。</w:t>
      </w:r>
    </w:p>
    <w:p w14:paraId="30D2BBA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1.智慧课堂系统能够持续运行4小时以上，状态无异常。</w:t>
      </w:r>
    </w:p>
    <w:p w14:paraId="40052D2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2.智慧课堂系统正常使用过程中，若遇到断电等突发事件，重新启动系统后，仍然可以继续上课，系统设置不变。</w:t>
      </w:r>
    </w:p>
    <w:p w14:paraId="14B0230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云端并发和在线使用量要求：为智慧课堂提供支撑服务的企业云平台，登录功能的最大并发量不低于1000（其中每秒请求数QPS不低于1000），资源分享功能调用（具体指用户调用该功能到分享列表和分享信息的过程）的最大并发量不低于120（其中QPS不低于120），课堂作业互动功能调用（具体指用户调用作业功能到获取作业列表或作业信息的过程）的最大并发量不低于120（其中QPS不低于120），相关指标须通过CNAS和CMA认定资质的评测中心评测，供货前提供相关指标的评测报告。</w:t>
      </w:r>
    </w:p>
    <w:p w14:paraId="44E3696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4.智慧课堂教学中在双向10M独享带宽、60个终端下作业推送和提交延迟时间≤1秒，屏幕广播延迟时间≤1.5s，掉线概率≤1%（即100次授课中出现1次，且不多于1台设备掉线）。</w:t>
      </w:r>
    </w:p>
    <w:p w14:paraId="729BF3A4">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（2）易用性</w:t>
      </w:r>
    </w:p>
    <w:p w14:paraId="026A851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1.支持电脑和移动终端操作。即教师和学生可单独通过电脑或移动终端实现课前、课中和课后所有操作。</w:t>
      </w:r>
    </w:p>
    <w:p w14:paraId="30D5773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2.教师和学生移动终端界面操作简单，界面友好，让人一目了然，一看知意。</w:t>
      </w:r>
    </w:p>
    <w:p w14:paraId="196C837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3.采用基于场景的操作界面，尽量减少与当前场景无关的操作按钮，其他操作可通过场景切换实现。</w:t>
      </w:r>
    </w:p>
    <w:p w14:paraId="1A4765B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4.课堂教学中教师移动终端与班级多媒体设备，在教师教学过程中需要进行同屏教学时，可一步完成同屏。</w:t>
      </w:r>
    </w:p>
    <w:p w14:paraId="7DA269E0">
      <w:pPr>
        <w:spacing w:line="360" w:lineRule="auto"/>
        <w:ind w:firstLine="482" w:firstLineChars="200"/>
        <w:rPr>
          <w:rFonts w:ascii="仿宋" w:hAnsi="仿宋" w:eastAsia="仿宋" w:cs="仿宋"/>
          <w:b/>
          <w:sz w:val="24"/>
          <w:szCs w:val="24"/>
        </w:rPr>
      </w:pPr>
    </w:p>
    <w:p w14:paraId="3520BFC3">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（3）可维护性</w:t>
      </w:r>
    </w:p>
    <w:p w14:paraId="3F5FAEF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系统线路标识清晰、易安装、易维护，系统组成模块清晰。</w:t>
      </w:r>
    </w:p>
    <w:p w14:paraId="57199D05">
      <w:pPr>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（4）安全性</w:t>
      </w:r>
    </w:p>
    <w:p w14:paraId="40A5FD3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1.系统（含云端）的个人信息、应用行为等数据产权属于安徽省教育厅。</w:t>
      </w:r>
    </w:p>
    <w:p w14:paraId="0ABC053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为本项目提供支撑服务的企业云平台，必须按照三级等保要求建设，并且质保期内每年进行一次三级等保测评，保证系统内的数据安全，防止泄露和被篡改，并提供测评报告至安徽省电化教育馆。智慧课堂云平台在与省平台进行统一身份认证及基础数据互联互通时，应当采用国产算法对数据进行加密传输，不得使用明文传输。</w:t>
      </w:r>
    </w:p>
    <w:p w14:paraId="538628D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3.中标人确保所有数据，不得向任何第三方泄露，并且不得用于任何商业目的，否则依法追究相关企业的责任。并签订保密协议（另附）。</w:t>
      </w:r>
    </w:p>
    <w:p w14:paraId="28336E5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4.中标人承诺质保到期后，中标人将根据安徽省教育厅的需要，免费将应用行为数据迁移或打包给安徽省教育厅，并在本系统内进行彻底删除。</w:t>
      </w:r>
    </w:p>
    <w:p w14:paraId="0FC33593">
      <w:pPr>
        <w:spacing w:before="240" w:line="360" w:lineRule="auto"/>
        <w:ind w:firstLine="354" w:firstLineChars="147"/>
        <w:rPr>
          <w:rFonts w:ascii="仿宋" w:hAnsi="仿宋" w:eastAsia="仿宋" w:cs="仿宋"/>
          <w:b/>
          <w:sz w:val="24"/>
          <w:szCs w:val="18"/>
        </w:rPr>
      </w:pPr>
      <w:r>
        <w:rPr>
          <w:rFonts w:hint="eastAsia" w:ascii="仿宋" w:hAnsi="仿宋" w:eastAsia="仿宋" w:cs="仿宋"/>
          <w:b/>
          <w:sz w:val="24"/>
          <w:szCs w:val="18"/>
        </w:rPr>
        <w:t>（五）系统集成</w:t>
      </w:r>
    </w:p>
    <w:p w14:paraId="748FBD85">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1.与在线课堂系统、班级多媒体设备无缝集成（在线课堂数量及分布另见附表）。</w:t>
      </w:r>
    </w:p>
    <w:p w14:paraId="6CD0FA9B">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安装布线需按照国家有关布线规范施工：电源线应符合国家标准，负载满足要求；电源插座符合国家标准，满足连接需求；VGA、音视频等线缆符合国家标准，满足传输要求；线路需加以钢制或PVC线槽保护，施工布线墙面上使用方形PVC线槽，地面上走线一律使用金属线槽，金属或PVC线槽及扣条，符合国家安全标准。以上线缆、管材等辅材，均要求用知名品牌优质材料。施工依照综合布线标准设计，墙面强弱电规范（分槽）施工，所有布线，两端要按实际情况留有冗余；充电柜所放置的环境，应符合消防安全要求。</w:t>
      </w:r>
    </w:p>
    <w:p w14:paraId="47F63795">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3.提供其它必要的配件，应根据教学点的需求配备。</w:t>
      </w:r>
    </w:p>
    <w:p w14:paraId="021ECE3F">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4.与原有在线课堂系统、班级多媒体设备进行整合，并运用音视频传输优化技术进行系统优化，确保各种设备连接无误、音视频传输流畅、信号切换准确无误、操作简单方便、系统运行可靠，功能满足教学需要。</w:t>
      </w:r>
    </w:p>
    <w:p w14:paraId="3362CD08">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5.根据省电教馆和运维服务统一要求，为各学校和教学点提供运维二维码，并张贴在讲台、设备柜等方便获取的地方。</w:t>
      </w:r>
    </w:p>
    <w:p w14:paraId="11C4A3BE">
      <w:pPr>
        <w:spacing w:line="360" w:lineRule="auto"/>
        <w:ind w:firstLine="480" w:firstLineChars="200"/>
        <w:rPr>
          <w:rFonts w:ascii="仿宋" w:hAnsi="仿宋" w:eastAsia="仿宋" w:cs="仿宋"/>
          <w:b/>
          <w:sz w:val="24"/>
        </w:rPr>
      </w:pPr>
      <w:r>
        <w:rPr>
          <w:rFonts w:hint="eastAsia" w:ascii="仿宋" w:hAnsi="仿宋" w:eastAsia="仿宋" w:cs="仿宋"/>
          <w:sz w:val="24"/>
          <w:szCs w:val="24"/>
        </w:rPr>
        <w:t>6.建立教育部教学点数字教育资源全覆盖项目资源（http://jxd.eduyun.cn/cms/jxds/1819xywrj11firstgrade.html）快捷方式，呈现在教师备课电脑和移动终端明显处，方便教师使用。</w:t>
      </w:r>
    </w:p>
    <w:p w14:paraId="6F17914C">
      <w:pPr>
        <w:adjustRightInd w:val="0"/>
        <w:snapToGrid w:val="0"/>
        <w:spacing w:line="360" w:lineRule="auto"/>
        <w:rPr>
          <w:rFonts w:ascii="仿宋" w:hAnsi="仿宋" w:eastAsia="仿宋" w:cs="仿宋"/>
          <w:b/>
          <w:sz w:val="24"/>
        </w:rPr>
      </w:pPr>
      <w:r>
        <w:rPr>
          <w:rFonts w:hint="eastAsia" w:ascii="仿宋" w:hAnsi="仿宋" w:eastAsia="仿宋" w:cs="仿宋"/>
          <w:b/>
          <w:sz w:val="24"/>
        </w:rPr>
        <w:t>五、其他要求</w:t>
      </w:r>
    </w:p>
    <w:p w14:paraId="68A31FCA">
      <w:pPr>
        <w:spacing w:line="360" w:lineRule="auto"/>
        <w:rPr>
          <w:rFonts w:ascii="仿宋" w:hAnsi="仿宋" w:eastAsia="仿宋" w:cs="仿宋"/>
          <w:b/>
          <w:sz w:val="24"/>
        </w:rPr>
      </w:pPr>
      <w:r>
        <w:rPr>
          <w:rFonts w:hint="eastAsia" w:ascii="仿宋" w:hAnsi="仿宋" w:eastAsia="仿宋" w:cs="仿宋"/>
          <w:b/>
          <w:sz w:val="24"/>
        </w:rPr>
        <w:t>1、上述采购需求（清单）中要求提供的相关证明材料，采购人有权要求中标人在供货前按照采购人要求提供相关证明材料原件核查，如不符合招标文件要求，采购人将终止合同，并上报监管部门按相关规定处理。</w:t>
      </w:r>
    </w:p>
    <w:p w14:paraId="39B83F3E">
      <w:pPr>
        <w:spacing w:line="360" w:lineRule="auto"/>
        <w:rPr>
          <w:rFonts w:ascii="仿宋" w:hAnsi="仿宋" w:eastAsia="仿宋" w:cs="仿宋"/>
          <w:b/>
          <w:bCs/>
          <w:sz w:val="24"/>
        </w:rPr>
      </w:pPr>
      <w:r>
        <w:rPr>
          <w:rFonts w:hint="eastAsia" w:ascii="仿宋" w:hAnsi="仿宋" w:eastAsia="仿宋" w:cs="仿宋"/>
          <w:b/>
          <w:color w:val="FF0000"/>
          <w:sz w:val="24"/>
        </w:rPr>
        <w:t>2、中标单位须免费提供所投设备同品牌的视频展台和无线传屏设备各4套，所报总价款含视频展台和无线传屏设备，使用功能须满足采购人使用需求，可由采购人自行选择。</w:t>
      </w:r>
    </w:p>
    <w:p w14:paraId="597F2C69">
      <w:pPr>
        <w:adjustRightInd w:val="0"/>
        <w:snapToGrid w:val="0"/>
        <w:spacing w:line="360" w:lineRule="auto"/>
        <w:rPr>
          <w:rFonts w:ascii="仿宋" w:hAnsi="仿宋" w:eastAsia="仿宋" w:cs="仿宋"/>
          <w:b/>
          <w:bCs/>
          <w:color w:val="FF0000"/>
          <w:sz w:val="32"/>
          <w:szCs w:val="36"/>
        </w:rPr>
      </w:pPr>
      <w:r>
        <w:rPr>
          <w:rFonts w:hint="eastAsia" w:ascii="仿宋" w:hAnsi="仿宋" w:eastAsia="仿宋" w:cs="仿宋"/>
          <w:b/>
          <w:color w:val="FF0000"/>
          <w:sz w:val="24"/>
        </w:rPr>
        <w:t>3、为保证软硬件兼容性和稳定性，学生移动终端、教师移动终端、教师教学系统、学生学习系统、智慧黑板生产厂商须为同一品牌，否则按照无效投标处理。</w:t>
      </w:r>
      <w:bookmarkStart w:id="55" w:name="_Toc13438"/>
    </w:p>
    <w:p w14:paraId="0AD35EB2">
      <w:pPr>
        <w:jc w:val="center"/>
        <w:rPr>
          <w:rFonts w:ascii="仿宋" w:hAnsi="仿宋" w:eastAsia="仿宋" w:cs="仿宋"/>
          <w:b/>
          <w:bCs/>
          <w:sz w:val="32"/>
          <w:szCs w:val="36"/>
        </w:rPr>
      </w:pPr>
    </w:p>
    <w:p w14:paraId="750D6169">
      <w:pPr>
        <w:jc w:val="center"/>
        <w:rPr>
          <w:rFonts w:ascii="仿宋" w:hAnsi="仿宋" w:eastAsia="仿宋" w:cs="仿宋"/>
          <w:b/>
          <w:bCs/>
          <w:sz w:val="32"/>
          <w:szCs w:val="36"/>
        </w:rPr>
      </w:pPr>
    </w:p>
    <w:p w14:paraId="35471509">
      <w:pPr>
        <w:jc w:val="center"/>
        <w:rPr>
          <w:rFonts w:ascii="仿宋" w:hAnsi="仿宋" w:eastAsia="仿宋" w:cs="仿宋"/>
          <w:b/>
          <w:bCs/>
          <w:sz w:val="32"/>
          <w:szCs w:val="36"/>
        </w:rPr>
      </w:pPr>
    </w:p>
    <w:p w14:paraId="39661196">
      <w:pPr>
        <w:jc w:val="center"/>
        <w:rPr>
          <w:rFonts w:ascii="仿宋" w:hAnsi="仿宋" w:eastAsia="仿宋" w:cs="仿宋"/>
          <w:b/>
          <w:bCs/>
          <w:sz w:val="32"/>
          <w:szCs w:val="36"/>
        </w:rPr>
      </w:pPr>
    </w:p>
    <w:p w14:paraId="1234207A">
      <w:pPr>
        <w:jc w:val="center"/>
        <w:rPr>
          <w:rFonts w:ascii="仿宋" w:hAnsi="仿宋" w:eastAsia="仿宋" w:cs="仿宋"/>
          <w:b/>
          <w:bCs/>
          <w:sz w:val="32"/>
          <w:szCs w:val="36"/>
        </w:rPr>
      </w:pPr>
    </w:p>
    <w:p w14:paraId="062A12C9">
      <w:pPr>
        <w:jc w:val="center"/>
        <w:rPr>
          <w:rFonts w:ascii="仿宋" w:hAnsi="仿宋" w:eastAsia="仿宋" w:cs="仿宋"/>
          <w:b/>
          <w:bCs/>
          <w:sz w:val="32"/>
          <w:szCs w:val="36"/>
        </w:rPr>
      </w:pPr>
    </w:p>
    <w:p w14:paraId="1ED472A4">
      <w:pPr>
        <w:jc w:val="center"/>
        <w:rPr>
          <w:rFonts w:ascii="仿宋" w:hAnsi="仿宋" w:eastAsia="仿宋" w:cs="仿宋"/>
          <w:b/>
          <w:bCs/>
          <w:sz w:val="32"/>
          <w:szCs w:val="36"/>
        </w:rPr>
      </w:pPr>
    </w:p>
    <w:p w14:paraId="12CE6E48">
      <w:pPr>
        <w:jc w:val="center"/>
        <w:rPr>
          <w:rFonts w:ascii="仿宋" w:hAnsi="仿宋" w:eastAsia="仿宋" w:cs="仿宋"/>
          <w:b/>
          <w:bCs/>
          <w:sz w:val="32"/>
          <w:szCs w:val="36"/>
        </w:rPr>
      </w:pPr>
    </w:p>
    <w:p w14:paraId="552A166E">
      <w:pPr>
        <w:jc w:val="center"/>
        <w:rPr>
          <w:rFonts w:ascii="仿宋" w:hAnsi="仿宋" w:eastAsia="仿宋" w:cs="仿宋"/>
          <w:b/>
          <w:bCs/>
          <w:sz w:val="32"/>
          <w:szCs w:val="36"/>
        </w:rPr>
      </w:pPr>
    </w:p>
    <w:p w14:paraId="51244431">
      <w:pPr>
        <w:jc w:val="center"/>
        <w:rPr>
          <w:rFonts w:ascii="仿宋" w:hAnsi="仿宋" w:eastAsia="仿宋" w:cs="仿宋"/>
          <w:b/>
          <w:bCs/>
          <w:sz w:val="32"/>
          <w:szCs w:val="36"/>
        </w:rPr>
      </w:pPr>
    </w:p>
    <w:p w14:paraId="3435AC78">
      <w:pPr>
        <w:jc w:val="center"/>
        <w:rPr>
          <w:rFonts w:ascii="仿宋" w:hAnsi="仿宋" w:eastAsia="仿宋" w:cs="仿宋"/>
          <w:b/>
          <w:bCs/>
          <w:sz w:val="32"/>
          <w:szCs w:val="36"/>
        </w:rPr>
      </w:pPr>
    </w:p>
    <w:p w14:paraId="67272BD6">
      <w:pPr>
        <w:jc w:val="center"/>
        <w:rPr>
          <w:rFonts w:ascii="仿宋" w:hAnsi="仿宋" w:eastAsia="仿宋" w:cs="仿宋"/>
          <w:b/>
          <w:bCs/>
          <w:sz w:val="32"/>
          <w:szCs w:val="36"/>
        </w:rPr>
      </w:pPr>
    </w:p>
    <w:p w14:paraId="13195141">
      <w:pPr>
        <w:jc w:val="center"/>
        <w:rPr>
          <w:rFonts w:ascii="仿宋" w:hAnsi="仿宋" w:eastAsia="仿宋" w:cs="仿宋"/>
          <w:b/>
          <w:bCs/>
          <w:sz w:val="32"/>
          <w:szCs w:val="36"/>
        </w:rPr>
      </w:pPr>
    </w:p>
    <w:p w14:paraId="57C52CDF">
      <w:pPr>
        <w:jc w:val="center"/>
        <w:rPr>
          <w:rFonts w:ascii="仿宋" w:hAnsi="仿宋" w:eastAsia="仿宋" w:cs="仿宋"/>
          <w:b/>
          <w:bCs/>
          <w:sz w:val="32"/>
          <w:szCs w:val="36"/>
        </w:rPr>
      </w:pPr>
    </w:p>
    <w:p w14:paraId="75263617">
      <w:pPr>
        <w:jc w:val="center"/>
        <w:rPr>
          <w:rFonts w:ascii="仿宋" w:hAnsi="仿宋" w:eastAsia="仿宋" w:cs="仿宋"/>
          <w:b/>
          <w:bCs/>
          <w:sz w:val="32"/>
          <w:szCs w:val="36"/>
        </w:rPr>
      </w:pPr>
    </w:p>
    <w:p w14:paraId="75DDF7A5">
      <w:pPr>
        <w:jc w:val="center"/>
        <w:rPr>
          <w:rFonts w:ascii="仿宋" w:hAnsi="仿宋" w:eastAsia="仿宋" w:cs="仿宋"/>
          <w:b/>
          <w:bCs/>
          <w:sz w:val="32"/>
          <w:szCs w:val="36"/>
        </w:rPr>
      </w:pPr>
    </w:p>
    <w:p w14:paraId="27646AE9">
      <w:pPr>
        <w:jc w:val="center"/>
        <w:rPr>
          <w:rFonts w:ascii="仿宋" w:hAnsi="仿宋" w:eastAsia="仿宋" w:cs="仿宋"/>
          <w:b/>
          <w:bCs/>
          <w:sz w:val="32"/>
          <w:szCs w:val="36"/>
        </w:rPr>
      </w:pPr>
    </w:p>
    <w:p w14:paraId="1D6C300A">
      <w:pPr>
        <w:jc w:val="center"/>
        <w:rPr>
          <w:rFonts w:ascii="仿宋" w:hAnsi="仿宋" w:eastAsia="仿宋" w:cs="仿宋"/>
          <w:b/>
          <w:bCs/>
          <w:sz w:val="32"/>
          <w:szCs w:val="36"/>
        </w:rPr>
      </w:pPr>
    </w:p>
    <w:p w14:paraId="4CC258A2">
      <w:pPr>
        <w:jc w:val="center"/>
        <w:rPr>
          <w:rFonts w:ascii="仿宋" w:hAnsi="仿宋" w:eastAsia="仿宋" w:cs="仿宋"/>
          <w:b/>
          <w:bCs/>
          <w:sz w:val="32"/>
          <w:szCs w:val="36"/>
        </w:rPr>
      </w:pPr>
    </w:p>
    <w:p w14:paraId="450B569E">
      <w:pPr>
        <w:jc w:val="center"/>
        <w:rPr>
          <w:rFonts w:ascii="仿宋" w:hAnsi="仿宋" w:eastAsia="仿宋" w:cs="仿宋"/>
          <w:b/>
          <w:bCs/>
          <w:sz w:val="32"/>
          <w:szCs w:val="36"/>
        </w:rPr>
      </w:pPr>
    </w:p>
    <w:p w14:paraId="628A360C">
      <w:pPr>
        <w:rPr>
          <w:rFonts w:ascii="仿宋" w:hAnsi="仿宋" w:eastAsia="仿宋" w:cs="仿宋"/>
          <w:b/>
          <w:bCs/>
          <w:sz w:val="32"/>
          <w:szCs w:val="36"/>
        </w:rPr>
      </w:pPr>
    </w:p>
    <w:p w14:paraId="711EB720">
      <w:pPr>
        <w:jc w:val="center"/>
        <w:rPr>
          <w:rFonts w:ascii="仿宋" w:hAnsi="仿宋" w:eastAsia="仿宋" w:cs="仿宋"/>
          <w:b/>
          <w:bCs/>
          <w:sz w:val="32"/>
          <w:szCs w:val="36"/>
        </w:rPr>
      </w:pPr>
    </w:p>
    <w:p w14:paraId="180881B9">
      <w:pPr>
        <w:jc w:val="center"/>
        <w:rPr>
          <w:rFonts w:ascii="仿宋" w:hAnsi="仿宋" w:eastAsia="仿宋" w:cs="仿宋"/>
          <w:b/>
          <w:bCs/>
          <w:sz w:val="32"/>
          <w:szCs w:val="36"/>
        </w:rPr>
      </w:pPr>
    </w:p>
    <w:p w14:paraId="1F4C4922">
      <w:pPr>
        <w:jc w:val="center"/>
        <w:rPr>
          <w:rFonts w:ascii="仿宋" w:hAnsi="仿宋" w:eastAsia="仿宋" w:cs="仿宋"/>
          <w:b/>
          <w:bCs/>
          <w:sz w:val="32"/>
          <w:szCs w:val="36"/>
        </w:rPr>
      </w:pPr>
    </w:p>
    <w:p w14:paraId="5B1B97D0">
      <w:pPr>
        <w:jc w:val="center"/>
        <w:rPr>
          <w:rFonts w:ascii="仿宋" w:hAnsi="仿宋" w:eastAsia="仿宋" w:cs="仿宋"/>
          <w:b/>
          <w:bCs/>
          <w:sz w:val="32"/>
          <w:szCs w:val="36"/>
        </w:rPr>
      </w:pPr>
      <w:r>
        <w:rPr>
          <w:rFonts w:hint="eastAsia" w:ascii="仿宋" w:hAnsi="仿宋" w:eastAsia="仿宋" w:cs="仿宋"/>
          <w:b/>
          <w:bCs/>
          <w:sz w:val="32"/>
          <w:szCs w:val="36"/>
        </w:rPr>
        <w:t>第四章 评标办法</w:t>
      </w:r>
      <w:bookmarkEnd w:id="55"/>
    </w:p>
    <w:p w14:paraId="620DF01D">
      <w:pPr>
        <w:spacing w:line="360" w:lineRule="auto"/>
        <w:jc w:val="center"/>
        <w:rPr>
          <w:rFonts w:ascii="仿宋" w:hAnsi="仿宋" w:eastAsia="仿宋" w:cs="仿宋"/>
        </w:rPr>
      </w:pPr>
      <w:r>
        <w:rPr>
          <w:rFonts w:hint="eastAsia" w:ascii="仿宋" w:hAnsi="仿宋" w:eastAsia="仿宋" w:cs="仿宋"/>
          <w:b/>
          <w:color w:val="000000"/>
          <w:sz w:val="24"/>
          <w:szCs w:val="24"/>
        </w:rPr>
        <w:t>总 则</w:t>
      </w:r>
    </w:p>
    <w:p w14:paraId="11D93A57">
      <w:pPr>
        <w:spacing w:line="360" w:lineRule="auto"/>
        <w:rPr>
          <w:rFonts w:ascii="仿宋" w:hAnsi="仿宋" w:eastAsia="仿宋" w:cs="仿宋"/>
        </w:rPr>
      </w:pPr>
      <w:r>
        <w:rPr>
          <w:rFonts w:hint="eastAsia" w:ascii="仿宋" w:hAnsi="仿宋" w:eastAsia="仿宋" w:cs="仿宋"/>
          <w:b/>
          <w:color w:val="000000"/>
          <w:sz w:val="24"/>
          <w:szCs w:val="24"/>
        </w:rPr>
        <w:t xml:space="preserve">第一条 </w:t>
      </w:r>
      <w:r>
        <w:rPr>
          <w:rFonts w:hint="eastAsia" w:ascii="仿宋" w:hAnsi="仿宋" w:eastAsia="仿宋" w:cs="仿宋"/>
          <w:color w:val="000000"/>
          <w:sz w:val="24"/>
          <w:szCs w:val="24"/>
        </w:rPr>
        <w:t xml:space="preserve">为了做好 </w:t>
      </w:r>
      <w:r>
        <w:rPr>
          <w:rFonts w:hint="eastAsia" w:ascii="仿宋" w:hAnsi="仿宋" w:eastAsia="仿宋" w:cs="仿宋"/>
          <w:color w:val="0000FF"/>
          <w:sz w:val="24"/>
          <w:szCs w:val="24"/>
        </w:rPr>
        <w:t xml:space="preserve">本项目 </w:t>
      </w:r>
      <w:r>
        <w:rPr>
          <w:rFonts w:hint="eastAsia" w:ascii="仿宋" w:hAnsi="仿宋" w:eastAsia="仿宋" w:cs="仿宋"/>
          <w:color w:val="000000"/>
          <w:sz w:val="24"/>
          <w:szCs w:val="24"/>
        </w:rPr>
        <w:t xml:space="preserve">招标评标工作，保证项目评审工作的正常有序进行，维护采购人、投标人的合法权益，依据《中华人民共和国政府采购法》和实施条例及其它相关法律法规，本着公开、公平、公正的原则，制定评标办法。 </w:t>
      </w:r>
    </w:p>
    <w:p w14:paraId="604F4558">
      <w:pPr>
        <w:spacing w:line="360" w:lineRule="auto"/>
        <w:rPr>
          <w:rFonts w:ascii="仿宋" w:hAnsi="仿宋" w:eastAsia="仿宋" w:cs="仿宋"/>
        </w:rPr>
      </w:pPr>
      <w:r>
        <w:rPr>
          <w:rFonts w:hint="eastAsia" w:ascii="仿宋" w:hAnsi="仿宋" w:eastAsia="仿宋" w:cs="仿宋"/>
          <w:b/>
          <w:color w:val="000000"/>
          <w:sz w:val="24"/>
          <w:szCs w:val="24"/>
        </w:rPr>
        <w:t xml:space="preserve">第二条 </w:t>
      </w:r>
      <w:r>
        <w:rPr>
          <w:rFonts w:hint="eastAsia" w:ascii="仿宋" w:hAnsi="仿宋" w:eastAsia="仿宋" w:cs="仿宋"/>
          <w:color w:val="000000"/>
          <w:sz w:val="24"/>
          <w:szCs w:val="24"/>
        </w:rPr>
        <w:t>本次项目评标采用</w:t>
      </w:r>
      <w:r>
        <w:rPr>
          <w:rFonts w:hint="eastAsia" w:ascii="仿宋" w:hAnsi="仿宋" w:eastAsia="仿宋" w:cs="仿宋"/>
          <w:b/>
          <w:color w:val="000000"/>
          <w:sz w:val="24"/>
          <w:szCs w:val="24"/>
        </w:rPr>
        <w:t>综合打分法</w:t>
      </w:r>
      <w:r>
        <w:rPr>
          <w:rFonts w:hint="eastAsia" w:ascii="仿宋" w:hAnsi="仿宋" w:eastAsia="仿宋" w:cs="仿宋"/>
          <w:color w:val="000000"/>
          <w:sz w:val="24"/>
          <w:szCs w:val="24"/>
        </w:rPr>
        <w:t xml:space="preserve">作为对投标人标书的比较方法。 </w:t>
      </w:r>
    </w:p>
    <w:p w14:paraId="69213AB4">
      <w:pPr>
        <w:spacing w:line="360" w:lineRule="auto"/>
        <w:rPr>
          <w:rFonts w:ascii="仿宋" w:hAnsi="仿宋" w:eastAsia="仿宋" w:cs="仿宋"/>
        </w:rPr>
      </w:pPr>
      <w:r>
        <w:rPr>
          <w:rFonts w:hint="eastAsia" w:ascii="仿宋" w:hAnsi="仿宋" w:eastAsia="仿宋" w:cs="仿宋"/>
          <w:b/>
          <w:color w:val="000000"/>
          <w:sz w:val="24"/>
          <w:szCs w:val="24"/>
        </w:rPr>
        <w:t xml:space="preserve">第三条 </w:t>
      </w:r>
      <w:r>
        <w:rPr>
          <w:rFonts w:hint="eastAsia" w:ascii="仿宋" w:hAnsi="仿宋" w:eastAsia="仿宋" w:cs="仿宋"/>
          <w:color w:val="000000"/>
          <w:sz w:val="24"/>
          <w:szCs w:val="24"/>
        </w:rPr>
        <w:t xml:space="preserve">采购人负责抽取组织不少于 </w:t>
      </w:r>
      <w:r>
        <w:rPr>
          <w:rFonts w:hint="eastAsia" w:ascii="仿宋" w:hAnsi="仿宋" w:eastAsia="仿宋" w:cs="仿宋"/>
          <w:b/>
          <w:color w:val="000000"/>
          <w:sz w:val="24"/>
          <w:szCs w:val="24"/>
        </w:rPr>
        <w:t xml:space="preserve">5 </w:t>
      </w:r>
      <w:r>
        <w:rPr>
          <w:rFonts w:hint="eastAsia" w:ascii="仿宋" w:hAnsi="仿宋" w:eastAsia="仿宋" w:cs="仿宋"/>
          <w:color w:val="000000"/>
          <w:sz w:val="24"/>
          <w:szCs w:val="24"/>
        </w:rPr>
        <w:t xml:space="preserve">人组成的评标委员会（以下简称评委会），负责本项目的评标工作。 </w:t>
      </w:r>
    </w:p>
    <w:p w14:paraId="16AEF90D">
      <w:pPr>
        <w:spacing w:line="360" w:lineRule="auto"/>
        <w:rPr>
          <w:rFonts w:ascii="仿宋" w:hAnsi="仿宋" w:eastAsia="仿宋" w:cs="仿宋"/>
        </w:rPr>
      </w:pPr>
      <w:r>
        <w:rPr>
          <w:rFonts w:hint="eastAsia" w:ascii="仿宋" w:hAnsi="仿宋" w:eastAsia="仿宋" w:cs="仿宋"/>
          <w:b/>
          <w:color w:val="000000"/>
          <w:sz w:val="24"/>
          <w:szCs w:val="24"/>
        </w:rPr>
        <w:t xml:space="preserve">第四条 </w:t>
      </w:r>
      <w:r>
        <w:rPr>
          <w:rFonts w:hint="eastAsia" w:ascii="仿宋" w:hAnsi="仿宋" w:eastAsia="仿宋" w:cs="仿宋"/>
          <w:color w:val="000000"/>
          <w:sz w:val="24"/>
          <w:szCs w:val="24"/>
        </w:rPr>
        <w:t xml:space="preserve">评委会按照“客观公正，实事求是”的原则，评价参加本次招标的投标人所提供的产品价格、性能、质量、服务及对招标文件的符合性及响应性。 </w:t>
      </w:r>
    </w:p>
    <w:p w14:paraId="17DAF628">
      <w:pPr>
        <w:spacing w:line="360" w:lineRule="auto"/>
        <w:jc w:val="center"/>
        <w:rPr>
          <w:rFonts w:ascii="仿宋" w:hAnsi="仿宋" w:eastAsia="仿宋" w:cs="仿宋"/>
        </w:rPr>
      </w:pPr>
      <w:r>
        <w:rPr>
          <w:rFonts w:hint="eastAsia" w:ascii="仿宋" w:hAnsi="仿宋" w:eastAsia="仿宋" w:cs="仿宋"/>
          <w:b/>
          <w:color w:val="000000"/>
          <w:sz w:val="24"/>
          <w:szCs w:val="24"/>
        </w:rPr>
        <w:t>二． 评标程序及评审细则</w:t>
      </w:r>
    </w:p>
    <w:p w14:paraId="1891C763">
      <w:pPr>
        <w:spacing w:line="360" w:lineRule="auto"/>
        <w:rPr>
          <w:rFonts w:ascii="仿宋" w:hAnsi="仿宋" w:eastAsia="仿宋" w:cs="仿宋"/>
        </w:rPr>
      </w:pPr>
      <w:r>
        <w:rPr>
          <w:rFonts w:hint="eastAsia" w:ascii="仿宋" w:hAnsi="仿宋" w:eastAsia="仿宋" w:cs="仿宋"/>
          <w:b/>
          <w:color w:val="000000"/>
          <w:sz w:val="24"/>
          <w:szCs w:val="24"/>
        </w:rPr>
        <w:t xml:space="preserve">第五条 </w:t>
      </w:r>
      <w:r>
        <w:rPr>
          <w:rFonts w:hint="eastAsia" w:ascii="仿宋" w:hAnsi="仿宋" w:eastAsia="仿宋" w:cs="仿宋"/>
          <w:color w:val="000000"/>
          <w:sz w:val="24"/>
          <w:szCs w:val="24"/>
        </w:rPr>
        <w:t>评标工作于开标后进行。评委会应认真研究招标文件，至少应了解和熟悉以下内容：</w:t>
      </w:r>
    </w:p>
    <w:p w14:paraId="4040E57D">
      <w:pPr>
        <w:spacing w:line="360" w:lineRule="auto"/>
        <w:rPr>
          <w:rFonts w:ascii="仿宋" w:hAnsi="仿宋" w:eastAsia="仿宋" w:cs="仿宋"/>
        </w:rPr>
      </w:pPr>
      <w:r>
        <w:rPr>
          <w:rFonts w:hint="eastAsia" w:ascii="仿宋" w:hAnsi="仿宋" w:eastAsia="仿宋" w:cs="仿宋"/>
          <w:color w:val="000000"/>
          <w:sz w:val="24"/>
          <w:szCs w:val="24"/>
        </w:rPr>
        <w:t>（一）招标的目标；</w:t>
      </w:r>
    </w:p>
    <w:p w14:paraId="486BCE3B">
      <w:pPr>
        <w:spacing w:line="360" w:lineRule="auto"/>
        <w:rPr>
          <w:rFonts w:ascii="仿宋" w:hAnsi="仿宋" w:eastAsia="仿宋" w:cs="仿宋"/>
        </w:rPr>
      </w:pPr>
      <w:r>
        <w:rPr>
          <w:rFonts w:hint="eastAsia" w:ascii="仿宋" w:hAnsi="仿宋" w:eastAsia="仿宋" w:cs="仿宋"/>
          <w:color w:val="000000"/>
          <w:sz w:val="24"/>
          <w:szCs w:val="24"/>
        </w:rPr>
        <w:t xml:space="preserve">（二）招标项目的范围和性质； </w:t>
      </w:r>
    </w:p>
    <w:p w14:paraId="6CB7FD40">
      <w:pPr>
        <w:spacing w:line="360" w:lineRule="auto"/>
        <w:rPr>
          <w:rFonts w:ascii="仿宋" w:hAnsi="仿宋" w:eastAsia="仿宋" w:cs="仿宋"/>
        </w:rPr>
      </w:pPr>
      <w:r>
        <w:rPr>
          <w:rFonts w:hint="eastAsia" w:ascii="仿宋" w:hAnsi="仿宋" w:eastAsia="仿宋" w:cs="仿宋"/>
          <w:color w:val="000000"/>
          <w:sz w:val="24"/>
          <w:szCs w:val="24"/>
        </w:rPr>
        <w:t xml:space="preserve">（三）招标文件中规定的主要技术要求、标准和商务条款； </w:t>
      </w:r>
    </w:p>
    <w:p w14:paraId="0008AFA2">
      <w:pPr>
        <w:spacing w:line="360" w:lineRule="auto"/>
        <w:rPr>
          <w:rFonts w:ascii="仿宋" w:hAnsi="仿宋" w:eastAsia="仿宋" w:cs="仿宋"/>
        </w:rPr>
      </w:pPr>
      <w:r>
        <w:rPr>
          <w:rFonts w:hint="eastAsia" w:ascii="仿宋" w:hAnsi="仿宋" w:eastAsia="仿宋" w:cs="仿宋"/>
          <w:color w:val="000000"/>
          <w:sz w:val="24"/>
          <w:szCs w:val="24"/>
        </w:rPr>
        <w:t xml:space="preserve">（四）招标文件规定的评标标准、评标方法和在评标过程中考虑的相关因素。 </w:t>
      </w:r>
    </w:p>
    <w:p w14:paraId="7401BFE8">
      <w:pPr>
        <w:spacing w:line="360" w:lineRule="auto"/>
        <w:rPr>
          <w:rFonts w:ascii="仿宋" w:hAnsi="仿宋" w:eastAsia="仿宋" w:cs="仿宋"/>
        </w:rPr>
      </w:pPr>
      <w:r>
        <w:rPr>
          <w:rFonts w:hint="eastAsia" w:ascii="仿宋" w:hAnsi="仿宋" w:eastAsia="仿宋" w:cs="仿宋"/>
          <w:b/>
          <w:color w:val="000000"/>
          <w:sz w:val="24"/>
          <w:szCs w:val="24"/>
        </w:rPr>
        <w:t xml:space="preserve">第六条 </w:t>
      </w:r>
      <w:r>
        <w:rPr>
          <w:rFonts w:hint="eastAsia" w:ascii="仿宋" w:hAnsi="仿宋" w:eastAsia="仿宋" w:cs="仿宋"/>
          <w:color w:val="000000"/>
          <w:sz w:val="24"/>
          <w:szCs w:val="24"/>
        </w:rPr>
        <w:t xml:space="preserve">有效投标应符合以下原则： </w:t>
      </w:r>
    </w:p>
    <w:p w14:paraId="595BB209">
      <w:pPr>
        <w:spacing w:line="360" w:lineRule="auto"/>
        <w:rPr>
          <w:rFonts w:ascii="仿宋" w:hAnsi="仿宋" w:eastAsia="仿宋" w:cs="仿宋"/>
        </w:rPr>
      </w:pPr>
      <w:r>
        <w:rPr>
          <w:rFonts w:hint="eastAsia" w:ascii="仿宋" w:hAnsi="仿宋" w:eastAsia="仿宋" w:cs="仿宋"/>
          <w:color w:val="000000"/>
          <w:sz w:val="24"/>
          <w:szCs w:val="24"/>
        </w:rPr>
        <w:t xml:space="preserve">（一）满足招标文件的实质性要求； </w:t>
      </w:r>
    </w:p>
    <w:p w14:paraId="77A6EFCC">
      <w:pPr>
        <w:spacing w:line="360" w:lineRule="auto"/>
        <w:rPr>
          <w:rFonts w:ascii="仿宋" w:hAnsi="仿宋" w:eastAsia="仿宋" w:cs="仿宋"/>
        </w:rPr>
      </w:pPr>
      <w:r>
        <w:rPr>
          <w:rFonts w:hint="eastAsia" w:ascii="仿宋" w:hAnsi="仿宋" w:eastAsia="仿宋" w:cs="仿宋"/>
          <w:color w:val="000000"/>
          <w:sz w:val="24"/>
          <w:szCs w:val="24"/>
        </w:rPr>
        <w:t xml:space="preserve">（二）无重大偏离、保留或采购人不能接受的附加条件； </w:t>
      </w:r>
    </w:p>
    <w:p w14:paraId="62BE146D">
      <w:pPr>
        <w:spacing w:line="360" w:lineRule="auto"/>
        <w:rPr>
          <w:rFonts w:ascii="仿宋" w:hAnsi="仿宋" w:eastAsia="仿宋" w:cs="仿宋"/>
        </w:rPr>
      </w:pPr>
      <w:r>
        <w:rPr>
          <w:rFonts w:hint="eastAsia" w:ascii="仿宋" w:hAnsi="仿宋" w:eastAsia="仿宋" w:cs="仿宋"/>
          <w:color w:val="000000"/>
          <w:sz w:val="24"/>
          <w:szCs w:val="24"/>
        </w:rPr>
        <w:t xml:space="preserve">（三）通过投标有效性评审； </w:t>
      </w:r>
    </w:p>
    <w:p w14:paraId="66BA44A5">
      <w:pPr>
        <w:spacing w:line="360" w:lineRule="auto"/>
        <w:rPr>
          <w:rFonts w:ascii="仿宋" w:hAnsi="仿宋" w:eastAsia="仿宋" w:cs="仿宋"/>
        </w:rPr>
      </w:pPr>
      <w:r>
        <w:rPr>
          <w:rFonts w:hint="eastAsia" w:ascii="仿宋" w:hAnsi="仿宋" w:eastAsia="仿宋" w:cs="仿宋"/>
          <w:color w:val="000000"/>
          <w:sz w:val="24"/>
          <w:szCs w:val="24"/>
        </w:rPr>
        <w:t xml:space="preserve">（四）评委会依据招标文件认定的其他原则。 </w:t>
      </w:r>
    </w:p>
    <w:p w14:paraId="60445760">
      <w:pPr>
        <w:spacing w:line="360" w:lineRule="auto"/>
        <w:rPr>
          <w:rFonts w:ascii="仿宋" w:hAnsi="仿宋" w:eastAsia="仿宋" w:cs="仿宋"/>
        </w:rPr>
      </w:pPr>
      <w:r>
        <w:rPr>
          <w:rFonts w:hint="eastAsia" w:ascii="仿宋" w:hAnsi="仿宋" w:eastAsia="仿宋" w:cs="仿宋"/>
          <w:b/>
          <w:color w:val="000000"/>
          <w:sz w:val="24"/>
          <w:szCs w:val="24"/>
        </w:rPr>
        <w:t xml:space="preserve">第七条 </w:t>
      </w:r>
      <w:r>
        <w:rPr>
          <w:rFonts w:hint="eastAsia" w:ascii="仿宋" w:hAnsi="仿宋" w:eastAsia="仿宋" w:cs="仿宋"/>
          <w:sz w:val="24"/>
          <w:szCs w:val="24"/>
          <w:lang w:val="zh-TW" w:eastAsia="zh-TW"/>
        </w:rPr>
        <w:t>评标委员会遵循公平、公正和诚实信用的原则，评委会对投标文件独立评审，按照综合得分由高到低的原则确定中标候选人。</w:t>
      </w:r>
    </w:p>
    <w:p w14:paraId="4130ED6B">
      <w:pPr>
        <w:spacing w:line="360" w:lineRule="auto"/>
        <w:rPr>
          <w:rFonts w:ascii="仿宋" w:hAnsi="仿宋" w:eastAsia="仿宋" w:cs="仿宋"/>
        </w:rPr>
      </w:pPr>
      <w:r>
        <w:rPr>
          <w:rFonts w:hint="eastAsia" w:ascii="仿宋" w:hAnsi="仿宋" w:eastAsia="仿宋" w:cs="仿宋"/>
          <w:b/>
          <w:color w:val="000000"/>
          <w:sz w:val="24"/>
          <w:szCs w:val="24"/>
        </w:rPr>
        <w:t xml:space="preserve">第八条 </w:t>
      </w:r>
    </w:p>
    <w:p w14:paraId="6C911F7B">
      <w:pPr>
        <w:spacing w:line="360" w:lineRule="auto"/>
        <w:rPr>
          <w:rFonts w:ascii="仿宋" w:hAnsi="仿宋" w:eastAsia="仿宋" w:cs="仿宋"/>
        </w:rPr>
      </w:pPr>
      <w:r>
        <w:rPr>
          <w:rFonts w:hint="eastAsia" w:ascii="仿宋" w:hAnsi="仿宋" w:eastAsia="仿宋" w:cs="仿宋"/>
          <w:color w:val="000000"/>
          <w:sz w:val="24"/>
          <w:szCs w:val="24"/>
        </w:rPr>
        <w:t xml:space="preserve">评审中，评委会发现投标人的投标文件中对同类问题表述不一致、前后矛盾、有明显文字和计算错误的内容、有可能不符合招标文件规定等情况需要澄清时，评委会将以 询标的方式告知并要求投标人以书面方式进行必要的澄清、说明或补正。对于询标后判定为不符合招标文件的投标文件，评委要提出充足的否定理由。最终对投标人的评审结论分为通过和未通过。 </w:t>
      </w:r>
    </w:p>
    <w:p w14:paraId="73DC7953">
      <w:pPr>
        <w:numPr>
          <w:ilvl w:val="0"/>
          <w:numId w:val="6"/>
        </w:numPr>
        <w:spacing w:line="360" w:lineRule="auto"/>
        <w:ind w:right="20"/>
        <w:rPr>
          <w:rFonts w:ascii="仿宋" w:hAnsi="仿宋" w:eastAsia="仿宋" w:cs="仿宋"/>
          <w:color w:val="000000"/>
          <w:sz w:val="24"/>
          <w:szCs w:val="24"/>
        </w:rPr>
      </w:pPr>
      <w:r>
        <w:rPr>
          <w:rFonts w:hint="eastAsia" w:ascii="仿宋" w:hAnsi="仿宋" w:eastAsia="仿宋" w:cs="仿宋"/>
          <w:color w:val="000000"/>
          <w:sz w:val="24"/>
          <w:szCs w:val="24"/>
        </w:rPr>
        <w:t>评委会按下表内容进行投标有效性评审。</w:t>
      </w:r>
    </w:p>
    <w:p w14:paraId="2C7BC16B">
      <w:pPr>
        <w:spacing w:line="360" w:lineRule="auto"/>
        <w:ind w:right="20"/>
        <w:jc w:val="center"/>
        <w:rPr>
          <w:rFonts w:ascii="仿宋" w:hAnsi="仿宋" w:eastAsia="仿宋" w:cs="仿宋"/>
          <w:b/>
          <w:bCs/>
          <w:sz w:val="24"/>
          <w:szCs w:val="24"/>
        </w:rPr>
      </w:pPr>
    </w:p>
    <w:p w14:paraId="46F01302">
      <w:pPr>
        <w:spacing w:line="360" w:lineRule="auto"/>
        <w:ind w:right="20"/>
        <w:jc w:val="center"/>
        <w:rPr>
          <w:rFonts w:ascii="仿宋" w:hAnsi="仿宋" w:eastAsia="仿宋" w:cs="仿宋"/>
          <w:b/>
          <w:bCs/>
          <w:sz w:val="24"/>
          <w:szCs w:val="24"/>
        </w:rPr>
      </w:pPr>
      <w:r>
        <w:rPr>
          <w:rFonts w:hint="eastAsia" w:ascii="仿宋" w:hAnsi="仿宋" w:eastAsia="仿宋" w:cs="仿宋"/>
          <w:b/>
          <w:bCs/>
          <w:sz w:val="24"/>
          <w:szCs w:val="24"/>
        </w:rPr>
        <w:t>三、评标办法前附表</w:t>
      </w:r>
    </w:p>
    <w:tbl>
      <w:tblPr>
        <w:tblStyle w:val="53"/>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
        <w:gridCol w:w="2116"/>
        <w:gridCol w:w="3044"/>
        <w:gridCol w:w="3509"/>
      </w:tblGrid>
      <w:tr w14:paraId="3AF38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526" w:type="dxa"/>
            <w:gridSpan w:val="2"/>
            <w:vAlign w:val="center"/>
          </w:tcPr>
          <w:p w14:paraId="63AC7B58">
            <w:pPr>
              <w:spacing w:line="520" w:lineRule="exact"/>
              <w:jc w:val="center"/>
              <w:rPr>
                <w:rFonts w:ascii="仿宋" w:hAnsi="仿宋" w:eastAsia="仿宋" w:cs="仿宋"/>
                <w:b/>
                <w:bCs/>
                <w:sz w:val="24"/>
                <w:szCs w:val="24"/>
              </w:rPr>
            </w:pPr>
            <w:r>
              <w:rPr>
                <w:rFonts w:hint="eastAsia" w:ascii="仿宋" w:hAnsi="仿宋" w:eastAsia="仿宋" w:cs="仿宋"/>
                <w:b/>
                <w:bCs/>
                <w:sz w:val="24"/>
                <w:szCs w:val="24"/>
              </w:rPr>
              <w:t>条款号</w:t>
            </w:r>
          </w:p>
        </w:tc>
        <w:tc>
          <w:tcPr>
            <w:tcW w:w="3044" w:type="dxa"/>
            <w:vAlign w:val="center"/>
          </w:tcPr>
          <w:p w14:paraId="76F3C7A1">
            <w:pPr>
              <w:spacing w:line="520" w:lineRule="exact"/>
              <w:jc w:val="center"/>
              <w:rPr>
                <w:rFonts w:ascii="仿宋" w:hAnsi="仿宋" w:eastAsia="仿宋" w:cs="仿宋"/>
                <w:b/>
                <w:bCs/>
                <w:sz w:val="24"/>
                <w:szCs w:val="24"/>
              </w:rPr>
            </w:pPr>
            <w:r>
              <w:rPr>
                <w:rFonts w:hint="eastAsia" w:ascii="仿宋" w:hAnsi="仿宋" w:eastAsia="仿宋" w:cs="仿宋"/>
                <w:b/>
                <w:bCs/>
                <w:sz w:val="24"/>
                <w:szCs w:val="24"/>
              </w:rPr>
              <w:t>评审因素</w:t>
            </w:r>
          </w:p>
        </w:tc>
        <w:tc>
          <w:tcPr>
            <w:tcW w:w="3509" w:type="dxa"/>
            <w:vAlign w:val="center"/>
          </w:tcPr>
          <w:p w14:paraId="36B8FAA5">
            <w:pPr>
              <w:spacing w:line="520" w:lineRule="exact"/>
              <w:jc w:val="center"/>
              <w:rPr>
                <w:rFonts w:ascii="仿宋" w:hAnsi="仿宋" w:eastAsia="仿宋" w:cs="仿宋"/>
                <w:b/>
                <w:bCs/>
                <w:sz w:val="24"/>
                <w:szCs w:val="24"/>
              </w:rPr>
            </w:pPr>
            <w:r>
              <w:rPr>
                <w:rFonts w:hint="eastAsia" w:ascii="仿宋" w:hAnsi="仿宋" w:eastAsia="仿宋" w:cs="仿宋"/>
                <w:b/>
                <w:bCs/>
                <w:sz w:val="24"/>
                <w:szCs w:val="24"/>
              </w:rPr>
              <w:t>评审标准</w:t>
            </w:r>
          </w:p>
        </w:tc>
      </w:tr>
      <w:tr w14:paraId="3A9E0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410" w:type="dxa"/>
            <w:vMerge w:val="restart"/>
            <w:vAlign w:val="center"/>
          </w:tcPr>
          <w:p w14:paraId="60A2A353">
            <w:pPr>
              <w:spacing w:line="520" w:lineRule="exact"/>
              <w:rPr>
                <w:rFonts w:ascii="仿宋" w:hAnsi="仿宋" w:eastAsia="仿宋" w:cs="仿宋"/>
                <w:sz w:val="24"/>
                <w:szCs w:val="24"/>
              </w:rPr>
            </w:pPr>
            <w:r>
              <w:rPr>
                <w:rFonts w:hint="eastAsia" w:ascii="仿宋" w:hAnsi="仿宋" w:eastAsia="仿宋" w:cs="仿宋"/>
                <w:sz w:val="24"/>
                <w:szCs w:val="24"/>
              </w:rPr>
              <w:t>1</w:t>
            </w:r>
          </w:p>
        </w:tc>
        <w:tc>
          <w:tcPr>
            <w:tcW w:w="2116" w:type="dxa"/>
            <w:vMerge w:val="restart"/>
            <w:vAlign w:val="center"/>
          </w:tcPr>
          <w:p w14:paraId="6D93B16D">
            <w:pPr>
              <w:spacing w:line="520" w:lineRule="exact"/>
              <w:jc w:val="left"/>
              <w:rPr>
                <w:rFonts w:ascii="仿宋" w:hAnsi="仿宋" w:eastAsia="仿宋" w:cs="仿宋"/>
                <w:sz w:val="24"/>
                <w:szCs w:val="24"/>
              </w:rPr>
            </w:pPr>
            <w:r>
              <w:rPr>
                <w:rFonts w:hint="eastAsia" w:ascii="仿宋" w:hAnsi="仿宋" w:eastAsia="仿宋" w:cs="仿宋"/>
                <w:sz w:val="24"/>
                <w:szCs w:val="24"/>
              </w:rPr>
              <w:t>形式评审标准</w:t>
            </w:r>
          </w:p>
        </w:tc>
        <w:tc>
          <w:tcPr>
            <w:tcW w:w="3044" w:type="dxa"/>
            <w:vAlign w:val="center"/>
          </w:tcPr>
          <w:p w14:paraId="726FB5DC">
            <w:pPr>
              <w:spacing w:line="400" w:lineRule="exact"/>
              <w:rPr>
                <w:rFonts w:ascii="仿宋" w:hAnsi="仿宋" w:eastAsia="仿宋" w:cs="仿宋"/>
                <w:sz w:val="24"/>
                <w:szCs w:val="24"/>
              </w:rPr>
            </w:pPr>
            <w:r>
              <w:rPr>
                <w:rFonts w:hint="eastAsia" w:ascii="仿宋" w:hAnsi="仿宋" w:eastAsia="仿宋" w:cs="仿宋"/>
                <w:sz w:val="24"/>
                <w:szCs w:val="24"/>
              </w:rPr>
              <w:t>三证合一的营业执照</w:t>
            </w:r>
          </w:p>
        </w:tc>
        <w:tc>
          <w:tcPr>
            <w:tcW w:w="3509" w:type="dxa"/>
            <w:vAlign w:val="center"/>
          </w:tcPr>
          <w:p w14:paraId="36F5F13E">
            <w:pPr>
              <w:spacing w:line="380" w:lineRule="exact"/>
              <w:rPr>
                <w:rFonts w:ascii="仿宋" w:hAnsi="仿宋" w:eastAsia="仿宋" w:cs="仿宋"/>
                <w:sz w:val="24"/>
                <w:szCs w:val="24"/>
              </w:rPr>
            </w:pPr>
            <w:r>
              <w:rPr>
                <w:rFonts w:hint="eastAsia" w:ascii="仿宋" w:hAnsi="仿宋" w:eastAsia="仿宋" w:cs="仿宋"/>
                <w:sz w:val="24"/>
                <w:szCs w:val="24"/>
              </w:rPr>
              <w:t>三证合一的营业执照</w:t>
            </w:r>
          </w:p>
        </w:tc>
      </w:tr>
      <w:tr w14:paraId="3D6A6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10" w:type="dxa"/>
            <w:vMerge w:val="continue"/>
            <w:vAlign w:val="center"/>
          </w:tcPr>
          <w:p w14:paraId="63733F2D">
            <w:pPr>
              <w:spacing w:line="520" w:lineRule="exact"/>
              <w:rPr>
                <w:rFonts w:ascii="仿宋" w:hAnsi="仿宋" w:eastAsia="仿宋" w:cs="仿宋"/>
                <w:sz w:val="24"/>
                <w:szCs w:val="24"/>
              </w:rPr>
            </w:pPr>
          </w:p>
        </w:tc>
        <w:tc>
          <w:tcPr>
            <w:tcW w:w="2116" w:type="dxa"/>
            <w:vMerge w:val="continue"/>
            <w:vAlign w:val="center"/>
          </w:tcPr>
          <w:p w14:paraId="2FC42CE1">
            <w:pPr>
              <w:spacing w:line="520" w:lineRule="exact"/>
              <w:jc w:val="left"/>
              <w:rPr>
                <w:rFonts w:ascii="仿宋" w:hAnsi="仿宋" w:eastAsia="仿宋" w:cs="仿宋"/>
                <w:sz w:val="24"/>
                <w:szCs w:val="24"/>
              </w:rPr>
            </w:pPr>
          </w:p>
        </w:tc>
        <w:tc>
          <w:tcPr>
            <w:tcW w:w="3044" w:type="dxa"/>
            <w:vAlign w:val="center"/>
          </w:tcPr>
          <w:p w14:paraId="630629D4">
            <w:pPr>
              <w:spacing w:line="400" w:lineRule="exact"/>
              <w:rPr>
                <w:rFonts w:ascii="仿宋" w:hAnsi="仿宋" w:eastAsia="仿宋" w:cs="仿宋"/>
                <w:sz w:val="24"/>
                <w:szCs w:val="24"/>
              </w:rPr>
            </w:pPr>
            <w:r>
              <w:rPr>
                <w:rFonts w:hint="eastAsia" w:ascii="仿宋" w:hAnsi="仿宋" w:eastAsia="仿宋" w:cs="仿宋"/>
                <w:sz w:val="24"/>
                <w:szCs w:val="24"/>
              </w:rPr>
              <w:t>投标函签字盖章</w:t>
            </w:r>
          </w:p>
        </w:tc>
        <w:tc>
          <w:tcPr>
            <w:tcW w:w="3509" w:type="dxa"/>
            <w:vAlign w:val="center"/>
          </w:tcPr>
          <w:p w14:paraId="17EDF611">
            <w:pPr>
              <w:spacing w:line="380" w:lineRule="exact"/>
              <w:rPr>
                <w:rFonts w:ascii="仿宋" w:hAnsi="仿宋" w:eastAsia="仿宋" w:cs="仿宋"/>
                <w:sz w:val="24"/>
                <w:szCs w:val="24"/>
              </w:rPr>
            </w:pPr>
            <w:r>
              <w:rPr>
                <w:rFonts w:hint="eastAsia" w:ascii="仿宋" w:hAnsi="仿宋" w:eastAsia="仿宋" w:cs="仿宋"/>
                <w:sz w:val="24"/>
                <w:szCs w:val="24"/>
              </w:rPr>
              <w:t>符合招标文件规定</w:t>
            </w:r>
          </w:p>
        </w:tc>
      </w:tr>
      <w:tr w14:paraId="78D81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10" w:type="dxa"/>
            <w:vMerge w:val="continue"/>
            <w:vAlign w:val="center"/>
          </w:tcPr>
          <w:p w14:paraId="560D5D62">
            <w:pPr>
              <w:spacing w:line="520" w:lineRule="exact"/>
              <w:rPr>
                <w:rFonts w:ascii="仿宋" w:hAnsi="仿宋" w:eastAsia="仿宋" w:cs="仿宋"/>
                <w:sz w:val="24"/>
                <w:szCs w:val="24"/>
              </w:rPr>
            </w:pPr>
          </w:p>
        </w:tc>
        <w:tc>
          <w:tcPr>
            <w:tcW w:w="2116" w:type="dxa"/>
            <w:vMerge w:val="continue"/>
            <w:vAlign w:val="center"/>
          </w:tcPr>
          <w:p w14:paraId="5E272529">
            <w:pPr>
              <w:spacing w:line="520" w:lineRule="exact"/>
              <w:jc w:val="left"/>
              <w:rPr>
                <w:rFonts w:ascii="仿宋" w:hAnsi="仿宋" w:eastAsia="仿宋" w:cs="仿宋"/>
                <w:sz w:val="24"/>
                <w:szCs w:val="24"/>
              </w:rPr>
            </w:pPr>
          </w:p>
        </w:tc>
        <w:tc>
          <w:tcPr>
            <w:tcW w:w="3044" w:type="dxa"/>
            <w:vAlign w:val="center"/>
          </w:tcPr>
          <w:p w14:paraId="362D7AA6">
            <w:pPr>
              <w:spacing w:line="400" w:lineRule="exact"/>
              <w:rPr>
                <w:rFonts w:ascii="仿宋" w:hAnsi="仿宋" w:eastAsia="仿宋" w:cs="仿宋"/>
                <w:sz w:val="24"/>
                <w:szCs w:val="24"/>
              </w:rPr>
            </w:pPr>
            <w:r>
              <w:rPr>
                <w:rFonts w:hint="eastAsia" w:ascii="仿宋" w:hAnsi="仿宋" w:eastAsia="仿宋" w:cs="仿宋"/>
                <w:sz w:val="24"/>
                <w:szCs w:val="24"/>
              </w:rPr>
              <w:t>授权委托书</w:t>
            </w:r>
          </w:p>
        </w:tc>
        <w:tc>
          <w:tcPr>
            <w:tcW w:w="3509" w:type="dxa"/>
            <w:vAlign w:val="center"/>
          </w:tcPr>
          <w:p w14:paraId="37B80F87">
            <w:pPr>
              <w:spacing w:line="380" w:lineRule="exact"/>
              <w:rPr>
                <w:rFonts w:ascii="仿宋" w:hAnsi="仿宋" w:eastAsia="仿宋" w:cs="仿宋"/>
                <w:sz w:val="24"/>
                <w:szCs w:val="24"/>
              </w:rPr>
            </w:pPr>
            <w:r>
              <w:rPr>
                <w:rFonts w:hint="eastAsia" w:ascii="仿宋" w:hAnsi="仿宋" w:eastAsia="仿宋" w:cs="仿宋"/>
                <w:sz w:val="24"/>
                <w:szCs w:val="24"/>
              </w:rPr>
              <w:t>符合招标文件规定</w:t>
            </w:r>
          </w:p>
        </w:tc>
      </w:tr>
      <w:tr w14:paraId="55DF4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410" w:type="dxa"/>
            <w:vAlign w:val="center"/>
          </w:tcPr>
          <w:p w14:paraId="5E16D4ED">
            <w:pPr>
              <w:spacing w:line="520" w:lineRule="exact"/>
              <w:rPr>
                <w:rFonts w:ascii="仿宋" w:hAnsi="仿宋" w:eastAsia="仿宋" w:cs="仿宋"/>
                <w:sz w:val="24"/>
                <w:szCs w:val="24"/>
              </w:rPr>
            </w:pPr>
            <w:r>
              <w:rPr>
                <w:rFonts w:hint="eastAsia" w:ascii="仿宋" w:hAnsi="仿宋" w:eastAsia="仿宋" w:cs="仿宋"/>
                <w:sz w:val="24"/>
                <w:szCs w:val="24"/>
              </w:rPr>
              <w:t>2</w:t>
            </w:r>
          </w:p>
        </w:tc>
        <w:tc>
          <w:tcPr>
            <w:tcW w:w="2116" w:type="dxa"/>
            <w:vAlign w:val="center"/>
          </w:tcPr>
          <w:p w14:paraId="7AD891BC">
            <w:pPr>
              <w:spacing w:line="520" w:lineRule="exact"/>
              <w:jc w:val="left"/>
              <w:rPr>
                <w:rFonts w:ascii="仿宋" w:hAnsi="仿宋" w:eastAsia="仿宋" w:cs="仿宋"/>
                <w:sz w:val="24"/>
                <w:szCs w:val="24"/>
              </w:rPr>
            </w:pPr>
            <w:r>
              <w:rPr>
                <w:rFonts w:hint="eastAsia" w:ascii="仿宋" w:hAnsi="仿宋" w:eastAsia="仿宋" w:cs="仿宋"/>
                <w:sz w:val="24"/>
                <w:szCs w:val="24"/>
              </w:rPr>
              <w:t>资格评审标准</w:t>
            </w:r>
          </w:p>
        </w:tc>
        <w:tc>
          <w:tcPr>
            <w:tcW w:w="3044" w:type="dxa"/>
            <w:vAlign w:val="center"/>
          </w:tcPr>
          <w:p w14:paraId="686A3181">
            <w:pPr>
              <w:spacing w:line="400" w:lineRule="exact"/>
              <w:rPr>
                <w:rFonts w:ascii="仿宋" w:hAnsi="仿宋" w:eastAsia="仿宋" w:cs="仿宋"/>
                <w:sz w:val="24"/>
                <w:szCs w:val="24"/>
              </w:rPr>
            </w:pPr>
            <w:r>
              <w:rPr>
                <w:rFonts w:hint="eastAsia" w:ascii="仿宋" w:hAnsi="仿宋" w:eastAsia="仿宋" w:cs="仿宋"/>
                <w:sz w:val="24"/>
                <w:szCs w:val="24"/>
              </w:rPr>
              <w:t>供应商资格</w:t>
            </w:r>
          </w:p>
        </w:tc>
        <w:tc>
          <w:tcPr>
            <w:tcW w:w="3509" w:type="dxa"/>
            <w:vAlign w:val="center"/>
          </w:tcPr>
          <w:p w14:paraId="295FC879">
            <w:pPr>
              <w:spacing w:line="360" w:lineRule="auto"/>
              <w:jc w:val="left"/>
              <w:rPr>
                <w:rFonts w:ascii="仿宋" w:hAnsi="仿宋" w:eastAsia="仿宋" w:cs="仿宋"/>
                <w:color w:val="000000"/>
                <w:sz w:val="24"/>
                <w:szCs w:val="24"/>
              </w:rPr>
            </w:pPr>
            <w:r>
              <w:rPr>
                <w:rFonts w:hint="eastAsia" w:ascii="仿宋" w:hAnsi="仿宋" w:eastAsia="仿宋" w:cs="仿宋"/>
                <w:sz w:val="24"/>
                <w:szCs w:val="24"/>
              </w:rPr>
              <w:t>符合招标文件规定</w:t>
            </w:r>
          </w:p>
        </w:tc>
      </w:tr>
      <w:tr w14:paraId="24D1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10" w:type="dxa"/>
            <w:vMerge w:val="restart"/>
            <w:vAlign w:val="center"/>
          </w:tcPr>
          <w:p w14:paraId="5212B834">
            <w:pPr>
              <w:spacing w:line="520" w:lineRule="exact"/>
              <w:rPr>
                <w:rFonts w:ascii="仿宋" w:hAnsi="仿宋" w:eastAsia="仿宋" w:cs="仿宋"/>
                <w:sz w:val="24"/>
                <w:szCs w:val="24"/>
              </w:rPr>
            </w:pPr>
            <w:r>
              <w:rPr>
                <w:rFonts w:hint="eastAsia" w:ascii="仿宋" w:hAnsi="仿宋" w:eastAsia="仿宋" w:cs="仿宋"/>
                <w:sz w:val="24"/>
                <w:szCs w:val="24"/>
              </w:rPr>
              <w:t>3</w:t>
            </w:r>
          </w:p>
        </w:tc>
        <w:tc>
          <w:tcPr>
            <w:tcW w:w="2116" w:type="dxa"/>
            <w:vMerge w:val="restart"/>
            <w:vAlign w:val="center"/>
          </w:tcPr>
          <w:p w14:paraId="7A6652DE">
            <w:pPr>
              <w:spacing w:line="520" w:lineRule="exact"/>
              <w:jc w:val="left"/>
              <w:rPr>
                <w:rFonts w:ascii="仿宋" w:hAnsi="仿宋" w:eastAsia="仿宋" w:cs="仿宋"/>
                <w:sz w:val="24"/>
                <w:szCs w:val="24"/>
              </w:rPr>
            </w:pPr>
            <w:r>
              <w:rPr>
                <w:rFonts w:hint="eastAsia" w:ascii="仿宋" w:hAnsi="仿宋" w:eastAsia="仿宋" w:cs="仿宋"/>
                <w:sz w:val="24"/>
                <w:szCs w:val="24"/>
              </w:rPr>
              <w:t>响应性评审标准</w:t>
            </w:r>
          </w:p>
        </w:tc>
        <w:tc>
          <w:tcPr>
            <w:tcW w:w="3044" w:type="dxa"/>
            <w:vAlign w:val="center"/>
          </w:tcPr>
          <w:p w14:paraId="4F765F5A">
            <w:pPr>
              <w:spacing w:line="400" w:lineRule="exact"/>
              <w:rPr>
                <w:rFonts w:ascii="仿宋" w:hAnsi="仿宋" w:eastAsia="仿宋" w:cs="仿宋"/>
                <w:sz w:val="24"/>
                <w:szCs w:val="24"/>
              </w:rPr>
            </w:pPr>
            <w:r>
              <w:rPr>
                <w:rFonts w:hint="eastAsia" w:ascii="仿宋" w:hAnsi="仿宋" w:eastAsia="仿宋" w:cs="仿宋"/>
                <w:sz w:val="24"/>
                <w:szCs w:val="24"/>
              </w:rPr>
              <w:t>投标文件响应情况</w:t>
            </w:r>
          </w:p>
        </w:tc>
        <w:tc>
          <w:tcPr>
            <w:tcW w:w="3509" w:type="dxa"/>
            <w:vAlign w:val="center"/>
          </w:tcPr>
          <w:p w14:paraId="4E015D4E">
            <w:pPr>
              <w:spacing w:line="380" w:lineRule="exact"/>
              <w:rPr>
                <w:rFonts w:ascii="仿宋" w:hAnsi="仿宋" w:eastAsia="仿宋" w:cs="仿宋"/>
                <w:sz w:val="24"/>
                <w:szCs w:val="24"/>
              </w:rPr>
            </w:pPr>
            <w:r>
              <w:rPr>
                <w:rFonts w:hint="eastAsia" w:ascii="仿宋" w:hAnsi="仿宋" w:eastAsia="仿宋" w:cs="仿宋"/>
                <w:sz w:val="24"/>
                <w:szCs w:val="24"/>
              </w:rPr>
              <w:t>符合招标文件规定</w:t>
            </w:r>
          </w:p>
        </w:tc>
      </w:tr>
      <w:tr w14:paraId="7B7EC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10" w:type="dxa"/>
            <w:vMerge w:val="continue"/>
            <w:vAlign w:val="center"/>
          </w:tcPr>
          <w:p w14:paraId="70754761">
            <w:pPr>
              <w:spacing w:line="520" w:lineRule="exact"/>
              <w:rPr>
                <w:rFonts w:ascii="仿宋" w:hAnsi="仿宋" w:eastAsia="仿宋" w:cs="仿宋"/>
                <w:sz w:val="24"/>
                <w:szCs w:val="24"/>
              </w:rPr>
            </w:pPr>
          </w:p>
        </w:tc>
        <w:tc>
          <w:tcPr>
            <w:tcW w:w="2116" w:type="dxa"/>
            <w:vMerge w:val="continue"/>
            <w:vAlign w:val="center"/>
          </w:tcPr>
          <w:p w14:paraId="434B286A">
            <w:pPr>
              <w:spacing w:line="520" w:lineRule="exact"/>
              <w:rPr>
                <w:rFonts w:ascii="仿宋" w:hAnsi="仿宋" w:eastAsia="仿宋" w:cs="仿宋"/>
                <w:sz w:val="24"/>
                <w:szCs w:val="24"/>
              </w:rPr>
            </w:pPr>
          </w:p>
        </w:tc>
        <w:tc>
          <w:tcPr>
            <w:tcW w:w="3044" w:type="dxa"/>
            <w:vAlign w:val="center"/>
          </w:tcPr>
          <w:p w14:paraId="0503E68C">
            <w:pPr>
              <w:spacing w:line="400" w:lineRule="exact"/>
              <w:rPr>
                <w:rFonts w:ascii="仿宋" w:hAnsi="仿宋" w:eastAsia="仿宋" w:cs="仿宋"/>
                <w:sz w:val="24"/>
                <w:szCs w:val="24"/>
              </w:rPr>
            </w:pPr>
            <w:r>
              <w:rPr>
                <w:rFonts w:hint="eastAsia" w:ascii="仿宋" w:hAnsi="仿宋" w:eastAsia="仿宋" w:cs="仿宋"/>
                <w:sz w:val="24"/>
                <w:szCs w:val="24"/>
              </w:rPr>
              <w:t>投标报价</w:t>
            </w:r>
          </w:p>
        </w:tc>
        <w:tc>
          <w:tcPr>
            <w:tcW w:w="3509" w:type="dxa"/>
            <w:vAlign w:val="center"/>
          </w:tcPr>
          <w:p w14:paraId="721F9C19">
            <w:pPr>
              <w:spacing w:line="380" w:lineRule="exact"/>
              <w:rPr>
                <w:rFonts w:ascii="仿宋" w:hAnsi="仿宋" w:eastAsia="仿宋" w:cs="仿宋"/>
                <w:sz w:val="24"/>
                <w:szCs w:val="24"/>
              </w:rPr>
            </w:pPr>
            <w:r>
              <w:rPr>
                <w:rFonts w:hint="eastAsia" w:ascii="仿宋" w:hAnsi="仿宋" w:eastAsia="仿宋" w:cs="仿宋"/>
                <w:sz w:val="24"/>
                <w:szCs w:val="24"/>
              </w:rPr>
              <w:t>报价唯一，且不超过最高限价</w:t>
            </w:r>
          </w:p>
        </w:tc>
      </w:tr>
      <w:tr w14:paraId="5C03B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10" w:type="dxa"/>
            <w:vMerge w:val="continue"/>
            <w:vAlign w:val="center"/>
          </w:tcPr>
          <w:p w14:paraId="4D5E593F">
            <w:pPr>
              <w:spacing w:line="520" w:lineRule="exact"/>
              <w:rPr>
                <w:rFonts w:ascii="仿宋" w:hAnsi="仿宋" w:eastAsia="仿宋" w:cs="仿宋"/>
                <w:sz w:val="24"/>
                <w:szCs w:val="24"/>
              </w:rPr>
            </w:pPr>
          </w:p>
        </w:tc>
        <w:tc>
          <w:tcPr>
            <w:tcW w:w="2116" w:type="dxa"/>
            <w:vMerge w:val="continue"/>
            <w:vAlign w:val="center"/>
          </w:tcPr>
          <w:p w14:paraId="07E920B8">
            <w:pPr>
              <w:spacing w:line="520" w:lineRule="exact"/>
              <w:rPr>
                <w:rFonts w:ascii="仿宋" w:hAnsi="仿宋" w:eastAsia="仿宋" w:cs="仿宋"/>
                <w:sz w:val="24"/>
                <w:szCs w:val="24"/>
              </w:rPr>
            </w:pPr>
          </w:p>
        </w:tc>
        <w:tc>
          <w:tcPr>
            <w:tcW w:w="3044" w:type="dxa"/>
            <w:vAlign w:val="center"/>
          </w:tcPr>
          <w:p w14:paraId="3C1C80D0">
            <w:pPr>
              <w:spacing w:line="400" w:lineRule="exact"/>
              <w:rPr>
                <w:rFonts w:ascii="仿宋" w:hAnsi="仿宋" w:eastAsia="仿宋" w:cs="仿宋"/>
                <w:sz w:val="24"/>
                <w:szCs w:val="24"/>
              </w:rPr>
            </w:pPr>
            <w:r>
              <w:rPr>
                <w:rFonts w:hint="eastAsia" w:ascii="仿宋" w:hAnsi="仿宋" w:eastAsia="仿宋" w:cs="仿宋"/>
                <w:sz w:val="24"/>
                <w:szCs w:val="24"/>
                <w:lang w:val="zh-CN"/>
              </w:rPr>
              <w:t>工期</w:t>
            </w:r>
          </w:p>
        </w:tc>
        <w:tc>
          <w:tcPr>
            <w:tcW w:w="3509" w:type="dxa"/>
            <w:vAlign w:val="center"/>
          </w:tcPr>
          <w:p w14:paraId="25C5DC83">
            <w:pPr>
              <w:spacing w:line="380" w:lineRule="exact"/>
              <w:rPr>
                <w:rFonts w:ascii="仿宋" w:hAnsi="仿宋" w:eastAsia="仿宋" w:cs="仿宋"/>
                <w:sz w:val="24"/>
                <w:szCs w:val="24"/>
              </w:rPr>
            </w:pPr>
            <w:r>
              <w:rPr>
                <w:rFonts w:hint="eastAsia" w:ascii="仿宋" w:hAnsi="仿宋" w:eastAsia="仿宋" w:cs="仿宋"/>
                <w:sz w:val="24"/>
                <w:szCs w:val="24"/>
              </w:rPr>
              <w:t>符合招标文件规定</w:t>
            </w:r>
          </w:p>
        </w:tc>
      </w:tr>
      <w:tr w14:paraId="041BC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10" w:type="dxa"/>
            <w:vMerge w:val="continue"/>
            <w:vAlign w:val="center"/>
          </w:tcPr>
          <w:p w14:paraId="69EE8E14">
            <w:pPr>
              <w:spacing w:line="520" w:lineRule="exact"/>
              <w:rPr>
                <w:rFonts w:ascii="仿宋" w:hAnsi="仿宋" w:eastAsia="仿宋" w:cs="仿宋"/>
                <w:sz w:val="24"/>
                <w:szCs w:val="24"/>
              </w:rPr>
            </w:pPr>
          </w:p>
        </w:tc>
        <w:tc>
          <w:tcPr>
            <w:tcW w:w="2116" w:type="dxa"/>
            <w:vMerge w:val="continue"/>
            <w:vAlign w:val="center"/>
          </w:tcPr>
          <w:p w14:paraId="5D8A9FE6">
            <w:pPr>
              <w:spacing w:line="520" w:lineRule="exact"/>
              <w:rPr>
                <w:rFonts w:ascii="仿宋" w:hAnsi="仿宋" w:eastAsia="仿宋" w:cs="仿宋"/>
                <w:sz w:val="24"/>
                <w:szCs w:val="24"/>
              </w:rPr>
            </w:pPr>
          </w:p>
        </w:tc>
        <w:tc>
          <w:tcPr>
            <w:tcW w:w="3044" w:type="dxa"/>
            <w:vAlign w:val="center"/>
          </w:tcPr>
          <w:p w14:paraId="2AFFB10B">
            <w:pPr>
              <w:spacing w:line="400" w:lineRule="exact"/>
              <w:rPr>
                <w:rFonts w:ascii="仿宋" w:hAnsi="仿宋" w:eastAsia="仿宋" w:cs="仿宋"/>
                <w:sz w:val="24"/>
                <w:szCs w:val="24"/>
              </w:rPr>
            </w:pPr>
            <w:r>
              <w:rPr>
                <w:rFonts w:hint="eastAsia" w:ascii="仿宋" w:hAnsi="仿宋" w:eastAsia="仿宋" w:cs="仿宋"/>
                <w:sz w:val="24"/>
                <w:szCs w:val="24"/>
              </w:rPr>
              <w:t>投标保证金</w:t>
            </w:r>
          </w:p>
        </w:tc>
        <w:tc>
          <w:tcPr>
            <w:tcW w:w="3509" w:type="dxa"/>
            <w:vAlign w:val="center"/>
          </w:tcPr>
          <w:p w14:paraId="0B570424">
            <w:pPr>
              <w:spacing w:line="380" w:lineRule="exact"/>
              <w:rPr>
                <w:rFonts w:ascii="仿宋" w:hAnsi="仿宋" w:eastAsia="仿宋" w:cs="仿宋"/>
                <w:sz w:val="24"/>
                <w:szCs w:val="24"/>
              </w:rPr>
            </w:pPr>
            <w:r>
              <w:rPr>
                <w:rFonts w:hint="eastAsia" w:ascii="仿宋" w:hAnsi="仿宋" w:eastAsia="仿宋" w:cs="仿宋"/>
                <w:sz w:val="24"/>
                <w:szCs w:val="24"/>
              </w:rPr>
              <w:t>符合招标文件规定</w:t>
            </w:r>
          </w:p>
        </w:tc>
      </w:tr>
      <w:tr w14:paraId="7C434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9079" w:type="dxa"/>
            <w:gridSpan w:val="4"/>
            <w:vAlign w:val="center"/>
          </w:tcPr>
          <w:p w14:paraId="6EA3FCF0">
            <w:pPr>
              <w:widowControl/>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注：以上资料均须提供复印件放在投标文件中。</w:t>
            </w:r>
          </w:p>
          <w:p w14:paraId="193DA870">
            <w:pPr>
              <w:widowControl/>
              <w:jc w:val="left"/>
              <w:rPr>
                <w:rFonts w:ascii="仿宋" w:hAnsi="仿宋" w:eastAsia="仿宋" w:cs="仿宋"/>
                <w:sz w:val="24"/>
                <w:szCs w:val="24"/>
              </w:rPr>
            </w:pPr>
            <w:r>
              <w:rPr>
                <w:rFonts w:hint="eastAsia" w:ascii="仿宋" w:hAnsi="仿宋" w:eastAsia="仿宋" w:cs="仿宋"/>
                <w:b/>
                <w:color w:val="000000"/>
                <w:kern w:val="0"/>
                <w:sz w:val="24"/>
                <w:szCs w:val="24"/>
              </w:rPr>
              <w:t xml:space="preserve">评审指标通过标准：投标人必须通过上述全部指标，有一项未通过将不进入后续评审。 </w:t>
            </w:r>
            <w:r>
              <w:rPr>
                <w:rFonts w:hint="eastAsia" w:ascii="仿宋" w:hAnsi="仿宋" w:eastAsia="仿宋" w:cs="仿宋"/>
                <w:color w:val="000000"/>
                <w:kern w:val="0"/>
                <w:sz w:val="24"/>
                <w:szCs w:val="24"/>
              </w:rPr>
              <w:t>注：通过打√，未通过打×。</w:t>
            </w:r>
          </w:p>
        </w:tc>
      </w:tr>
      <w:tr w14:paraId="51FD5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7" w:hRule="atLeast"/>
          <w:jc w:val="center"/>
        </w:trPr>
        <w:tc>
          <w:tcPr>
            <w:tcW w:w="9079" w:type="dxa"/>
            <w:gridSpan w:val="4"/>
            <w:vAlign w:val="center"/>
          </w:tcPr>
          <w:p w14:paraId="031418C9">
            <w:pPr>
              <w:widowControl/>
              <w:jc w:val="left"/>
              <w:rPr>
                <w:rFonts w:ascii="仿宋" w:hAnsi="仿宋" w:eastAsia="仿宋" w:cs="仿宋"/>
              </w:rPr>
            </w:pPr>
            <w:r>
              <w:rPr>
                <w:rFonts w:hint="eastAsia" w:ascii="仿宋" w:hAnsi="仿宋" w:eastAsia="仿宋" w:cs="仿宋"/>
                <w:b/>
                <w:color w:val="000000"/>
                <w:kern w:val="0"/>
                <w:sz w:val="24"/>
                <w:szCs w:val="24"/>
              </w:rPr>
              <w:t xml:space="preserve">注：1、若投标人提供虚假材料将依据《政府采购法》及其实施条例追究责任。 </w:t>
            </w:r>
          </w:p>
          <w:p w14:paraId="327BA9C8">
            <w:pPr>
              <w:widowControl/>
              <w:jc w:val="left"/>
              <w:rPr>
                <w:rFonts w:ascii="仿宋" w:hAnsi="仿宋" w:eastAsia="仿宋" w:cs="仿宋"/>
                <w:color w:val="FF0000"/>
              </w:rPr>
            </w:pPr>
            <w:r>
              <w:rPr>
                <w:rFonts w:hint="eastAsia" w:ascii="仿宋" w:hAnsi="仿宋" w:eastAsia="仿宋" w:cs="仿宋"/>
                <w:b/>
                <w:color w:val="FF0000"/>
                <w:kern w:val="0"/>
                <w:sz w:val="24"/>
                <w:szCs w:val="24"/>
              </w:rPr>
              <w:t xml:space="preserve">2、复印件需保证清晰易于辨认，若因为复印件不清晰影响评标委员会评标的，其后果由投标人自行承担。 </w:t>
            </w:r>
          </w:p>
          <w:p w14:paraId="61C6F1C6">
            <w:pPr>
              <w:widowControl/>
              <w:jc w:val="left"/>
              <w:rPr>
                <w:rFonts w:ascii="仿宋" w:hAnsi="仿宋" w:eastAsia="仿宋" w:cs="仿宋"/>
                <w:sz w:val="24"/>
                <w:szCs w:val="24"/>
              </w:rPr>
            </w:pPr>
            <w:r>
              <w:rPr>
                <w:rFonts w:hint="eastAsia" w:ascii="仿宋" w:hAnsi="仿宋" w:eastAsia="仿宋" w:cs="仿宋"/>
                <w:b/>
                <w:color w:val="000000"/>
                <w:kern w:val="0"/>
                <w:sz w:val="24"/>
                <w:szCs w:val="24"/>
              </w:rPr>
              <w:t xml:space="preserve">3、所采购货物中主要设备同一品牌只接受一家投标人参与投标。提供相同品牌产品且通过资格审查、符合性审查的不同投标人参加同一合同项下投标的，按一家投标人计算，评分后得分最高的投标人获得中标人推荐资格。其他主要设备同品牌投标人不参与中标候选人推荐。 </w:t>
            </w:r>
          </w:p>
        </w:tc>
      </w:tr>
    </w:tbl>
    <w:p w14:paraId="374C8752">
      <w:pPr>
        <w:spacing w:line="360" w:lineRule="auto"/>
        <w:jc w:val="center"/>
        <w:rPr>
          <w:rFonts w:ascii="仿宋" w:hAnsi="仿宋" w:eastAsia="仿宋" w:cs="仿宋"/>
          <w:b/>
          <w:color w:val="000000"/>
          <w:sz w:val="24"/>
          <w:szCs w:val="24"/>
        </w:rPr>
      </w:pPr>
    </w:p>
    <w:p w14:paraId="51B73956">
      <w:pPr>
        <w:spacing w:line="360" w:lineRule="auto"/>
        <w:jc w:val="center"/>
        <w:rPr>
          <w:rFonts w:ascii="仿宋" w:hAnsi="仿宋" w:eastAsia="仿宋" w:cs="仿宋"/>
          <w:b/>
          <w:color w:val="000000"/>
          <w:sz w:val="24"/>
          <w:szCs w:val="24"/>
        </w:rPr>
      </w:pPr>
    </w:p>
    <w:p w14:paraId="714C0A5D">
      <w:pPr>
        <w:spacing w:line="360" w:lineRule="auto"/>
        <w:jc w:val="center"/>
        <w:rPr>
          <w:rFonts w:ascii="仿宋" w:hAnsi="仿宋" w:eastAsia="仿宋" w:cs="仿宋"/>
          <w:b/>
          <w:color w:val="000000"/>
          <w:sz w:val="24"/>
          <w:szCs w:val="24"/>
        </w:rPr>
      </w:pPr>
    </w:p>
    <w:p w14:paraId="3AA2847C">
      <w:pPr>
        <w:spacing w:line="360" w:lineRule="auto"/>
        <w:rPr>
          <w:rFonts w:ascii="仿宋" w:hAnsi="仿宋" w:eastAsia="仿宋" w:cs="仿宋"/>
          <w:b/>
          <w:color w:val="000000"/>
          <w:sz w:val="24"/>
          <w:szCs w:val="24"/>
        </w:rPr>
      </w:pPr>
    </w:p>
    <w:p w14:paraId="534D56A5">
      <w:pPr>
        <w:pStyle w:val="2"/>
        <w:ind w:firstLine="640"/>
        <w:rPr>
          <w:rFonts w:ascii="仿宋" w:hAnsi="仿宋" w:eastAsia="仿宋" w:cs="仿宋"/>
        </w:rPr>
      </w:pPr>
    </w:p>
    <w:p w14:paraId="4A856C66">
      <w:pPr>
        <w:pStyle w:val="2"/>
        <w:ind w:firstLine="640"/>
        <w:rPr>
          <w:rFonts w:ascii="仿宋" w:hAnsi="仿宋" w:eastAsia="仿宋" w:cs="仿宋"/>
        </w:rPr>
      </w:pPr>
    </w:p>
    <w:p w14:paraId="0746606D">
      <w:pPr>
        <w:spacing w:line="360" w:lineRule="auto"/>
        <w:rPr>
          <w:rFonts w:ascii="仿宋" w:hAnsi="仿宋" w:eastAsia="仿宋" w:cs="仿宋"/>
          <w:b/>
          <w:color w:val="000000"/>
          <w:sz w:val="24"/>
          <w:szCs w:val="24"/>
        </w:rPr>
      </w:pPr>
    </w:p>
    <w:p w14:paraId="41CA0E62">
      <w:pPr>
        <w:pStyle w:val="2"/>
        <w:ind w:firstLine="482"/>
        <w:rPr>
          <w:rFonts w:ascii="仿宋" w:hAnsi="仿宋" w:eastAsia="仿宋" w:cs="仿宋"/>
          <w:b/>
          <w:color w:val="000000"/>
          <w:sz w:val="24"/>
          <w:szCs w:val="24"/>
        </w:rPr>
      </w:pPr>
    </w:p>
    <w:p w14:paraId="4E5CA7C8">
      <w:pPr>
        <w:pStyle w:val="2"/>
        <w:ind w:firstLine="482"/>
        <w:rPr>
          <w:rFonts w:ascii="仿宋" w:hAnsi="仿宋" w:eastAsia="仿宋" w:cs="仿宋"/>
          <w:b/>
          <w:color w:val="000000"/>
          <w:sz w:val="24"/>
          <w:szCs w:val="24"/>
        </w:rPr>
      </w:pPr>
    </w:p>
    <w:p w14:paraId="03928A36">
      <w:pPr>
        <w:spacing w:line="360" w:lineRule="auto"/>
        <w:rPr>
          <w:rFonts w:ascii="仿宋" w:hAnsi="仿宋" w:eastAsia="仿宋" w:cs="仿宋"/>
          <w:b/>
          <w:color w:val="000000"/>
          <w:sz w:val="24"/>
          <w:szCs w:val="24"/>
        </w:rPr>
      </w:pPr>
    </w:p>
    <w:p w14:paraId="16D4BB07">
      <w:pPr>
        <w:spacing w:line="360" w:lineRule="auto"/>
        <w:jc w:val="center"/>
        <w:rPr>
          <w:rFonts w:ascii="仿宋" w:hAnsi="仿宋" w:eastAsia="仿宋" w:cs="仿宋"/>
          <w:b/>
          <w:color w:val="000000"/>
          <w:sz w:val="24"/>
          <w:szCs w:val="24"/>
        </w:rPr>
      </w:pPr>
    </w:p>
    <w:p w14:paraId="105A2852">
      <w:pPr>
        <w:spacing w:line="360" w:lineRule="auto"/>
        <w:jc w:val="center"/>
        <w:rPr>
          <w:rFonts w:ascii="仿宋" w:hAnsi="仿宋" w:eastAsia="仿宋" w:cs="仿宋"/>
          <w:b/>
          <w:color w:val="000000"/>
          <w:sz w:val="24"/>
          <w:szCs w:val="24"/>
        </w:rPr>
      </w:pPr>
      <w:r>
        <w:rPr>
          <w:rFonts w:hint="eastAsia" w:ascii="仿宋" w:hAnsi="仿宋" w:eastAsia="仿宋" w:cs="仿宋"/>
          <w:b/>
          <w:color w:val="000000"/>
          <w:sz w:val="24"/>
          <w:szCs w:val="24"/>
        </w:rPr>
        <w:t>四、评分细则（总分 100 分）</w:t>
      </w:r>
    </w:p>
    <w:tbl>
      <w:tblPr>
        <w:tblStyle w:val="53"/>
        <w:tblW w:w="9620" w:type="dxa"/>
        <w:jc w:val="center"/>
        <w:tblLayout w:type="fixed"/>
        <w:tblCellMar>
          <w:top w:w="0" w:type="dxa"/>
          <w:left w:w="108" w:type="dxa"/>
          <w:bottom w:w="0" w:type="dxa"/>
          <w:right w:w="108" w:type="dxa"/>
        </w:tblCellMar>
      </w:tblPr>
      <w:tblGrid>
        <w:gridCol w:w="1117"/>
        <w:gridCol w:w="786"/>
        <w:gridCol w:w="752"/>
        <w:gridCol w:w="6965"/>
      </w:tblGrid>
      <w:tr w14:paraId="51814D42">
        <w:tblPrEx>
          <w:tblCellMar>
            <w:top w:w="0" w:type="dxa"/>
            <w:left w:w="108" w:type="dxa"/>
            <w:bottom w:w="0" w:type="dxa"/>
            <w:right w:w="108" w:type="dxa"/>
          </w:tblCellMar>
        </w:tblPrEx>
        <w:trPr>
          <w:trHeight w:val="710" w:hRule="atLeast"/>
          <w:jc w:val="center"/>
        </w:trPr>
        <w:tc>
          <w:tcPr>
            <w:tcW w:w="1903" w:type="dxa"/>
            <w:gridSpan w:val="2"/>
            <w:tcBorders>
              <w:top w:val="single" w:color="auto" w:sz="4" w:space="0"/>
              <w:left w:val="single" w:color="auto" w:sz="4" w:space="0"/>
              <w:bottom w:val="single" w:color="auto" w:sz="4" w:space="0"/>
              <w:right w:val="single" w:color="auto" w:sz="4" w:space="0"/>
            </w:tcBorders>
            <w:noWrap/>
            <w:vAlign w:val="center"/>
          </w:tcPr>
          <w:p w14:paraId="715A6A7F">
            <w:pPr>
              <w:widowControl/>
              <w:spacing w:line="500" w:lineRule="exact"/>
              <w:jc w:val="center"/>
              <w:rPr>
                <w:rFonts w:ascii="仿宋" w:hAnsi="仿宋" w:eastAsia="仿宋" w:cs="仿宋"/>
                <w:kern w:val="0"/>
                <w:sz w:val="24"/>
              </w:rPr>
            </w:pPr>
            <w:r>
              <w:rPr>
                <w:rFonts w:hint="eastAsia" w:ascii="仿宋" w:hAnsi="仿宋" w:eastAsia="仿宋" w:cs="仿宋"/>
                <w:kern w:val="0"/>
                <w:sz w:val="24"/>
              </w:rPr>
              <w:t>评分项目</w:t>
            </w:r>
          </w:p>
        </w:tc>
        <w:tc>
          <w:tcPr>
            <w:tcW w:w="752" w:type="dxa"/>
            <w:tcBorders>
              <w:top w:val="single" w:color="auto" w:sz="4" w:space="0"/>
              <w:left w:val="single" w:color="auto" w:sz="4" w:space="0"/>
              <w:bottom w:val="single" w:color="auto" w:sz="4" w:space="0"/>
              <w:right w:val="single" w:color="auto" w:sz="4" w:space="0"/>
            </w:tcBorders>
            <w:noWrap/>
            <w:vAlign w:val="center"/>
          </w:tcPr>
          <w:p w14:paraId="02B5E133">
            <w:pPr>
              <w:widowControl/>
              <w:spacing w:line="500" w:lineRule="exact"/>
              <w:jc w:val="center"/>
              <w:rPr>
                <w:rFonts w:ascii="仿宋" w:hAnsi="仿宋" w:eastAsia="仿宋" w:cs="仿宋"/>
                <w:kern w:val="0"/>
                <w:sz w:val="24"/>
              </w:rPr>
            </w:pPr>
            <w:r>
              <w:rPr>
                <w:rFonts w:hint="eastAsia" w:ascii="仿宋" w:hAnsi="仿宋" w:eastAsia="仿宋" w:cs="仿宋"/>
                <w:kern w:val="0"/>
                <w:sz w:val="24"/>
              </w:rPr>
              <w:t>分值</w:t>
            </w:r>
          </w:p>
        </w:tc>
        <w:tc>
          <w:tcPr>
            <w:tcW w:w="6965" w:type="dxa"/>
            <w:tcBorders>
              <w:top w:val="single" w:color="auto" w:sz="4" w:space="0"/>
              <w:left w:val="single" w:color="auto" w:sz="4" w:space="0"/>
              <w:bottom w:val="single" w:color="auto" w:sz="4" w:space="0"/>
              <w:right w:val="single" w:color="auto" w:sz="4" w:space="0"/>
            </w:tcBorders>
            <w:noWrap/>
            <w:vAlign w:val="center"/>
          </w:tcPr>
          <w:p w14:paraId="75A10E14">
            <w:pPr>
              <w:widowControl/>
              <w:spacing w:line="500" w:lineRule="exact"/>
              <w:jc w:val="center"/>
              <w:rPr>
                <w:rFonts w:ascii="仿宋" w:hAnsi="仿宋" w:eastAsia="仿宋" w:cs="仿宋"/>
                <w:b/>
                <w:bCs/>
                <w:kern w:val="0"/>
                <w:sz w:val="24"/>
              </w:rPr>
            </w:pPr>
            <w:r>
              <w:rPr>
                <w:rFonts w:hint="eastAsia" w:ascii="仿宋" w:hAnsi="仿宋" w:eastAsia="仿宋" w:cs="仿宋"/>
                <w:b/>
                <w:bCs/>
                <w:kern w:val="0"/>
                <w:sz w:val="24"/>
              </w:rPr>
              <w:t xml:space="preserve">评  分  标  准 </w:t>
            </w:r>
          </w:p>
        </w:tc>
      </w:tr>
      <w:tr w14:paraId="21572769">
        <w:tblPrEx>
          <w:tblCellMar>
            <w:top w:w="0" w:type="dxa"/>
            <w:left w:w="108" w:type="dxa"/>
            <w:bottom w:w="0" w:type="dxa"/>
            <w:right w:w="108" w:type="dxa"/>
          </w:tblCellMar>
        </w:tblPrEx>
        <w:trPr>
          <w:trHeight w:val="1031" w:hRule="atLeast"/>
          <w:jc w:val="center"/>
        </w:trPr>
        <w:tc>
          <w:tcPr>
            <w:tcW w:w="1117" w:type="dxa"/>
            <w:tcBorders>
              <w:top w:val="single" w:color="auto" w:sz="4" w:space="0"/>
              <w:left w:val="single" w:color="auto" w:sz="4" w:space="0"/>
              <w:bottom w:val="single" w:color="auto" w:sz="4" w:space="0"/>
              <w:right w:val="single" w:color="auto" w:sz="4" w:space="0"/>
            </w:tcBorders>
            <w:noWrap/>
            <w:vAlign w:val="center"/>
          </w:tcPr>
          <w:p w14:paraId="24A765CE">
            <w:pPr>
              <w:widowControl/>
              <w:spacing w:line="500" w:lineRule="exact"/>
              <w:jc w:val="center"/>
              <w:rPr>
                <w:rFonts w:ascii="仿宋" w:hAnsi="仿宋" w:eastAsia="仿宋" w:cs="仿宋"/>
                <w:kern w:val="0"/>
                <w:sz w:val="24"/>
              </w:rPr>
            </w:pPr>
            <w:r>
              <w:rPr>
                <w:rFonts w:hint="eastAsia" w:ascii="仿宋" w:hAnsi="仿宋" w:eastAsia="仿宋" w:cs="仿宋"/>
                <w:kern w:val="0"/>
                <w:sz w:val="24"/>
              </w:rPr>
              <w:t>价格分（30分）</w:t>
            </w:r>
          </w:p>
        </w:tc>
        <w:tc>
          <w:tcPr>
            <w:tcW w:w="786" w:type="dxa"/>
            <w:tcBorders>
              <w:top w:val="single" w:color="auto" w:sz="4" w:space="0"/>
              <w:left w:val="single" w:color="auto" w:sz="4" w:space="0"/>
              <w:bottom w:val="single" w:color="auto" w:sz="4" w:space="0"/>
              <w:right w:val="single" w:color="auto" w:sz="4" w:space="0"/>
            </w:tcBorders>
            <w:vAlign w:val="center"/>
          </w:tcPr>
          <w:p w14:paraId="5C36400A">
            <w:pPr>
              <w:widowControl/>
              <w:spacing w:line="500" w:lineRule="exact"/>
              <w:jc w:val="center"/>
              <w:rPr>
                <w:rFonts w:ascii="仿宋" w:hAnsi="仿宋" w:eastAsia="仿宋" w:cs="仿宋"/>
                <w:kern w:val="0"/>
                <w:sz w:val="24"/>
              </w:rPr>
            </w:pPr>
            <w:r>
              <w:rPr>
                <w:rFonts w:hint="eastAsia" w:ascii="仿宋" w:hAnsi="仿宋" w:eastAsia="仿宋" w:cs="仿宋"/>
                <w:kern w:val="0"/>
                <w:sz w:val="24"/>
              </w:rPr>
              <w:t>投标报价</w:t>
            </w:r>
          </w:p>
        </w:tc>
        <w:tc>
          <w:tcPr>
            <w:tcW w:w="752" w:type="dxa"/>
            <w:tcBorders>
              <w:top w:val="single" w:color="auto" w:sz="4" w:space="0"/>
              <w:left w:val="nil"/>
              <w:bottom w:val="single" w:color="auto" w:sz="4" w:space="0"/>
              <w:right w:val="single" w:color="auto" w:sz="4" w:space="0"/>
            </w:tcBorders>
            <w:noWrap/>
            <w:vAlign w:val="center"/>
          </w:tcPr>
          <w:p w14:paraId="61D07FE3">
            <w:pPr>
              <w:widowControl/>
              <w:spacing w:line="500" w:lineRule="exact"/>
              <w:jc w:val="center"/>
              <w:rPr>
                <w:rFonts w:ascii="仿宋" w:hAnsi="仿宋" w:eastAsia="仿宋" w:cs="仿宋"/>
                <w:kern w:val="0"/>
                <w:sz w:val="24"/>
              </w:rPr>
            </w:pPr>
            <w:r>
              <w:rPr>
                <w:rFonts w:hint="eastAsia" w:ascii="仿宋" w:hAnsi="仿宋" w:eastAsia="仿宋" w:cs="仿宋"/>
                <w:kern w:val="0"/>
                <w:sz w:val="24"/>
              </w:rPr>
              <w:t>30</w:t>
            </w:r>
          </w:p>
        </w:tc>
        <w:tc>
          <w:tcPr>
            <w:tcW w:w="6965" w:type="dxa"/>
            <w:tcBorders>
              <w:top w:val="single" w:color="auto" w:sz="4" w:space="0"/>
              <w:left w:val="nil"/>
              <w:bottom w:val="single" w:color="auto" w:sz="4" w:space="0"/>
              <w:right w:val="single" w:color="auto" w:sz="4" w:space="0"/>
            </w:tcBorders>
            <w:noWrap/>
            <w:vAlign w:val="center"/>
          </w:tcPr>
          <w:p w14:paraId="47E08DD5">
            <w:pPr>
              <w:spacing w:beforeLines="50" w:line="500" w:lineRule="exact"/>
              <w:rPr>
                <w:rFonts w:ascii="仿宋" w:hAnsi="仿宋" w:eastAsia="仿宋" w:cs="仿宋"/>
                <w:sz w:val="24"/>
                <w:szCs w:val="24"/>
              </w:rPr>
            </w:pPr>
            <w:r>
              <w:rPr>
                <w:rFonts w:hint="eastAsia" w:ascii="仿宋" w:hAnsi="仿宋" w:eastAsia="仿宋" w:cs="仿宋"/>
                <w:sz w:val="24"/>
                <w:szCs w:val="24"/>
              </w:rPr>
              <w:t>（1）满足招标文件要求且投标价格最低的投标报价为评标基准价。因落实政府采购政策进行价格调整的，以调整后的价格计算评标基准价和投标报价。</w:t>
            </w:r>
          </w:p>
          <w:p w14:paraId="2E327E29">
            <w:pPr>
              <w:spacing w:beforeLines="50" w:line="500" w:lineRule="exact"/>
              <w:rPr>
                <w:rFonts w:ascii="仿宋" w:hAnsi="仿宋" w:eastAsia="仿宋" w:cs="仿宋"/>
                <w:sz w:val="24"/>
                <w:szCs w:val="24"/>
              </w:rPr>
            </w:pPr>
            <w:r>
              <w:rPr>
                <w:rFonts w:hint="eastAsia" w:ascii="仿宋" w:hAnsi="仿宋" w:eastAsia="仿宋" w:cs="仿宋"/>
                <w:sz w:val="24"/>
                <w:szCs w:val="24"/>
              </w:rPr>
              <w:t>分值计算公式为：投标报价得分=（评标基准价/投标报价）×价格权值（30%）×100，四舍五入保留两位小数。</w:t>
            </w:r>
          </w:p>
          <w:p w14:paraId="54C45DE5">
            <w:pPr>
              <w:spacing w:beforeLines="50" w:line="500" w:lineRule="exact"/>
              <w:rPr>
                <w:rFonts w:ascii="仿宋" w:hAnsi="仿宋" w:eastAsia="仿宋" w:cs="仿宋"/>
                <w:sz w:val="24"/>
                <w:szCs w:val="24"/>
              </w:rPr>
            </w:pPr>
            <w:r>
              <w:rPr>
                <w:rFonts w:hint="eastAsia" w:ascii="仿宋" w:hAnsi="仿宋" w:eastAsia="仿宋" w:cs="仿宋"/>
                <w:sz w:val="24"/>
                <w:szCs w:val="24"/>
              </w:rPr>
              <w:t>（2）投标报价超过最高投标限价为无效报价。</w:t>
            </w:r>
          </w:p>
          <w:p w14:paraId="4D07C50A">
            <w:pPr>
              <w:spacing w:beforeLines="50" w:line="500" w:lineRule="exact"/>
              <w:rPr>
                <w:rFonts w:ascii="仿宋" w:hAnsi="仿宋" w:eastAsia="仿宋" w:cs="仿宋"/>
                <w:sz w:val="24"/>
                <w:szCs w:val="24"/>
              </w:rPr>
            </w:pPr>
            <w:r>
              <w:rPr>
                <w:rFonts w:hint="eastAsia" w:ascii="仿宋" w:hAnsi="仿宋" w:eastAsia="仿宋" w:cs="仿宋"/>
                <w:sz w:val="24"/>
                <w:szCs w:val="24"/>
              </w:rPr>
              <w:t>（3）对小型和微型企业提供的服务价格给予6%的扣除、中型企业给予3%的扣除，用扣除后的价格参与报价分值计算。（采用分项报价折算累计的方法汇总出参与评分的价格）</w:t>
            </w:r>
          </w:p>
          <w:p w14:paraId="46CF13A8">
            <w:pPr>
              <w:widowControl/>
              <w:spacing w:line="500" w:lineRule="exact"/>
              <w:jc w:val="left"/>
              <w:rPr>
                <w:rFonts w:ascii="仿宋" w:hAnsi="仿宋" w:eastAsia="仿宋" w:cs="仿宋"/>
                <w:b/>
                <w:kern w:val="0"/>
                <w:sz w:val="24"/>
                <w:highlight w:val="yellow"/>
              </w:rPr>
            </w:pPr>
            <w:r>
              <w:rPr>
                <w:rFonts w:hint="eastAsia" w:ascii="仿宋" w:hAnsi="仿宋" w:eastAsia="仿宋" w:cs="仿宋"/>
                <w:sz w:val="24"/>
                <w:szCs w:val="24"/>
              </w:rPr>
              <w:t>（4）供应商自行计算折算后价格，供评标委员会核验。享受中小微企业报价折算政策的供应商需要在报价时将分项折算后的报价在报价表中体现并注明折算后报价，未折算或计算错误评标委员会可不予享受中小微企业报价折算政策。</w:t>
            </w:r>
          </w:p>
        </w:tc>
      </w:tr>
      <w:tr w14:paraId="6E4A1A4A">
        <w:tblPrEx>
          <w:tblCellMar>
            <w:top w:w="0" w:type="dxa"/>
            <w:left w:w="108" w:type="dxa"/>
            <w:bottom w:w="0" w:type="dxa"/>
            <w:right w:w="108" w:type="dxa"/>
          </w:tblCellMar>
        </w:tblPrEx>
        <w:trPr>
          <w:trHeight w:val="648" w:hRule="atLeast"/>
          <w:jc w:val="center"/>
        </w:trPr>
        <w:tc>
          <w:tcPr>
            <w:tcW w:w="1117" w:type="dxa"/>
            <w:vMerge w:val="restart"/>
            <w:tcBorders>
              <w:top w:val="nil"/>
              <w:left w:val="single" w:color="auto" w:sz="4" w:space="0"/>
              <w:bottom w:val="single" w:color="000000" w:sz="4" w:space="0"/>
              <w:right w:val="single" w:color="auto" w:sz="4" w:space="0"/>
            </w:tcBorders>
            <w:noWrap/>
            <w:vAlign w:val="center"/>
          </w:tcPr>
          <w:p w14:paraId="4FBF11C1">
            <w:pPr>
              <w:widowControl/>
              <w:spacing w:line="500" w:lineRule="exact"/>
              <w:rPr>
                <w:rFonts w:ascii="仿宋" w:hAnsi="仿宋" w:eastAsia="仿宋" w:cs="仿宋"/>
                <w:kern w:val="0"/>
                <w:sz w:val="24"/>
              </w:rPr>
            </w:pPr>
            <w:r>
              <w:rPr>
                <w:rFonts w:hint="eastAsia" w:ascii="仿宋" w:hAnsi="仿宋" w:eastAsia="仿宋" w:cs="仿宋"/>
                <w:kern w:val="0"/>
                <w:sz w:val="24"/>
              </w:rPr>
              <w:t>技术资信分（70分）</w:t>
            </w:r>
          </w:p>
        </w:tc>
        <w:tc>
          <w:tcPr>
            <w:tcW w:w="786" w:type="dxa"/>
            <w:tcBorders>
              <w:top w:val="nil"/>
              <w:left w:val="single" w:color="auto" w:sz="4" w:space="0"/>
              <w:bottom w:val="single" w:color="auto" w:sz="4" w:space="0"/>
              <w:right w:val="single" w:color="auto" w:sz="4" w:space="0"/>
            </w:tcBorders>
            <w:noWrap/>
            <w:vAlign w:val="center"/>
          </w:tcPr>
          <w:p w14:paraId="57F59436">
            <w:pPr>
              <w:widowControl/>
              <w:spacing w:line="500" w:lineRule="exact"/>
              <w:jc w:val="center"/>
              <w:rPr>
                <w:rFonts w:ascii="仿宋" w:hAnsi="仿宋" w:eastAsia="仿宋" w:cs="仿宋"/>
                <w:kern w:val="0"/>
                <w:sz w:val="24"/>
              </w:rPr>
            </w:pPr>
            <w:r>
              <w:rPr>
                <w:rFonts w:hint="eastAsia" w:ascii="仿宋" w:hAnsi="仿宋" w:eastAsia="仿宋" w:cs="仿宋"/>
                <w:kern w:val="0"/>
                <w:sz w:val="24"/>
              </w:rPr>
              <w:t>技术参数</w:t>
            </w:r>
          </w:p>
        </w:tc>
        <w:tc>
          <w:tcPr>
            <w:tcW w:w="752" w:type="dxa"/>
            <w:tcBorders>
              <w:top w:val="nil"/>
              <w:left w:val="nil"/>
              <w:bottom w:val="single" w:color="auto" w:sz="4" w:space="0"/>
              <w:right w:val="single" w:color="auto" w:sz="4" w:space="0"/>
            </w:tcBorders>
            <w:noWrap/>
            <w:vAlign w:val="center"/>
          </w:tcPr>
          <w:p w14:paraId="0EEB3904">
            <w:pPr>
              <w:widowControl/>
              <w:spacing w:line="500" w:lineRule="exact"/>
              <w:jc w:val="center"/>
              <w:rPr>
                <w:rFonts w:ascii="仿宋" w:hAnsi="仿宋" w:eastAsia="仿宋" w:cs="仿宋"/>
                <w:kern w:val="0"/>
                <w:sz w:val="24"/>
              </w:rPr>
            </w:pPr>
            <w:r>
              <w:rPr>
                <w:rFonts w:hint="eastAsia" w:ascii="仿宋" w:hAnsi="仿宋" w:eastAsia="仿宋" w:cs="仿宋"/>
                <w:kern w:val="0"/>
                <w:sz w:val="24"/>
              </w:rPr>
              <w:t>26</w:t>
            </w:r>
          </w:p>
        </w:tc>
        <w:tc>
          <w:tcPr>
            <w:tcW w:w="6965" w:type="dxa"/>
            <w:tcBorders>
              <w:top w:val="single" w:color="auto" w:sz="4" w:space="0"/>
              <w:left w:val="nil"/>
              <w:bottom w:val="single" w:color="auto" w:sz="4" w:space="0"/>
              <w:right w:val="single" w:color="auto" w:sz="4" w:space="0"/>
            </w:tcBorders>
            <w:noWrap/>
            <w:vAlign w:val="center"/>
          </w:tcPr>
          <w:p w14:paraId="6BB25E0A">
            <w:pPr>
              <w:widowControl/>
              <w:spacing w:line="500" w:lineRule="exact"/>
              <w:jc w:val="left"/>
              <w:rPr>
                <w:rFonts w:ascii="仿宋" w:hAnsi="仿宋" w:eastAsia="仿宋" w:cs="仿宋"/>
                <w:sz w:val="24"/>
              </w:rPr>
            </w:pPr>
            <w:r>
              <w:rPr>
                <w:rFonts w:hint="eastAsia" w:ascii="仿宋" w:hAnsi="仿宋" w:eastAsia="仿宋" w:cs="仿宋"/>
                <w:sz w:val="24"/>
              </w:rPr>
              <w:t>投标供应商所投产品完全满足响应“采购需求中货物需求产品参数”中所有参数要求的，得26分。</w:t>
            </w:r>
          </w:p>
          <w:p w14:paraId="7F7D0048">
            <w:pPr>
              <w:widowControl/>
              <w:spacing w:line="500" w:lineRule="exact"/>
              <w:jc w:val="left"/>
              <w:rPr>
                <w:rFonts w:ascii="仿宋" w:hAnsi="仿宋" w:eastAsia="仿宋" w:cs="仿宋"/>
                <w:sz w:val="24"/>
              </w:rPr>
            </w:pPr>
            <w:r>
              <w:rPr>
                <w:rFonts w:hint="eastAsia" w:ascii="仿宋" w:hAnsi="仿宋" w:eastAsia="仿宋" w:cs="仿宋"/>
                <w:sz w:val="24"/>
              </w:rPr>
              <w:t xml:space="preserve">主要产品（标注▲的产品）的主要参数（标注★的参数）每有一项经评委会评审认可的负偏离参数扣4分，主要产品（标注▲的产品）的非主要参数（未标注★的参数）每有一项经评委会评审认可的负偏离参数扣 2 分，非主要产品（未标注▲的产品）参数每有一项经评委会评审认可的负偏离扣 1 分。 </w:t>
            </w:r>
          </w:p>
          <w:p w14:paraId="2BD97A7A">
            <w:pPr>
              <w:widowControl/>
              <w:spacing w:line="500" w:lineRule="exact"/>
              <w:jc w:val="left"/>
              <w:rPr>
                <w:rFonts w:ascii="仿宋" w:hAnsi="仿宋" w:eastAsia="仿宋" w:cs="仿宋"/>
                <w:kern w:val="0"/>
                <w:sz w:val="24"/>
              </w:rPr>
            </w:pPr>
            <w:r>
              <w:rPr>
                <w:rFonts w:hint="eastAsia" w:ascii="仿宋" w:hAnsi="仿宋" w:eastAsia="仿宋" w:cs="仿宋"/>
                <w:sz w:val="24"/>
              </w:rPr>
              <w:t>注：本项最高26分，最低 0 分。以投标响应表及采购需求中要求提供的证明资料作为评审依据。</w:t>
            </w:r>
            <w:r>
              <w:rPr>
                <w:rFonts w:hint="eastAsia" w:ascii="仿宋" w:hAnsi="仿宋" w:eastAsia="仿宋" w:cs="仿宋"/>
                <w:b/>
                <w:bCs/>
                <w:sz w:val="24"/>
              </w:rPr>
              <w:t>其中教师移动终端、学生移动终端、无线 AP 、充电柜、智慧黑板和智能讲台产品</w:t>
            </w:r>
            <w:r>
              <w:rPr>
                <w:rFonts w:hint="eastAsia" w:ascii="仿宋" w:hAnsi="仿宋" w:eastAsia="仿宋" w:cs="仿宋"/>
                <w:b/>
                <w:bCs/>
                <w:color w:val="FF0000"/>
                <w:sz w:val="24"/>
              </w:rPr>
              <w:t>提供彩页</w:t>
            </w:r>
            <w:r>
              <w:rPr>
                <w:rFonts w:hint="eastAsia" w:ascii="仿宋" w:hAnsi="仿宋" w:eastAsia="仿宋" w:cs="仿宋"/>
                <w:b/>
                <w:bCs/>
                <w:sz w:val="24"/>
              </w:rPr>
              <w:t>或说明书反映产品的技术参数和功能，否则视为负偏离。</w:t>
            </w:r>
          </w:p>
        </w:tc>
      </w:tr>
      <w:tr w14:paraId="4132B8BB">
        <w:tblPrEx>
          <w:tblCellMar>
            <w:top w:w="0" w:type="dxa"/>
            <w:left w:w="108" w:type="dxa"/>
            <w:bottom w:w="0" w:type="dxa"/>
            <w:right w:w="108" w:type="dxa"/>
          </w:tblCellMar>
        </w:tblPrEx>
        <w:trPr>
          <w:trHeight w:val="1451" w:hRule="atLeast"/>
          <w:jc w:val="center"/>
        </w:trPr>
        <w:tc>
          <w:tcPr>
            <w:tcW w:w="1117" w:type="dxa"/>
            <w:vMerge w:val="continue"/>
            <w:tcBorders>
              <w:top w:val="nil"/>
              <w:left w:val="single" w:color="auto" w:sz="4" w:space="0"/>
              <w:bottom w:val="single" w:color="000000" w:sz="4" w:space="0"/>
              <w:right w:val="single" w:color="auto" w:sz="4" w:space="0"/>
            </w:tcBorders>
            <w:noWrap/>
            <w:vAlign w:val="center"/>
          </w:tcPr>
          <w:p w14:paraId="241BDF4B">
            <w:pPr>
              <w:widowControl/>
              <w:spacing w:line="500" w:lineRule="exact"/>
              <w:jc w:val="left"/>
              <w:rPr>
                <w:rFonts w:ascii="仿宋" w:hAnsi="仿宋" w:eastAsia="仿宋" w:cs="仿宋"/>
                <w:kern w:val="0"/>
                <w:sz w:val="24"/>
              </w:rPr>
            </w:pPr>
          </w:p>
        </w:tc>
        <w:tc>
          <w:tcPr>
            <w:tcW w:w="786" w:type="dxa"/>
            <w:tcBorders>
              <w:top w:val="single" w:color="auto" w:sz="4" w:space="0"/>
              <w:left w:val="single" w:color="auto" w:sz="4" w:space="0"/>
              <w:bottom w:val="single" w:color="000000" w:sz="4" w:space="0"/>
              <w:right w:val="single" w:color="auto" w:sz="4" w:space="0"/>
            </w:tcBorders>
            <w:noWrap/>
            <w:vAlign w:val="center"/>
          </w:tcPr>
          <w:p w14:paraId="728BB5AB">
            <w:pPr>
              <w:widowControl/>
              <w:spacing w:line="500" w:lineRule="exact"/>
              <w:jc w:val="center"/>
              <w:rPr>
                <w:rFonts w:ascii="仿宋" w:hAnsi="仿宋" w:eastAsia="仿宋" w:cs="仿宋"/>
                <w:kern w:val="0"/>
                <w:sz w:val="24"/>
              </w:rPr>
            </w:pPr>
            <w:r>
              <w:rPr>
                <w:rFonts w:hint="eastAsia" w:ascii="仿宋" w:hAnsi="仿宋" w:eastAsia="仿宋" w:cs="仿宋"/>
                <w:kern w:val="0"/>
                <w:sz w:val="24"/>
              </w:rPr>
              <w:t>视频演示效果</w:t>
            </w:r>
          </w:p>
        </w:tc>
        <w:tc>
          <w:tcPr>
            <w:tcW w:w="752" w:type="dxa"/>
            <w:tcBorders>
              <w:top w:val="single" w:color="auto" w:sz="4" w:space="0"/>
              <w:left w:val="nil"/>
              <w:bottom w:val="single" w:color="auto" w:sz="4" w:space="0"/>
              <w:right w:val="single" w:color="auto" w:sz="4" w:space="0"/>
            </w:tcBorders>
            <w:noWrap/>
            <w:vAlign w:val="center"/>
          </w:tcPr>
          <w:p w14:paraId="2BAA5927">
            <w:pPr>
              <w:widowControl/>
              <w:spacing w:line="500" w:lineRule="exact"/>
              <w:jc w:val="center"/>
              <w:rPr>
                <w:rFonts w:ascii="仿宋" w:hAnsi="仿宋" w:eastAsia="仿宋" w:cs="仿宋"/>
                <w:kern w:val="0"/>
                <w:sz w:val="24"/>
              </w:rPr>
            </w:pPr>
            <w:r>
              <w:rPr>
                <w:rFonts w:hint="eastAsia" w:ascii="仿宋" w:hAnsi="仿宋" w:eastAsia="仿宋" w:cs="仿宋"/>
                <w:kern w:val="0"/>
                <w:sz w:val="24"/>
              </w:rPr>
              <w:t>10</w:t>
            </w:r>
          </w:p>
        </w:tc>
        <w:tc>
          <w:tcPr>
            <w:tcW w:w="6965" w:type="dxa"/>
            <w:tcBorders>
              <w:top w:val="single" w:color="auto" w:sz="4" w:space="0"/>
              <w:left w:val="nil"/>
              <w:bottom w:val="single" w:color="auto" w:sz="4" w:space="0"/>
              <w:right w:val="single" w:color="auto" w:sz="4" w:space="0"/>
            </w:tcBorders>
            <w:noWrap/>
            <w:vAlign w:val="center"/>
          </w:tcPr>
          <w:p w14:paraId="4E2AB5F0">
            <w:pPr>
              <w:widowControl/>
              <w:spacing w:line="500" w:lineRule="exact"/>
              <w:jc w:val="left"/>
              <w:rPr>
                <w:rFonts w:ascii="仿宋" w:hAnsi="仿宋" w:eastAsia="仿宋" w:cs="仿宋"/>
                <w:kern w:val="0"/>
                <w:sz w:val="24"/>
              </w:rPr>
            </w:pPr>
            <w:r>
              <w:rPr>
                <w:rFonts w:hint="eastAsia" w:ascii="仿宋" w:hAnsi="仿宋" w:eastAsia="仿宋" w:cs="仿宋"/>
                <w:kern w:val="0"/>
                <w:sz w:val="24"/>
              </w:rPr>
              <w:t>根据视频演示流程及评审细则（附后），投标供应商进行视频演示，评委根据视频演示的目标达成度进行评分。</w:t>
            </w:r>
          </w:p>
        </w:tc>
      </w:tr>
      <w:tr w14:paraId="449A6F95">
        <w:tblPrEx>
          <w:tblCellMar>
            <w:top w:w="0" w:type="dxa"/>
            <w:left w:w="108" w:type="dxa"/>
            <w:bottom w:w="0" w:type="dxa"/>
            <w:right w:w="108" w:type="dxa"/>
          </w:tblCellMar>
        </w:tblPrEx>
        <w:trPr>
          <w:trHeight w:val="603" w:hRule="atLeast"/>
          <w:jc w:val="center"/>
        </w:trPr>
        <w:tc>
          <w:tcPr>
            <w:tcW w:w="1117" w:type="dxa"/>
            <w:vMerge w:val="continue"/>
            <w:tcBorders>
              <w:top w:val="nil"/>
              <w:left w:val="single" w:color="auto" w:sz="4" w:space="0"/>
              <w:bottom w:val="single" w:color="000000" w:sz="4" w:space="0"/>
              <w:right w:val="single" w:color="auto" w:sz="4" w:space="0"/>
            </w:tcBorders>
            <w:noWrap/>
            <w:vAlign w:val="center"/>
          </w:tcPr>
          <w:p w14:paraId="2B4B6B26">
            <w:pPr>
              <w:widowControl/>
              <w:spacing w:line="500" w:lineRule="exact"/>
              <w:jc w:val="left"/>
              <w:rPr>
                <w:rFonts w:ascii="仿宋" w:hAnsi="仿宋" w:eastAsia="仿宋" w:cs="仿宋"/>
                <w:kern w:val="0"/>
                <w:sz w:val="24"/>
              </w:rPr>
            </w:pPr>
          </w:p>
        </w:tc>
        <w:tc>
          <w:tcPr>
            <w:tcW w:w="786" w:type="dxa"/>
            <w:tcBorders>
              <w:top w:val="nil"/>
              <w:left w:val="single" w:color="auto" w:sz="4" w:space="0"/>
              <w:bottom w:val="single" w:color="000000" w:sz="4" w:space="0"/>
              <w:right w:val="single" w:color="auto" w:sz="4" w:space="0"/>
            </w:tcBorders>
            <w:noWrap/>
            <w:vAlign w:val="center"/>
          </w:tcPr>
          <w:p w14:paraId="5DEC0B59">
            <w:pPr>
              <w:widowControl/>
              <w:spacing w:line="500" w:lineRule="exact"/>
              <w:jc w:val="left"/>
              <w:rPr>
                <w:rFonts w:ascii="仿宋" w:hAnsi="仿宋" w:eastAsia="仿宋" w:cs="仿宋"/>
                <w:kern w:val="0"/>
                <w:sz w:val="24"/>
              </w:rPr>
            </w:pPr>
            <w:r>
              <w:rPr>
                <w:rFonts w:hint="eastAsia" w:ascii="仿宋" w:hAnsi="仿宋" w:eastAsia="仿宋" w:cs="仿宋"/>
                <w:kern w:val="0"/>
                <w:sz w:val="24"/>
              </w:rPr>
              <w:t>产品认可度</w:t>
            </w:r>
          </w:p>
        </w:tc>
        <w:tc>
          <w:tcPr>
            <w:tcW w:w="752" w:type="dxa"/>
            <w:tcBorders>
              <w:top w:val="nil"/>
              <w:left w:val="nil"/>
              <w:bottom w:val="single" w:color="auto" w:sz="4" w:space="0"/>
              <w:right w:val="single" w:color="auto" w:sz="4" w:space="0"/>
            </w:tcBorders>
            <w:noWrap/>
            <w:vAlign w:val="center"/>
          </w:tcPr>
          <w:p w14:paraId="7DC643AD">
            <w:pPr>
              <w:widowControl/>
              <w:spacing w:line="500" w:lineRule="exact"/>
              <w:jc w:val="center"/>
              <w:rPr>
                <w:rFonts w:ascii="仿宋" w:hAnsi="仿宋" w:eastAsia="仿宋" w:cs="仿宋"/>
                <w:kern w:val="0"/>
                <w:sz w:val="24"/>
              </w:rPr>
            </w:pPr>
            <w:r>
              <w:rPr>
                <w:rFonts w:hint="eastAsia" w:ascii="仿宋" w:hAnsi="仿宋" w:eastAsia="仿宋" w:cs="仿宋"/>
                <w:kern w:val="0"/>
                <w:sz w:val="24"/>
              </w:rPr>
              <w:t>4</w:t>
            </w:r>
          </w:p>
        </w:tc>
        <w:tc>
          <w:tcPr>
            <w:tcW w:w="6965" w:type="dxa"/>
            <w:tcBorders>
              <w:top w:val="single" w:color="auto" w:sz="4" w:space="0"/>
              <w:left w:val="nil"/>
              <w:bottom w:val="single" w:color="auto" w:sz="4" w:space="0"/>
              <w:right w:val="single" w:color="auto" w:sz="4" w:space="0"/>
            </w:tcBorders>
            <w:noWrap/>
            <w:vAlign w:val="center"/>
          </w:tcPr>
          <w:p w14:paraId="5DC1CFC0">
            <w:pPr>
              <w:widowControl/>
              <w:spacing w:line="500" w:lineRule="exact"/>
              <w:jc w:val="left"/>
              <w:rPr>
                <w:rFonts w:ascii="仿宋" w:hAnsi="仿宋" w:eastAsia="仿宋" w:cs="仿宋"/>
                <w:sz w:val="24"/>
              </w:rPr>
            </w:pPr>
            <w:r>
              <w:rPr>
                <w:rFonts w:hint="eastAsia" w:ascii="仿宋" w:hAnsi="仿宋" w:eastAsia="仿宋" w:cs="仿宋"/>
                <w:sz w:val="24"/>
              </w:rPr>
              <w:t xml:space="preserve">投标供应商所投教师教学系统均具有计算机软件著作权登记证书得 2 分；投标供应商所投学生学习系统均具有计算机软件著作权登记证书得 2分。 </w:t>
            </w:r>
          </w:p>
          <w:p w14:paraId="6B931B82">
            <w:pPr>
              <w:widowControl/>
              <w:spacing w:line="500" w:lineRule="exact"/>
              <w:jc w:val="left"/>
              <w:rPr>
                <w:rFonts w:ascii="仿宋" w:hAnsi="仿宋" w:eastAsia="仿宋" w:cs="仿宋"/>
                <w:b/>
                <w:sz w:val="24"/>
              </w:rPr>
            </w:pPr>
            <w:r>
              <w:rPr>
                <w:rFonts w:hint="eastAsia" w:ascii="仿宋" w:hAnsi="仿宋" w:eastAsia="仿宋" w:cs="仿宋"/>
                <w:b/>
                <w:sz w:val="24"/>
              </w:rPr>
              <w:t>注：投标文件中提供计算机软件著作权登记证书复印件。</w:t>
            </w:r>
          </w:p>
        </w:tc>
      </w:tr>
      <w:tr w14:paraId="589CCDED">
        <w:tblPrEx>
          <w:tblCellMar>
            <w:top w:w="0" w:type="dxa"/>
            <w:left w:w="108" w:type="dxa"/>
            <w:bottom w:w="0" w:type="dxa"/>
            <w:right w:w="108" w:type="dxa"/>
          </w:tblCellMar>
        </w:tblPrEx>
        <w:trPr>
          <w:trHeight w:val="603" w:hRule="atLeast"/>
          <w:jc w:val="center"/>
        </w:trPr>
        <w:tc>
          <w:tcPr>
            <w:tcW w:w="1117" w:type="dxa"/>
            <w:vMerge w:val="continue"/>
            <w:tcBorders>
              <w:top w:val="nil"/>
              <w:left w:val="single" w:color="auto" w:sz="4" w:space="0"/>
              <w:bottom w:val="single" w:color="000000" w:sz="4" w:space="0"/>
              <w:right w:val="single" w:color="auto" w:sz="4" w:space="0"/>
            </w:tcBorders>
            <w:noWrap/>
            <w:vAlign w:val="center"/>
          </w:tcPr>
          <w:p w14:paraId="04413ACF">
            <w:pPr>
              <w:widowControl/>
              <w:spacing w:line="500" w:lineRule="exact"/>
              <w:jc w:val="left"/>
              <w:rPr>
                <w:rFonts w:ascii="仿宋" w:hAnsi="仿宋" w:eastAsia="仿宋" w:cs="仿宋"/>
                <w:kern w:val="0"/>
                <w:sz w:val="24"/>
              </w:rPr>
            </w:pPr>
          </w:p>
        </w:tc>
        <w:tc>
          <w:tcPr>
            <w:tcW w:w="786" w:type="dxa"/>
            <w:tcBorders>
              <w:top w:val="nil"/>
              <w:left w:val="single" w:color="auto" w:sz="4" w:space="0"/>
              <w:bottom w:val="single" w:color="000000" w:sz="4" w:space="0"/>
              <w:right w:val="single" w:color="auto" w:sz="4" w:space="0"/>
            </w:tcBorders>
            <w:noWrap/>
            <w:vAlign w:val="center"/>
          </w:tcPr>
          <w:p w14:paraId="43A51E05">
            <w:pPr>
              <w:widowControl/>
              <w:spacing w:line="500" w:lineRule="exact"/>
              <w:jc w:val="left"/>
              <w:rPr>
                <w:rFonts w:ascii="仿宋" w:hAnsi="仿宋" w:eastAsia="仿宋" w:cs="仿宋"/>
                <w:kern w:val="0"/>
                <w:sz w:val="24"/>
              </w:rPr>
            </w:pPr>
            <w:r>
              <w:rPr>
                <w:rFonts w:hint="eastAsia" w:ascii="仿宋" w:hAnsi="仿宋" w:eastAsia="仿宋" w:cs="仿宋"/>
                <w:kern w:val="0"/>
                <w:sz w:val="24"/>
              </w:rPr>
              <w:t>产品先进性</w:t>
            </w:r>
          </w:p>
        </w:tc>
        <w:tc>
          <w:tcPr>
            <w:tcW w:w="752" w:type="dxa"/>
            <w:tcBorders>
              <w:top w:val="nil"/>
              <w:left w:val="nil"/>
              <w:bottom w:val="single" w:color="auto" w:sz="4" w:space="0"/>
              <w:right w:val="single" w:color="auto" w:sz="4" w:space="0"/>
            </w:tcBorders>
            <w:noWrap/>
            <w:vAlign w:val="center"/>
          </w:tcPr>
          <w:p w14:paraId="2886520D">
            <w:pPr>
              <w:widowControl/>
              <w:spacing w:line="500" w:lineRule="exact"/>
              <w:jc w:val="center"/>
              <w:rPr>
                <w:rFonts w:ascii="仿宋" w:hAnsi="仿宋" w:eastAsia="仿宋" w:cs="仿宋"/>
                <w:kern w:val="0"/>
                <w:sz w:val="24"/>
              </w:rPr>
            </w:pPr>
            <w:r>
              <w:rPr>
                <w:rFonts w:hint="eastAsia" w:ascii="仿宋" w:hAnsi="仿宋" w:eastAsia="仿宋" w:cs="仿宋"/>
                <w:kern w:val="0"/>
                <w:sz w:val="24"/>
              </w:rPr>
              <w:t>16</w:t>
            </w:r>
          </w:p>
        </w:tc>
        <w:tc>
          <w:tcPr>
            <w:tcW w:w="6965" w:type="dxa"/>
            <w:tcBorders>
              <w:top w:val="single" w:color="auto" w:sz="4" w:space="0"/>
              <w:left w:val="nil"/>
              <w:bottom w:val="single" w:color="auto" w:sz="4" w:space="0"/>
              <w:right w:val="single" w:color="auto" w:sz="4" w:space="0"/>
            </w:tcBorders>
            <w:noWrap/>
            <w:vAlign w:val="center"/>
          </w:tcPr>
          <w:p w14:paraId="09F33401">
            <w:pPr>
              <w:widowControl/>
              <w:spacing w:line="500" w:lineRule="exact"/>
              <w:jc w:val="left"/>
              <w:rPr>
                <w:rFonts w:ascii="仿宋" w:hAnsi="仿宋" w:eastAsia="仿宋" w:cs="仿宋"/>
                <w:sz w:val="24"/>
              </w:rPr>
            </w:pPr>
            <w:r>
              <w:rPr>
                <w:rFonts w:hint="eastAsia" w:ascii="仿宋" w:hAnsi="仿宋" w:eastAsia="仿宋" w:cs="仿宋"/>
                <w:sz w:val="24"/>
              </w:rPr>
              <w:t>1、所投学生移动终端、教师移动终端、教师教学系统、学生学习系统、智慧黑板生产厂商均为《多媒体教学环境工程建设规范》的参与制定单位。（提供证明文件复印件加盖厂家公章得 4分）。</w:t>
            </w:r>
          </w:p>
          <w:p w14:paraId="3C9F0ACE">
            <w:pPr>
              <w:widowControl/>
              <w:spacing w:line="500" w:lineRule="exact"/>
              <w:jc w:val="left"/>
              <w:rPr>
                <w:rFonts w:ascii="仿宋" w:hAnsi="仿宋" w:eastAsia="仿宋" w:cs="仿宋"/>
                <w:sz w:val="24"/>
              </w:rPr>
            </w:pPr>
            <w:r>
              <w:rPr>
                <w:rFonts w:hint="eastAsia" w:ascii="仿宋" w:hAnsi="仿宋" w:eastAsia="仿宋" w:cs="仿宋"/>
                <w:sz w:val="24"/>
              </w:rPr>
              <w:t xml:space="preserve">2、所投学生移动终端、教师移动终端、教师教学系统、学生学习系统、智慧黑板生产厂商通过 CMMI3或以上软件能力成熟度模型集成认证；（提供证明文件复印件加盖厂家公章得 2分）。 </w:t>
            </w:r>
          </w:p>
          <w:p w14:paraId="6D1DC4E9">
            <w:pPr>
              <w:widowControl/>
              <w:spacing w:line="500" w:lineRule="exact"/>
              <w:jc w:val="left"/>
              <w:rPr>
                <w:rFonts w:ascii="仿宋" w:hAnsi="仿宋" w:eastAsia="仿宋" w:cs="仿宋"/>
                <w:sz w:val="24"/>
              </w:rPr>
            </w:pPr>
            <w:r>
              <w:rPr>
                <w:rFonts w:hint="eastAsia" w:ascii="仿宋" w:hAnsi="仿宋" w:eastAsia="仿宋" w:cs="仿宋"/>
                <w:sz w:val="24"/>
              </w:rPr>
              <w:t xml:space="preserve">3、所投学生移动终端、教师移动终端、教师教学系统、学生学习系统、智慧黑板生产厂商通过ISO27001信息安全管理体系认证；（提供证明文件复印件加盖厂家公章得 2分）。 </w:t>
            </w:r>
          </w:p>
          <w:p w14:paraId="59B3745D">
            <w:pPr>
              <w:widowControl/>
              <w:spacing w:line="500" w:lineRule="exact"/>
              <w:jc w:val="left"/>
              <w:rPr>
                <w:rFonts w:ascii="仿宋" w:hAnsi="仿宋" w:eastAsia="仿宋" w:cs="仿宋"/>
                <w:sz w:val="24"/>
              </w:rPr>
            </w:pPr>
            <w:r>
              <w:rPr>
                <w:rFonts w:hint="eastAsia" w:ascii="仿宋" w:hAnsi="仿宋" w:eastAsia="仿宋" w:cs="仿宋"/>
                <w:sz w:val="24"/>
              </w:rPr>
              <w:t>4、所投学生移动终端、教师移动终端、教师教学系统、学生学习系统、智慧黑板生产厂商为省级或省级以上制造业百强企业；</w:t>
            </w:r>
          </w:p>
          <w:p w14:paraId="0B91A5FE">
            <w:pPr>
              <w:widowControl/>
              <w:spacing w:line="500" w:lineRule="exact"/>
              <w:jc w:val="left"/>
              <w:rPr>
                <w:rFonts w:ascii="仿宋" w:hAnsi="仿宋" w:eastAsia="仿宋" w:cs="仿宋"/>
                <w:sz w:val="24"/>
              </w:rPr>
            </w:pPr>
            <w:r>
              <w:rPr>
                <w:rFonts w:hint="eastAsia" w:ascii="仿宋" w:hAnsi="仿宋" w:eastAsia="仿宋" w:cs="仿宋"/>
                <w:sz w:val="24"/>
              </w:rPr>
              <w:t xml:space="preserve">（提供证明文件复印件加盖厂家公章得 2分）。 </w:t>
            </w:r>
          </w:p>
          <w:p w14:paraId="0E5412B4">
            <w:pPr>
              <w:widowControl/>
              <w:spacing w:line="500" w:lineRule="exact"/>
              <w:jc w:val="left"/>
              <w:rPr>
                <w:rFonts w:ascii="仿宋" w:hAnsi="仿宋" w:eastAsia="仿宋" w:cs="仿宋"/>
                <w:sz w:val="24"/>
              </w:rPr>
            </w:pPr>
            <w:r>
              <w:rPr>
                <w:rFonts w:hint="eastAsia" w:ascii="仿宋" w:hAnsi="仿宋" w:eastAsia="仿宋" w:cs="仿宋"/>
                <w:sz w:val="24"/>
              </w:rPr>
              <w:t xml:space="preserve">5、所投学生移动终端、教师移动终端、教师教学系统、学生学习系统、智慧黑板生产厂商通过市级及以上工业设计中心认证；（提供证明文件复印件加盖厂家公章得 2分）。 </w:t>
            </w:r>
          </w:p>
          <w:p w14:paraId="78408AC2">
            <w:pPr>
              <w:widowControl/>
              <w:spacing w:line="500" w:lineRule="exact"/>
              <w:jc w:val="left"/>
              <w:rPr>
                <w:rFonts w:ascii="仿宋" w:hAnsi="仿宋" w:eastAsia="仿宋" w:cs="仿宋"/>
                <w:sz w:val="24"/>
              </w:rPr>
            </w:pPr>
            <w:r>
              <w:rPr>
                <w:rFonts w:hint="eastAsia" w:ascii="仿宋" w:hAnsi="仿宋" w:eastAsia="仿宋" w:cs="仿宋"/>
                <w:sz w:val="24"/>
              </w:rPr>
              <w:t>6、所投学生移动终端、教师移动终端、教师教学系统、学生学习系统、智慧黑板生产厂商达到ISO14064体系标准的相关要求；（提供证明文件复印件加盖厂家公章得2分）。</w:t>
            </w:r>
          </w:p>
          <w:p w14:paraId="6B8BA6CC">
            <w:pPr>
              <w:widowControl/>
              <w:spacing w:line="500" w:lineRule="exact"/>
              <w:jc w:val="left"/>
              <w:rPr>
                <w:rFonts w:ascii="仿宋" w:hAnsi="仿宋" w:eastAsia="仿宋" w:cs="仿宋"/>
                <w:kern w:val="0"/>
                <w:sz w:val="24"/>
              </w:rPr>
            </w:pPr>
            <w:r>
              <w:rPr>
                <w:rFonts w:hint="eastAsia" w:ascii="仿宋" w:hAnsi="仿宋" w:eastAsia="仿宋" w:cs="仿宋"/>
                <w:sz w:val="24"/>
              </w:rPr>
              <w:t>7、为保护师生视力健康，所投智慧黑板须通过视觉舒适度(VICO)体系认证，并达到视觉健康舒适度A级或以上标准；（提供证明文件并加盖厂家公章得2分）。</w:t>
            </w:r>
          </w:p>
        </w:tc>
      </w:tr>
      <w:tr w14:paraId="4A1B2969">
        <w:tblPrEx>
          <w:tblCellMar>
            <w:top w:w="0" w:type="dxa"/>
            <w:left w:w="108" w:type="dxa"/>
            <w:bottom w:w="0" w:type="dxa"/>
            <w:right w:w="108" w:type="dxa"/>
          </w:tblCellMar>
        </w:tblPrEx>
        <w:trPr>
          <w:trHeight w:val="653" w:hRule="atLeast"/>
          <w:jc w:val="center"/>
        </w:trPr>
        <w:tc>
          <w:tcPr>
            <w:tcW w:w="1117" w:type="dxa"/>
            <w:vMerge w:val="continue"/>
            <w:tcBorders>
              <w:top w:val="nil"/>
              <w:left w:val="single" w:color="auto" w:sz="4" w:space="0"/>
              <w:bottom w:val="single" w:color="000000" w:sz="4" w:space="0"/>
              <w:right w:val="single" w:color="auto" w:sz="4" w:space="0"/>
            </w:tcBorders>
            <w:noWrap/>
            <w:vAlign w:val="center"/>
          </w:tcPr>
          <w:p w14:paraId="3F7A8D49">
            <w:pPr>
              <w:widowControl/>
              <w:spacing w:line="500" w:lineRule="exact"/>
              <w:jc w:val="left"/>
              <w:rPr>
                <w:rFonts w:ascii="仿宋" w:hAnsi="仿宋" w:eastAsia="仿宋" w:cs="仿宋"/>
                <w:kern w:val="0"/>
                <w:sz w:val="24"/>
              </w:rPr>
            </w:pPr>
          </w:p>
        </w:tc>
        <w:tc>
          <w:tcPr>
            <w:tcW w:w="786" w:type="dxa"/>
            <w:tcBorders>
              <w:top w:val="nil"/>
              <w:left w:val="single" w:color="auto" w:sz="4" w:space="0"/>
              <w:bottom w:val="single" w:color="000000" w:sz="4" w:space="0"/>
              <w:right w:val="single" w:color="auto" w:sz="4" w:space="0"/>
            </w:tcBorders>
            <w:noWrap/>
            <w:vAlign w:val="center"/>
          </w:tcPr>
          <w:p w14:paraId="32169141">
            <w:pPr>
              <w:widowControl/>
              <w:spacing w:line="500" w:lineRule="exact"/>
              <w:jc w:val="center"/>
              <w:rPr>
                <w:rFonts w:ascii="仿宋" w:hAnsi="仿宋" w:eastAsia="仿宋" w:cs="仿宋"/>
                <w:kern w:val="0"/>
                <w:sz w:val="24"/>
              </w:rPr>
            </w:pPr>
            <w:r>
              <w:rPr>
                <w:rFonts w:hint="eastAsia" w:ascii="仿宋" w:hAnsi="仿宋" w:eastAsia="仿宋" w:cs="仿宋"/>
                <w:kern w:val="0"/>
                <w:sz w:val="24"/>
              </w:rPr>
              <w:t>投标供应商业绩</w:t>
            </w:r>
          </w:p>
        </w:tc>
        <w:tc>
          <w:tcPr>
            <w:tcW w:w="752" w:type="dxa"/>
            <w:tcBorders>
              <w:top w:val="nil"/>
              <w:left w:val="nil"/>
              <w:bottom w:val="single" w:color="auto" w:sz="4" w:space="0"/>
              <w:right w:val="single" w:color="auto" w:sz="4" w:space="0"/>
            </w:tcBorders>
            <w:noWrap/>
            <w:vAlign w:val="center"/>
          </w:tcPr>
          <w:p w14:paraId="5EE27F7F">
            <w:pPr>
              <w:widowControl/>
              <w:spacing w:line="500" w:lineRule="exact"/>
              <w:jc w:val="center"/>
              <w:rPr>
                <w:rFonts w:ascii="仿宋" w:hAnsi="仿宋" w:eastAsia="仿宋" w:cs="仿宋"/>
                <w:kern w:val="0"/>
                <w:sz w:val="24"/>
              </w:rPr>
            </w:pPr>
            <w:r>
              <w:rPr>
                <w:rFonts w:hint="eastAsia" w:ascii="仿宋" w:hAnsi="仿宋" w:eastAsia="仿宋" w:cs="仿宋"/>
                <w:kern w:val="0"/>
                <w:sz w:val="24"/>
              </w:rPr>
              <w:t>6</w:t>
            </w:r>
          </w:p>
        </w:tc>
        <w:tc>
          <w:tcPr>
            <w:tcW w:w="6965" w:type="dxa"/>
            <w:tcBorders>
              <w:top w:val="single" w:color="auto" w:sz="4" w:space="0"/>
              <w:left w:val="nil"/>
              <w:bottom w:val="single" w:color="auto" w:sz="4" w:space="0"/>
              <w:right w:val="single" w:color="auto" w:sz="4" w:space="0"/>
            </w:tcBorders>
            <w:noWrap/>
            <w:vAlign w:val="center"/>
          </w:tcPr>
          <w:p w14:paraId="6CE3345E">
            <w:pPr>
              <w:widowControl/>
              <w:spacing w:line="500" w:lineRule="exact"/>
              <w:jc w:val="left"/>
              <w:rPr>
                <w:rFonts w:ascii="仿宋" w:hAnsi="仿宋" w:eastAsia="仿宋" w:cs="仿宋"/>
                <w:sz w:val="24"/>
              </w:rPr>
            </w:pPr>
            <w:r>
              <w:rPr>
                <w:rFonts w:hint="eastAsia" w:ascii="仿宋" w:hAnsi="仿宋" w:eastAsia="仿宋" w:cs="仿宋"/>
                <w:sz w:val="24"/>
              </w:rPr>
              <w:t>2017年1月1日以来（以合同签订时间为准）每提供一个50万元及以上金额的类似项目业绩得2分。满分6分，得满为止。</w:t>
            </w:r>
          </w:p>
          <w:p w14:paraId="77472F63">
            <w:pPr>
              <w:widowControl/>
              <w:spacing w:line="500" w:lineRule="exact"/>
              <w:jc w:val="left"/>
              <w:rPr>
                <w:rFonts w:ascii="仿宋" w:hAnsi="仿宋" w:eastAsia="仿宋" w:cs="仿宋"/>
                <w:sz w:val="24"/>
              </w:rPr>
            </w:pPr>
            <w:r>
              <w:rPr>
                <w:rFonts w:hint="eastAsia" w:ascii="仿宋" w:hAnsi="仿宋" w:eastAsia="仿宋" w:cs="仿宋"/>
                <w:sz w:val="24"/>
              </w:rPr>
              <w:t>类似项目的定义：类似项目系指项目内容含有与本次招标范围相似的内容，如含有智慧校园、智慧课堂、智慧黑板、教师教学系统、学生学习系统等中小学校校园信息化智能化项目任一内容的业绩均可。</w:t>
            </w:r>
          </w:p>
          <w:p w14:paraId="6E1643A7">
            <w:pPr>
              <w:widowControl/>
              <w:spacing w:line="500" w:lineRule="exact"/>
              <w:jc w:val="left"/>
              <w:rPr>
                <w:rFonts w:ascii="仿宋" w:hAnsi="仿宋" w:eastAsia="仿宋" w:cs="仿宋"/>
                <w:sz w:val="24"/>
              </w:rPr>
            </w:pPr>
            <w:r>
              <w:rPr>
                <w:rFonts w:hint="eastAsia" w:ascii="仿宋" w:hAnsi="仿宋" w:eastAsia="仿宋" w:cs="仿宋"/>
                <w:sz w:val="24"/>
              </w:rPr>
              <w:t>注：投标文件中提供业绩合同及验收报告复印件或影印件，如合同或验收报告中无法体现项目类型、学校数量等内容，须另附加盖业主公章的业主证明等相关证明材料复印件或影印件。教学点等同于学校。</w:t>
            </w:r>
          </w:p>
        </w:tc>
      </w:tr>
      <w:tr w14:paraId="6A499B37">
        <w:tblPrEx>
          <w:tblCellMar>
            <w:top w:w="0" w:type="dxa"/>
            <w:left w:w="108" w:type="dxa"/>
            <w:bottom w:w="0" w:type="dxa"/>
            <w:right w:w="108" w:type="dxa"/>
          </w:tblCellMar>
        </w:tblPrEx>
        <w:trPr>
          <w:trHeight w:val="653" w:hRule="atLeast"/>
          <w:jc w:val="center"/>
        </w:trPr>
        <w:tc>
          <w:tcPr>
            <w:tcW w:w="1117" w:type="dxa"/>
            <w:vMerge w:val="continue"/>
            <w:tcBorders>
              <w:top w:val="nil"/>
              <w:left w:val="single" w:color="auto" w:sz="4" w:space="0"/>
              <w:bottom w:val="single" w:color="000000" w:sz="4" w:space="0"/>
              <w:right w:val="single" w:color="auto" w:sz="4" w:space="0"/>
            </w:tcBorders>
            <w:noWrap/>
            <w:vAlign w:val="center"/>
          </w:tcPr>
          <w:p w14:paraId="59B0D34C">
            <w:pPr>
              <w:widowControl/>
              <w:spacing w:line="500" w:lineRule="exact"/>
              <w:jc w:val="left"/>
              <w:rPr>
                <w:rFonts w:ascii="仿宋" w:hAnsi="仿宋" w:eastAsia="仿宋" w:cs="仿宋"/>
                <w:kern w:val="0"/>
                <w:sz w:val="24"/>
              </w:rPr>
            </w:pPr>
          </w:p>
        </w:tc>
        <w:tc>
          <w:tcPr>
            <w:tcW w:w="786" w:type="dxa"/>
            <w:tcBorders>
              <w:top w:val="nil"/>
              <w:left w:val="single" w:color="auto" w:sz="4" w:space="0"/>
              <w:bottom w:val="single" w:color="000000" w:sz="4" w:space="0"/>
              <w:right w:val="single" w:color="auto" w:sz="4" w:space="0"/>
            </w:tcBorders>
            <w:noWrap/>
            <w:vAlign w:val="center"/>
          </w:tcPr>
          <w:p w14:paraId="516CBDDC">
            <w:pPr>
              <w:widowControl/>
              <w:spacing w:line="500" w:lineRule="exact"/>
              <w:jc w:val="center"/>
              <w:rPr>
                <w:rFonts w:ascii="仿宋" w:hAnsi="仿宋" w:eastAsia="仿宋" w:cs="仿宋"/>
                <w:kern w:val="0"/>
                <w:sz w:val="24"/>
              </w:rPr>
            </w:pPr>
            <w:r>
              <w:rPr>
                <w:rFonts w:hint="eastAsia" w:ascii="仿宋" w:hAnsi="仿宋" w:eastAsia="仿宋" w:cs="仿宋"/>
                <w:kern w:val="0"/>
                <w:sz w:val="24"/>
              </w:rPr>
              <w:t>投标供应商售后服务能力</w:t>
            </w:r>
          </w:p>
        </w:tc>
        <w:tc>
          <w:tcPr>
            <w:tcW w:w="752" w:type="dxa"/>
            <w:tcBorders>
              <w:top w:val="nil"/>
              <w:left w:val="nil"/>
              <w:bottom w:val="single" w:color="auto" w:sz="4" w:space="0"/>
              <w:right w:val="single" w:color="auto" w:sz="4" w:space="0"/>
            </w:tcBorders>
            <w:noWrap/>
            <w:vAlign w:val="center"/>
          </w:tcPr>
          <w:p w14:paraId="3B143E4E">
            <w:pPr>
              <w:widowControl/>
              <w:spacing w:line="500" w:lineRule="exact"/>
              <w:jc w:val="center"/>
              <w:rPr>
                <w:rFonts w:ascii="仿宋" w:hAnsi="仿宋" w:eastAsia="仿宋" w:cs="仿宋"/>
                <w:kern w:val="0"/>
                <w:sz w:val="24"/>
              </w:rPr>
            </w:pPr>
            <w:r>
              <w:rPr>
                <w:rFonts w:hint="eastAsia" w:ascii="仿宋" w:hAnsi="仿宋" w:eastAsia="仿宋" w:cs="仿宋"/>
                <w:kern w:val="0"/>
                <w:sz w:val="24"/>
              </w:rPr>
              <w:t>8</w:t>
            </w:r>
          </w:p>
        </w:tc>
        <w:tc>
          <w:tcPr>
            <w:tcW w:w="6965" w:type="dxa"/>
            <w:tcBorders>
              <w:top w:val="single" w:color="auto" w:sz="4" w:space="0"/>
              <w:left w:val="nil"/>
              <w:bottom w:val="single" w:color="auto" w:sz="4" w:space="0"/>
              <w:right w:val="single" w:color="auto" w:sz="4" w:space="0"/>
            </w:tcBorders>
            <w:noWrap/>
            <w:vAlign w:val="center"/>
          </w:tcPr>
          <w:p w14:paraId="6D79D779">
            <w:pPr>
              <w:numPr>
                <w:ilvl w:val="0"/>
                <w:numId w:val="7"/>
              </w:numPr>
              <w:spacing w:line="360" w:lineRule="auto"/>
              <w:rPr>
                <w:rFonts w:ascii="仿宋" w:hAnsi="仿宋" w:eastAsia="仿宋" w:cs="仿宋"/>
                <w:kern w:val="0"/>
                <w:sz w:val="24"/>
              </w:rPr>
            </w:pPr>
            <w:r>
              <w:rPr>
                <w:rFonts w:hint="eastAsia" w:ascii="仿宋" w:hAnsi="仿宋" w:eastAsia="仿宋" w:cs="仿宋"/>
                <w:kern w:val="0"/>
                <w:sz w:val="24"/>
              </w:rPr>
              <w:t>在中标人承诺的质保期内，中标人保修包换不得收取任何费用。投标人提供的投标产品质保期在3年的基础上每增加1年的得1分，该项最高分为3分；</w:t>
            </w:r>
          </w:p>
          <w:p w14:paraId="2F205BA4">
            <w:pPr>
              <w:numPr>
                <w:ilvl w:val="0"/>
                <w:numId w:val="7"/>
              </w:numPr>
              <w:spacing w:line="360" w:lineRule="auto"/>
              <w:rPr>
                <w:rFonts w:ascii="仿宋" w:hAnsi="仿宋" w:eastAsia="仿宋" w:cs="仿宋"/>
                <w:kern w:val="0"/>
                <w:sz w:val="24"/>
              </w:rPr>
            </w:pPr>
            <w:r>
              <w:rPr>
                <w:rFonts w:hint="eastAsia" w:ascii="仿宋" w:hAnsi="仿宋" w:eastAsia="仿宋" w:cs="仿宋"/>
                <w:kern w:val="0"/>
                <w:sz w:val="24"/>
              </w:rPr>
              <w:t>本地化售后服务方案：售后服务内容和服务机构等情况，以及本地化售后服务承诺的可行性、完整性以及售后服务承诺落实的保障措施。根据售后服务方案的可行性情况由评委横向对比后酌情赋分，优的得3分，良好的得1-2分，差的不得分，该项最高分为3分；</w:t>
            </w:r>
          </w:p>
          <w:p w14:paraId="29EFA7AA">
            <w:pPr>
              <w:widowControl/>
              <w:spacing w:line="500" w:lineRule="exact"/>
              <w:jc w:val="left"/>
              <w:rPr>
                <w:rFonts w:ascii="仿宋" w:hAnsi="仿宋" w:eastAsia="仿宋" w:cs="仿宋"/>
                <w:sz w:val="24"/>
              </w:rPr>
            </w:pPr>
            <w:r>
              <w:rPr>
                <w:rFonts w:hint="eastAsia" w:ascii="仿宋" w:hAnsi="仿宋" w:eastAsia="仿宋" w:cs="仿宋"/>
                <w:kern w:val="0"/>
                <w:sz w:val="24"/>
              </w:rPr>
              <w:t>3、售后服务：⑴投标人提供售后服务承诺，得1分。承诺：如货物出现故障，电话响应无法解决，中标人承诺在接报修电话4小时内到达现场并在12小时解决问题，若12小时无法解决问题，中标人应向使用单位提供备用替代产品。⑵投标人提供免费培训承诺，得1分。承诺：中标后，免费为学校提供培训，培训产生的一切费用由投标人自行承担。</w:t>
            </w:r>
          </w:p>
        </w:tc>
      </w:tr>
    </w:tbl>
    <w:p w14:paraId="425B3143">
      <w:pPr>
        <w:spacing w:line="360" w:lineRule="auto"/>
        <w:rPr>
          <w:rFonts w:ascii="仿宋" w:hAnsi="仿宋" w:eastAsia="仿宋" w:cs="仿宋"/>
          <w:b/>
          <w:bCs/>
          <w:kern w:val="0"/>
          <w:sz w:val="24"/>
        </w:rPr>
      </w:pPr>
    </w:p>
    <w:p w14:paraId="13F4134F">
      <w:pPr>
        <w:spacing w:line="360" w:lineRule="auto"/>
        <w:rPr>
          <w:rFonts w:ascii="仿宋" w:hAnsi="仿宋" w:eastAsia="仿宋" w:cs="仿宋"/>
          <w:b/>
          <w:bCs/>
          <w:kern w:val="0"/>
          <w:sz w:val="24"/>
        </w:rPr>
      </w:pPr>
    </w:p>
    <w:p w14:paraId="439F25EA">
      <w:pPr>
        <w:spacing w:line="360" w:lineRule="auto"/>
        <w:rPr>
          <w:rFonts w:ascii="仿宋" w:hAnsi="仿宋" w:eastAsia="仿宋" w:cs="仿宋"/>
          <w:b/>
          <w:bCs/>
          <w:kern w:val="0"/>
          <w:sz w:val="24"/>
        </w:rPr>
      </w:pPr>
    </w:p>
    <w:p w14:paraId="2B7C2EF7">
      <w:pPr>
        <w:spacing w:line="360" w:lineRule="auto"/>
        <w:rPr>
          <w:rFonts w:ascii="仿宋" w:hAnsi="仿宋" w:eastAsia="仿宋" w:cs="仿宋"/>
          <w:b/>
          <w:bCs/>
          <w:kern w:val="0"/>
          <w:sz w:val="24"/>
        </w:rPr>
      </w:pPr>
    </w:p>
    <w:p w14:paraId="5B8BFB76">
      <w:pPr>
        <w:spacing w:line="360" w:lineRule="auto"/>
        <w:rPr>
          <w:rFonts w:ascii="仿宋" w:hAnsi="仿宋" w:eastAsia="仿宋" w:cs="仿宋"/>
          <w:b/>
          <w:bCs/>
          <w:kern w:val="0"/>
          <w:sz w:val="24"/>
        </w:rPr>
      </w:pPr>
      <w:r>
        <w:rPr>
          <w:rFonts w:hint="eastAsia" w:ascii="仿宋" w:hAnsi="仿宋" w:eastAsia="仿宋" w:cs="仿宋"/>
          <w:b/>
          <w:bCs/>
          <w:kern w:val="0"/>
          <w:sz w:val="24"/>
        </w:rPr>
        <w:t>附：视频演示流程及评审细则</w:t>
      </w:r>
    </w:p>
    <w:p w14:paraId="019E9496">
      <w:pPr>
        <w:pStyle w:val="23"/>
        <w:spacing w:line="360" w:lineRule="auto"/>
        <w:rPr>
          <w:rFonts w:ascii="仿宋" w:hAnsi="仿宋" w:eastAsia="仿宋" w:cs="仿宋"/>
          <w:b/>
          <w:bCs/>
          <w:kern w:val="0"/>
          <w:sz w:val="24"/>
        </w:rPr>
      </w:pPr>
      <w:r>
        <w:rPr>
          <w:rFonts w:hint="eastAsia" w:ascii="仿宋" w:hAnsi="仿宋" w:eastAsia="仿宋" w:cs="仿宋"/>
          <w:b/>
          <w:bCs/>
          <w:kern w:val="0"/>
          <w:sz w:val="24"/>
        </w:rPr>
        <w:t>一、演示准备（U盘播放形式）</w:t>
      </w:r>
    </w:p>
    <w:p w14:paraId="786CA6D1">
      <w:pPr>
        <w:pStyle w:val="23"/>
        <w:spacing w:line="360" w:lineRule="auto"/>
        <w:ind w:firstLine="482" w:firstLineChars="200"/>
        <w:rPr>
          <w:rFonts w:ascii="仿宋" w:hAnsi="仿宋" w:eastAsia="仿宋" w:cs="仿宋"/>
          <w:b/>
          <w:bCs/>
        </w:rPr>
      </w:pPr>
      <w:r>
        <w:rPr>
          <w:rFonts w:hint="eastAsia" w:ascii="仿宋" w:hAnsi="仿宋" w:eastAsia="仿宋" w:cs="仿宋"/>
          <w:b/>
          <w:bCs/>
          <w:kern w:val="0"/>
          <w:sz w:val="24"/>
        </w:rPr>
        <w:t>投标人须提前制作视频播放文件，对其演示流程进行播放介绍，视频演示时间10分钟以内，格式通用，市场上主流的媒体播放器能打开即可，以优盘（U盘）形式单独密封提交，提交时间见招标公告。如投标人未提供视频播放文件，或提供的内容不完整、无法播放、格式损坏等情况，将会导致其视频演示评分严重失分，后果自负。</w:t>
      </w:r>
    </w:p>
    <w:p w14:paraId="3E90523C">
      <w:pPr>
        <w:pStyle w:val="23"/>
        <w:numPr>
          <w:ilvl w:val="0"/>
          <w:numId w:val="8"/>
        </w:numPr>
        <w:rPr>
          <w:rFonts w:ascii="仿宋" w:hAnsi="仿宋" w:eastAsia="仿宋" w:cs="仿宋"/>
          <w:kern w:val="0"/>
          <w:sz w:val="24"/>
        </w:rPr>
      </w:pPr>
      <w:r>
        <w:rPr>
          <w:rFonts w:hint="eastAsia" w:ascii="仿宋" w:hAnsi="仿宋" w:eastAsia="仿宋" w:cs="仿宋"/>
          <w:kern w:val="0"/>
          <w:sz w:val="24"/>
        </w:rPr>
        <w:t>演示流程及评审细则</w:t>
      </w:r>
    </w:p>
    <w:tbl>
      <w:tblPr>
        <w:tblStyle w:val="54"/>
        <w:tblW w:w="9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893"/>
        <w:gridCol w:w="5657"/>
        <w:gridCol w:w="2470"/>
      </w:tblGrid>
      <w:tr w14:paraId="7F04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57" w:type="dxa"/>
          </w:tcPr>
          <w:p w14:paraId="55B587D8">
            <w:pPr>
              <w:widowControl/>
              <w:jc w:val="left"/>
              <w:rPr>
                <w:rFonts w:ascii="仿宋" w:hAnsi="仿宋" w:eastAsia="仿宋" w:cs="仿宋"/>
                <w:color w:val="000000"/>
                <w:kern w:val="0"/>
                <w:sz w:val="24"/>
                <w:lang w:val="zh-CN"/>
              </w:rPr>
            </w:pPr>
          </w:p>
          <w:p w14:paraId="4FD62F79">
            <w:pPr>
              <w:widowControl/>
              <w:jc w:val="left"/>
              <w:rPr>
                <w:rFonts w:ascii="仿宋" w:hAnsi="仿宋" w:eastAsia="仿宋" w:cs="仿宋"/>
                <w:color w:val="000000"/>
                <w:kern w:val="0"/>
                <w:sz w:val="24"/>
                <w:lang w:val="zh-CN"/>
              </w:rPr>
            </w:pPr>
            <w:r>
              <w:rPr>
                <w:rFonts w:hint="eastAsia" w:ascii="仿宋" w:hAnsi="仿宋" w:eastAsia="仿宋" w:cs="仿宋"/>
                <w:color w:val="000000"/>
                <w:kern w:val="0"/>
                <w:sz w:val="24"/>
                <w:lang w:val="zh-CN"/>
              </w:rPr>
              <w:t>序号</w:t>
            </w:r>
          </w:p>
        </w:tc>
        <w:tc>
          <w:tcPr>
            <w:tcW w:w="893" w:type="dxa"/>
          </w:tcPr>
          <w:p w14:paraId="115AFF03">
            <w:pPr>
              <w:widowControl/>
              <w:jc w:val="left"/>
              <w:rPr>
                <w:rFonts w:ascii="仿宋" w:hAnsi="仿宋" w:eastAsia="仿宋" w:cs="仿宋"/>
                <w:color w:val="000000"/>
                <w:kern w:val="0"/>
                <w:sz w:val="24"/>
                <w:lang w:val="zh-CN"/>
              </w:rPr>
            </w:pPr>
            <w:r>
              <w:rPr>
                <w:rFonts w:hint="eastAsia" w:ascii="仿宋" w:hAnsi="仿宋" w:eastAsia="仿宋" w:cs="仿宋"/>
                <w:color w:val="000000"/>
                <w:kern w:val="0"/>
                <w:sz w:val="24"/>
                <w:lang w:val="zh-CN"/>
              </w:rPr>
              <w:t>演示功能</w:t>
            </w:r>
          </w:p>
        </w:tc>
        <w:tc>
          <w:tcPr>
            <w:tcW w:w="5657" w:type="dxa"/>
          </w:tcPr>
          <w:p w14:paraId="3DD62CBF">
            <w:pPr>
              <w:widowControl/>
              <w:ind w:firstLine="2400" w:firstLineChars="1000"/>
              <w:jc w:val="left"/>
              <w:rPr>
                <w:rFonts w:ascii="仿宋" w:hAnsi="仿宋" w:eastAsia="仿宋" w:cs="仿宋"/>
                <w:color w:val="000000"/>
                <w:kern w:val="0"/>
                <w:sz w:val="24"/>
              </w:rPr>
            </w:pPr>
          </w:p>
          <w:p w14:paraId="0FAACCDD">
            <w:pPr>
              <w:widowControl/>
              <w:ind w:firstLine="1920" w:firstLineChars="800"/>
              <w:jc w:val="left"/>
              <w:rPr>
                <w:rFonts w:ascii="仿宋" w:hAnsi="仿宋" w:eastAsia="仿宋" w:cs="仿宋"/>
                <w:color w:val="000000"/>
                <w:kern w:val="0"/>
                <w:sz w:val="24"/>
                <w:lang w:val="zh-CN"/>
              </w:rPr>
            </w:pPr>
            <w:r>
              <w:rPr>
                <w:rFonts w:hint="eastAsia" w:ascii="仿宋" w:hAnsi="仿宋" w:eastAsia="仿宋" w:cs="仿宋"/>
                <w:color w:val="000000"/>
                <w:kern w:val="0"/>
                <w:sz w:val="24"/>
              </w:rPr>
              <w:t>演示内容</w:t>
            </w:r>
          </w:p>
        </w:tc>
        <w:tc>
          <w:tcPr>
            <w:tcW w:w="2470" w:type="dxa"/>
          </w:tcPr>
          <w:p w14:paraId="512ECB28">
            <w:pPr>
              <w:widowControl/>
              <w:ind w:firstLine="960" w:firstLineChars="400"/>
              <w:jc w:val="left"/>
              <w:rPr>
                <w:rFonts w:ascii="仿宋" w:hAnsi="仿宋" w:eastAsia="仿宋" w:cs="仿宋"/>
                <w:color w:val="000000"/>
                <w:kern w:val="0"/>
                <w:sz w:val="24"/>
                <w:lang w:val="zh-CN"/>
              </w:rPr>
            </w:pPr>
          </w:p>
          <w:p w14:paraId="23A1954E">
            <w:pPr>
              <w:widowControl/>
              <w:ind w:firstLine="960" w:firstLineChars="400"/>
              <w:jc w:val="left"/>
              <w:rPr>
                <w:rFonts w:ascii="仿宋" w:hAnsi="仿宋" w:eastAsia="仿宋" w:cs="仿宋"/>
                <w:color w:val="000000"/>
                <w:kern w:val="0"/>
                <w:sz w:val="24"/>
                <w:lang w:val="zh-CN"/>
              </w:rPr>
            </w:pPr>
            <w:r>
              <w:rPr>
                <w:rFonts w:hint="eastAsia" w:ascii="仿宋" w:hAnsi="仿宋" w:eastAsia="仿宋" w:cs="仿宋"/>
                <w:color w:val="000000"/>
                <w:kern w:val="0"/>
                <w:sz w:val="24"/>
                <w:lang w:val="zh-CN"/>
              </w:rPr>
              <w:t>得分</w:t>
            </w:r>
          </w:p>
        </w:tc>
      </w:tr>
      <w:tr w14:paraId="29AF9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857" w:type="dxa"/>
          </w:tcPr>
          <w:p w14:paraId="2824B0EE">
            <w:pPr>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1</w:t>
            </w:r>
          </w:p>
          <w:p w14:paraId="28F46A09">
            <w:pPr>
              <w:pStyle w:val="23"/>
              <w:rPr>
                <w:rFonts w:ascii="仿宋" w:hAnsi="仿宋" w:eastAsia="仿宋" w:cs="仿宋"/>
              </w:rPr>
            </w:pPr>
          </w:p>
        </w:tc>
        <w:tc>
          <w:tcPr>
            <w:tcW w:w="893" w:type="dxa"/>
          </w:tcPr>
          <w:p w14:paraId="6981FD4A">
            <w:pPr>
              <w:widowControl/>
              <w:jc w:val="left"/>
              <w:rPr>
                <w:rFonts w:ascii="仿宋" w:hAnsi="仿宋" w:eastAsia="仿宋" w:cs="仿宋"/>
                <w:color w:val="000000"/>
                <w:kern w:val="0"/>
                <w:sz w:val="24"/>
                <w:lang w:val="zh-CN"/>
              </w:rPr>
            </w:pPr>
          </w:p>
          <w:p w14:paraId="7E74A2BB">
            <w:pPr>
              <w:widowControl/>
              <w:jc w:val="left"/>
              <w:rPr>
                <w:rFonts w:ascii="仿宋" w:hAnsi="仿宋" w:eastAsia="仿宋" w:cs="仿宋"/>
                <w:color w:val="000000"/>
                <w:kern w:val="0"/>
                <w:sz w:val="24"/>
                <w:lang w:val="zh-CN"/>
              </w:rPr>
            </w:pPr>
            <w:r>
              <w:rPr>
                <w:rFonts w:hint="eastAsia" w:ascii="仿宋" w:hAnsi="仿宋" w:eastAsia="仿宋" w:cs="仿宋"/>
                <w:color w:val="000000"/>
                <w:kern w:val="0"/>
                <w:sz w:val="24"/>
                <w:lang w:val="zh-CN"/>
              </w:rPr>
              <w:t>备课</w:t>
            </w:r>
          </w:p>
        </w:tc>
        <w:tc>
          <w:tcPr>
            <w:tcW w:w="5657" w:type="dxa"/>
          </w:tcPr>
          <w:p w14:paraId="595063A0">
            <w:pPr>
              <w:widowControl/>
              <w:jc w:val="left"/>
              <w:rPr>
                <w:rFonts w:ascii="仿宋" w:hAnsi="仿宋" w:eastAsia="仿宋" w:cs="仿宋"/>
                <w:sz w:val="28"/>
                <w:szCs w:val="28"/>
                <w:lang w:val="zh-CN"/>
              </w:rPr>
            </w:pPr>
            <w:r>
              <w:rPr>
                <w:rFonts w:hint="eastAsia" w:ascii="仿宋" w:hAnsi="仿宋" w:eastAsia="仿宋" w:cs="仿宋"/>
                <w:color w:val="000000"/>
                <w:kern w:val="0"/>
                <w:sz w:val="24"/>
              </w:rPr>
              <w:t xml:space="preserve">模拟提供章节（单元）名称，演示者用备课工具打开2条可二次加工的 PPT 课件，插入一条资源（课件和资源均来源于所投系统云端），每完成一条演示得0.5分，否则不得分。 </w:t>
            </w:r>
          </w:p>
        </w:tc>
        <w:tc>
          <w:tcPr>
            <w:tcW w:w="2470" w:type="dxa"/>
          </w:tcPr>
          <w:p w14:paraId="4B19F216">
            <w:pPr>
              <w:widowControl/>
              <w:spacing w:line="360" w:lineRule="auto"/>
              <w:ind w:firstLine="960" w:firstLineChars="400"/>
              <w:jc w:val="left"/>
              <w:rPr>
                <w:rFonts w:ascii="仿宋" w:hAnsi="仿宋" w:eastAsia="仿宋" w:cs="仿宋"/>
                <w:sz w:val="28"/>
                <w:szCs w:val="28"/>
                <w:lang w:val="zh-CN"/>
              </w:rPr>
            </w:pPr>
            <w:r>
              <w:rPr>
                <w:rFonts w:hint="eastAsia" w:ascii="仿宋" w:hAnsi="仿宋" w:eastAsia="仿宋" w:cs="仿宋"/>
                <w:color w:val="000000"/>
                <w:kern w:val="0"/>
                <w:sz w:val="24"/>
              </w:rPr>
              <w:t>0-1分</w:t>
            </w:r>
          </w:p>
        </w:tc>
      </w:tr>
      <w:tr w14:paraId="579BF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57" w:type="dxa"/>
            <w:vMerge w:val="restart"/>
          </w:tcPr>
          <w:p w14:paraId="25E2D952">
            <w:pPr>
              <w:spacing w:line="360" w:lineRule="auto"/>
              <w:rPr>
                <w:rFonts w:ascii="仿宋" w:hAnsi="仿宋" w:eastAsia="仿宋" w:cs="仿宋"/>
                <w:sz w:val="28"/>
                <w:szCs w:val="28"/>
              </w:rPr>
            </w:pPr>
          </w:p>
          <w:p w14:paraId="70C84DF5">
            <w:pPr>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2</w:t>
            </w:r>
          </w:p>
          <w:p w14:paraId="7C43C170">
            <w:pPr>
              <w:spacing w:line="360" w:lineRule="auto"/>
              <w:rPr>
                <w:rFonts w:ascii="仿宋" w:hAnsi="仿宋" w:eastAsia="仿宋" w:cs="仿宋"/>
                <w:sz w:val="28"/>
                <w:szCs w:val="28"/>
              </w:rPr>
            </w:pPr>
          </w:p>
          <w:p w14:paraId="4D466333">
            <w:pPr>
              <w:spacing w:line="360" w:lineRule="auto"/>
              <w:rPr>
                <w:rFonts w:ascii="仿宋" w:hAnsi="仿宋" w:eastAsia="仿宋" w:cs="仿宋"/>
                <w:sz w:val="28"/>
                <w:szCs w:val="28"/>
              </w:rPr>
            </w:pPr>
          </w:p>
          <w:p w14:paraId="16CAE582">
            <w:pPr>
              <w:spacing w:line="360" w:lineRule="auto"/>
              <w:rPr>
                <w:rFonts w:ascii="仿宋" w:hAnsi="仿宋" w:eastAsia="仿宋" w:cs="仿宋"/>
                <w:sz w:val="28"/>
                <w:szCs w:val="28"/>
              </w:rPr>
            </w:pPr>
          </w:p>
        </w:tc>
        <w:tc>
          <w:tcPr>
            <w:tcW w:w="893" w:type="dxa"/>
            <w:vMerge w:val="restart"/>
          </w:tcPr>
          <w:p w14:paraId="2D7800F4">
            <w:pPr>
              <w:widowControl/>
              <w:jc w:val="left"/>
              <w:rPr>
                <w:rFonts w:ascii="仿宋" w:hAnsi="仿宋" w:eastAsia="仿宋" w:cs="仿宋"/>
                <w:color w:val="000000"/>
                <w:kern w:val="0"/>
                <w:sz w:val="24"/>
              </w:rPr>
            </w:pPr>
          </w:p>
          <w:p w14:paraId="15B7FDE7">
            <w:pPr>
              <w:widowControl/>
              <w:jc w:val="left"/>
              <w:rPr>
                <w:rFonts w:ascii="仿宋" w:hAnsi="仿宋" w:eastAsia="仿宋" w:cs="仿宋"/>
                <w:color w:val="000000"/>
                <w:kern w:val="0"/>
                <w:sz w:val="24"/>
              </w:rPr>
            </w:pPr>
          </w:p>
          <w:p w14:paraId="131BB4AE">
            <w:pPr>
              <w:widowControl/>
              <w:jc w:val="left"/>
              <w:rPr>
                <w:rFonts w:ascii="仿宋" w:hAnsi="仿宋" w:eastAsia="仿宋" w:cs="仿宋"/>
                <w:color w:val="000000"/>
                <w:kern w:val="0"/>
                <w:sz w:val="24"/>
              </w:rPr>
            </w:pPr>
            <w:r>
              <w:rPr>
                <w:rFonts w:hint="eastAsia" w:ascii="仿宋" w:hAnsi="仿宋" w:eastAsia="仿宋" w:cs="仿宋"/>
                <w:color w:val="000000"/>
                <w:kern w:val="0"/>
                <w:sz w:val="24"/>
              </w:rPr>
              <w:t>课堂教学</w:t>
            </w:r>
          </w:p>
        </w:tc>
        <w:tc>
          <w:tcPr>
            <w:tcW w:w="5657" w:type="dxa"/>
          </w:tcPr>
          <w:p w14:paraId="7B7BC6F9">
            <w:pPr>
              <w:widowControl/>
              <w:jc w:val="left"/>
              <w:rPr>
                <w:rFonts w:ascii="仿宋" w:hAnsi="仿宋" w:eastAsia="仿宋" w:cs="仿宋"/>
                <w:sz w:val="28"/>
                <w:szCs w:val="28"/>
                <w:lang w:val="zh-CN"/>
              </w:rPr>
            </w:pPr>
            <w:r>
              <w:rPr>
                <w:rFonts w:hint="eastAsia" w:ascii="仿宋" w:hAnsi="仿宋" w:eastAsia="仿宋" w:cs="仿宋"/>
                <w:color w:val="000000"/>
                <w:kern w:val="0"/>
                <w:sz w:val="24"/>
              </w:rPr>
              <w:t xml:space="preserve">1.演示者将教师终端与大屏幕同屏，一步同屏得 0.5 分，否则不得分。 </w:t>
            </w:r>
          </w:p>
        </w:tc>
        <w:tc>
          <w:tcPr>
            <w:tcW w:w="2470" w:type="dxa"/>
          </w:tcPr>
          <w:p w14:paraId="360C145F">
            <w:pPr>
              <w:widowControl/>
              <w:spacing w:line="360" w:lineRule="auto"/>
              <w:ind w:firstLine="960" w:firstLineChars="400"/>
              <w:jc w:val="left"/>
              <w:rPr>
                <w:rFonts w:ascii="仿宋" w:hAnsi="仿宋" w:eastAsia="仿宋" w:cs="仿宋"/>
                <w:sz w:val="28"/>
                <w:szCs w:val="28"/>
                <w:lang w:val="zh-CN"/>
              </w:rPr>
            </w:pPr>
            <w:r>
              <w:rPr>
                <w:rFonts w:hint="eastAsia" w:ascii="仿宋" w:hAnsi="仿宋" w:eastAsia="仿宋" w:cs="仿宋"/>
                <w:color w:val="000000"/>
                <w:kern w:val="0"/>
                <w:sz w:val="24"/>
              </w:rPr>
              <w:t>0-0.5分</w:t>
            </w:r>
          </w:p>
        </w:tc>
      </w:tr>
      <w:tr w14:paraId="72CF1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57" w:type="dxa"/>
            <w:vMerge w:val="continue"/>
          </w:tcPr>
          <w:p w14:paraId="43685972">
            <w:pPr>
              <w:spacing w:line="360" w:lineRule="auto"/>
              <w:rPr>
                <w:rFonts w:ascii="仿宋" w:hAnsi="仿宋" w:eastAsia="仿宋" w:cs="仿宋"/>
                <w:sz w:val="28"/>
                <w:szCs w:val="28"/>
                <w:lang w:val="zh-CN"/>
              </w:rPr>
            </w:pPr>
          </w:p>
        </w:tc>
        <w:tc>
          <w:tcPr>
            <w:tcW w:w="893" w:type="dxa"/>
            <w:vMerge w:val="continue"/>
          </w:tcPr>
          <w:p w14:paraId="61F6A661">
            <w:pPr>
              <w:spacing w:line="360" w:lineRule="auto"/>
              <w:rPr>
                <w:rFonts w:ascii="仿宋" w:hAnsi="仿宋" w:eastAsia="仿宋" w:cs="仿宋"/>
                <w:sz w:val="28"/>
                <w:szCs w:val="28"/>
                <w:lang w:val="zh-CN"/>
              </w:rPr>
            </w:pPr>
          </w:p>
        </w:tc>
        <w:tc>
          <w:tcPr>
            <w:tcW w:w="5657" w:type="dxa"/>
          </w:tcPr>
          <w:p w14:paraId="6B9052E2">
            <w:pPr>
              <w:widowControl/>
              <w:jc w:val="left"/>
              <w:rPr>
                <w:rFonts w:ascii="仿宋" w:hAnsi="仿宋" w:eastAsia="仿宋" w:cs="仿宋"/>
                <w:sz w:val="28"/>
                <w:szCs w:val="28"/>
                <w:lang w:val="zh-CN"/>
              </w:rPr>
            </w:pPr>
            <w:r>
              <w:rPr>
                <w:rFonts w:hint="eastAsia" w:ascii="仿宋" w:hAnsi="仿宋" w:eastAsia="仿宋" w:cs="仿宋"/>
                <w:color w:val="000000"/>
                <w:kern w:val="0"/>
                <w:sz w:val="24"/>
              </w:rPr>
              <w:t xml:space="preserve">2.演示者将教师移动终端屏幕广播到所有学生移动终端，完成所有广播得0.5分。 </w:t>
            </w:r>
          </w:p>
        </w:tc>
        <w:tc>
          <w:tcPr>
            <w:tcW w:w="2470" w:type="dxa"/>
          </w:tcPr>
          <w:p w14:paraId="777DEB56">
            <w:pPr>
              <w:widowControl/>
              <w:spacing w:line="360" w:lineRule="auto"/>
              <w:ind w:firstLine="960" w:firstLineChars="400"/>
              <w:jc w:val="left"/>
              <w:rPr>
                <w:rFonts w:ascii="仿宋" w:hAnsi="仿宋" w:eastAsia="仿宋" w:cs="仿宋"/>
                <w:sz w:val="28"/>
                <w:szCs w:val="28"/>
                <w:lang w:val="zh-CN"/>
              </w:rPr>
            </w:pPr>
            <w:r>
              <w:rPr>
                <w:rFonts w:hint="eastAsia" w:ascii="仿宋" w:hAnsi="仿宋" w:eastAsia="仿宋" w:cs="仿宋"/>
                <w:color w:val="000000"/>
                <w:kern w:val="0"/>
                <w:sz w:val="24"/>
              </w:rPr>
              <w:t>0-0.5 分</w:t>
            </w:r>
          </w:p>
        </w:tc>
      </w:tr>
      <w:tr w14:paraId="65399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57" w:type="dxa"/>
            <w:vMerge w:val="continue"/>
          </w:tcPr>
          <w:p w14:paraId="51F99A5E">
            <w:pPr>
              <w:spacing w:line="360" w:lineRule="auto"/>
              <w:rPr>
                <w:rFonts w:ascii="仿宋" w:hAnsi="仿宋" w:eastAsia="仿宋" w:cs="仿宋"/>
                <w:sz w:val="28"/>
                <w:szCs w:val="28"/>
                <w:lang w:val="zh-CN"/>
              </w:rPr>
            </w:pPr>
          </w:p>
        </w:tc>
        <w:tc>
          <w:tcPr>
            <w:tcW w:w="893" w:type="dxa"/>
            <w:vMerge w:val="continue"/>
          </w:tcPr>
          <w:p w14:paraId="4B4FDA9B">
            <w:pPr>
              <w:spacing w:line="360" w:lineRule="auto"/>
              <w:rPr>
                <w:rFonts w:ascii="仿宋" w:hAnsi="仿宋" w:eastAsia="仿宋" w:cs="仿宋"/>
                <w:sz w:val="28"/>
                <w:szCs w:val="28"/>
                <w:lang w:val="zh-CN"/>
              </w:rPr>
            </w:pPr>
          </w:p>
        </w:tc>
        <w:tc>
          <w:tcPr>
            <w:tcW w:w="5657" w:type="dxa"/>
          </w:tcPr>
          <w:p w14:paraId="16A709E7">
            <w:pPr>
              <w:widowControl/>
              <w:jc w:val="left"/>
              <w:rPr>
                <w:rFonts w:ascii="仿宋" w:hAnsi="仿宋" w:eastAsia="仿宋" w:cs="仿宋"/>
                <w:sz w:val="28"/>
                <w:szCs w:val="28"/>
                <w:lang w:val="zh-CN"/>
              </w:rPr>
            </w:pPr>
            <w:r>
              <w:rPr>
                <w:rFonts w:hint="eastAsia" w:ascii="仿宋" w:hAnsi="仿宋" w:eastAsia="仿宋" w:cs="仿宋"/>
                <w:color w:val="000000"/>
                <w:kern w:val="0"/>
                <w:sz w:val="24"/>
              </w:rPr>
              <w:t xml:space="preserve">3.展示上述课件，并对课件进行文字批注。能够批注得0.5分，否则不得分。 </w:t>
            </w:r>
          </w:p>
        </w:tc>
        <w:tc>
          <w:tcPr>
            <w:tcW w:w="2470" w:type="dxa"/>
          </w:tcPr>
          <w:p w14:paraId="136850E2">
            <w:pPr>
              <w:widowControl/>
              <w:spacing w:line="360" w:lineRule="auto"/>
              <w:ind w:firstLine="960" w:firstLineChars="400"/>
              <w:jc w:val="left"/>
              <w:rPr>
                <w:rFonts w:ascii="仿宋" w:hAnsi="仿宋" w:eastAsia="仿宋" w:cs="仿宋"/>
                <w:sz w:val="28"/>
                <w:szCs w:val="28"/>
                <w:lang w:val="zh-CN"/>
              </w:rPr>
            </w:pPr>
            <w:r>
              <w:rPr>
                <w:rFonts w:hint="eastAsia" w:ascii="仿宋" w:hAnsi="仿宋" w:eastAsia="仿宋" w:cs="仿宋"/>
                <w:color w:val="000000"/>
                <w:kern w:val="0"/>
                <w:sz w:val="24"/>
              </w:rPr>
              <w:t>0-0.5分</w:t>
            </w:r>
          </w:p>
        </w:tc>
      </w:tr>
      <w:tr w14:paraId="7E772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57" w:type="dxa"/>
            <w:vMerge w:val="continue"/>
          </w:tcPr>
          <w:p w14:paraId="1B9E9B90">
            <w:pPr>
              <w:spacing w:line="360" w:lineRule="auto"/>
              <w:rPr>
                <w:rFonts w:ascii="仿宋" w:hAnsi="仿宋" w:eastAsia="仿宋" w:cs="仿宋"/>
                <w:sz w:val="28"/>
                <w:szCs w:val="28"/>
                <w:lang w:val="zh-CN"/>
              </w:rPr>
            </w:pPr>
          </w:p>
        </w:tc>
        <w:tc>
          <w:tcPr>
            <w:tcW w:w="893" w:type="dxa"/>
            <w:vMerge w:val="continue"/>
          </w:tcPr>
          <w:p w14:paraId="45D1E228">
            <w:pPr>
              <w:spacing w:line="360" w:lineRule="auto"/>
              <w:rPr>
                <w:rFonts w:ascii="仿宋" w:hAnsi="仿宋" w:eastAsia="仿宋" w:cs="仿宋"/>
                <w:sz w:val="28"/>
                <w:szCs w:val="28"/>
                <w:lang w:val="zh-CN"/>
              </w:rPr>
            </w:pPr>
          </w:p>
        </w:tc>
        <w:tc>
          <w:tcPr>
            <w:tcW w:w="5657" w:type="dxa"/>
          </w:tcPr>
          <w:p w14:paraId="43F61C59">
            <w:pPr>
              <w:widowControl/>
              <w:jc w:val="left"/>
              <w:rPr>
                <w:rFonts w:ascii="仿宋" w:hAnsi="仿宋" w:eastAsia="仿宋" w:cs="仿宋"/>
                <w:sz w:val="28"/>
                <w:szCs w:val="28"/>
                <w:lang w:val="zh-CN"/>
              </w:rPr>
            </w:pPr>
            <w:r>
              <w:rPr>
                <w:rFonts w:hint="eastAsia" w:ascii="仿宋" w:hAnsi="仿宋" w:eastAsia="仿宋" w:cs="仿宋"/>
                <w:color w:val="000000"/>
                <w:kern w:val="0"/>
                <w:sz w:val="24"/>
              </w:rPr>
              <w:t xml:space="preserve">4.展示锁屏和解锁功能，完成展示得0.5分，否则不得分。 </w:t>
            </w:r>
          </w:p>
        </w:tc>
        <w:tc>
          <w:tcPr>
            <w:tcW w:w="2470" w:type="dxa"/>
          </w:tcPr>
          <w:p w14:paraId="2BB9EB2A">
            <w:pPr>
              <w:widowControl/>
              <w:spacing w:line="360" w:lineRule="auto"/>
              <w:ind w:firstLine="960" w:firstLineChars="400"/>
              <w:jc w:val="left"/>
              <w:rPr>
                <w:rFonts w:ascii="仿宋" w:hAnsi="仿宋" w:eastAsia="仿宋" w:cs="仿宋"/>
                <w:sz w:val="28"/>
                <w:szCs w:val="28"/>
                <w:lang w:val="zh-CN"/>
              </w:rPr>
            </w:pPr>
            <w:r>
              <w:rPr>
                <w:rFonts w:hint="eastAsia" w:ascii="仿宋" w:hAnsi="仿宋" w:eastAsia="仿宋" w:cs="仿宋"/>
                <w:color w:val="000000"/>
                <w:kern w:val="0"/>
                <w:sz w:val="24"/>
              </w:rPr>
              <w:t>0-0.5 分</w:t>
            </w:r>
          </w:p>
        </w:tc>
      </w:tr>
      <w:tr w14:paraId="24FFC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857" w:type="dxa"/>
            <w:vMerge w:val="continue"/>
          </w:tcPr>
          <w:p w14:paraId="2717DEC7">
            <w:pPr>
              <w:spacing w:line="360" w:lineRule="auto"/>
              <w:rPr>
                <w:rFonts w:ascii="仿宋" w:hAnsi="仿宋" w:eastAsia="仿宋" w:cs="仿宋"/>
                <w:sz w:val="28"/>
                <w:szCs w:val="28"/>
                <w:lang w:val="zh-CN"/>
              </w:rPr>
            </w:pPr>
          </w:p>
        </w:tc>
        <w:tc>
          <w:tcPr>
            <w:tcW w:w="893" w:type="dxa"/>
            <w:vMerge w:val="continue"/>
          </w:tcPr>
          <w:p w14:paraId="4F642B10">
            <w:pPr>
              <w:spacing w:line="360" w:lineRule="auto"/>
              <w:rPr>
                <w:rFonts w:ascii="仿宋" w:hAnsi="仿宋" w:eastAsia="仿宋" w:cs="仿宋"/>
                <w:sz w:val="28"/>
                <w:szCs w:val="28"/>
                <w:lang w:val="zh-CN"/>
              </w:rPr>
            </w:pPr>
          </w:p>
        </w:tc>
        <w:tc>
          <w:tcPr>
            <w:tcW w:w="5657" w:type="dxa"/>
          </w:tcPr>
          <w:p w14:paraId="5A885775">
            <w:pPr>
              <w:widowControl/>
              <w:jc w:val="left"/>
              <w:rPr>
                <w:rFonts w:ascii="仿宋" w:hAnsi="仿宋" w:eastAsia="仿宋" w:cs="仿宋"/>
                <w:sz w:val="28"/>
                <w:szCs w:val="28"/>
                <w:lang w:val="zh-CN"/>
              </w:rPr>
            </w:pPr>
            <w:r>
              <w:rPr>
                <w:rFonts w:hint="eastAsia" w:ascii="仿宋" w:hAnsi="仿宋" w:eastAsia="仿宋" w:cs="仿宋"/>
                <w:color w:val="000000"/>
                <w:kern w:val="0"/>
                <w:sz w:val="24"/>
              </w:rPr>
              <w:t>5.演示者将含一道单选题、一道多选题、一道主观题（能够通过手写完成）的课堂作业推送到所有学生端，并模拟人员现场作答（要有答错情况），实时展示其中一位同学的主观题答题过程。展示环节完整得 1分，否则不得分。</w:t>
            </w:r>
          </w:p>
        </w:tc>
        <w:tc>
          <w:tcPr>
            <w:tcW w:w="2470" w:type="dxa"/>
          </w:tcPr>
          <w:p w14:paraId="12269005">
            <w:pPr>
              <w:widowControl/>
              <w:spacing w:line="360" w:lineRule="auto"/>
              <w:ind w:firstLine="960" w:firstLineChars="400"/>
              <w:jc w:val="left"/>
              <w:rPr>
                <w:rFonts w:ascii="仿宋" w:hAnsi="仿宋" w:eastAsia="仿宋" w:cs="仿宋"/>
                <w:sz w:val="28"/>
                <w:szCs w:val="28"/>
                <w:lang w:val="zh-CN"/>
              </w:rPr>
            </w:pPr>
            <w:r>
              <w:rPr>
                <w:rFonts w:hint="eastAsia" w:ascii="仿宋" w:hAnsi="仿宋" w:eastAsia="仿宋" w:cs="仿宋"/>
                <w:color w:val="000000"/>
                <w:kern w:val="0"/>
                <w:sz w:val="24"/>
              </w:rPr>
              <w:t>0-1分</w:t>
            </w:r>
          </w:p>
        </w:tc>
      </w:tr>
      <w:tr w14:paraId="42E2E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857" w:type="dxa"/>
            <w:vMerge w:val="continue"/>
          </w:tcPr>
          <w:p w14:paraId="45E0FFF8">
            <w:pPr>
              <w:spacing w:line="360" w:lineRule="auto"/>
              <w:rPr>
                <w:rFonts w:ascii="仿宋" w:hAnsi="仿宋" w:eastAsia="仿宋" w:cs="仿宋"/>
                <w:sz w:val="28"/>
                <w:szCs w:val="28"/>
                <w:lang w:val="zh-CN"/>
              </w:rPr>
            </w:pPr>
          </w:p>
        </w:tc>
        <w:tc>
          <w:tcPr>
            <w:tcW w:w="893" w:type="dxa"/>
            <w:vMerge w:val="continue"/>
          </w:tcPr>
          <w:p w14:paraId="2DA27293">
            <w:pPr>
              <w:spacing w:line="360" w:lineRule="auto"/>
              <w:rPr>
                <w:rFonts w:ascii="仿宋" w:hAnsi="仿宋" w:eastAsia="仿宋" w:cs="仿宋"/>
                <w:sz w:val="28"/>
                <w:szCs w:val="28"/>
                <w:lang w:val="zh-CN"/>
              </w:rPr>
            </w:pPr>
          </w:p>
        </w:tc>
        <w:tc>
          <w:tcPr>
            <w:tcW w:w="5657" w:type="dxa"/>
          </w:tcPr>
          <w:p w14:paraId="7E840434">
            <w:pPr>
              <w:widowControl/>
              <w:jc w:val="left"/>
              <w:rPr>
                <w:rFonts w:ascii="仿宋" w:hAnsi="仿宋" w:eastAsia="仿宋" w:cs="仿宋"/>
                <w:sz w:val="28"/>
                <w:szCs w:val="28"/>
                <w:lang w:val="zh-CN"/>
              </w:rPr>
            </w:pPr>
            <w:r>
              <w:rPr>
                <w:rFonts w:hint="eastAsia" w:ascii="仿宋" w:hAnsi="仿宋" w:eastAsia="仿宋" w:cs="仿宋"/>
                <w:color w:val="000000"/>
                <w:kern w:val="0"/>
                <w:sz w:val="24"/>
              </w:rPr>
              <w:t xml:space="preserve">6.前项展示信息中包含是否开始作答、作答完成人数、作答时间、作答轨迹等信息，少一项扣0.5分，满分1分，扣完为止。 </w:t>
            </w:r>
          </w:p>
        </w:tc>
        <w:tc>
          <w:tcPr>
            <w:tcW w:w="2470" w:type="dxa"/>
          </w:tcPr>
          <w:p w14:paraId="1CA2109C">
            <w:pPr>
              <w:widowControl/>
              <w:spacing w:line="360" w:lineRule="auto"/>
              <w:ind w:firstLine="960" w:firstLineChars="400"/>
              <w:jc w:val="left"/>
              <w:rPr>
                <w:rFonts w:ascii="仿宋" w:hAnsi="仿宋" w:eastAsia="仿宋" w:cs="仿宋"/>
                <w:color w:val="000000"/>
                <w:kern w:val="0"/>
                <w:sz w:val="24"/>
              </w:rPr>
            </w:pPr>
          </w:p>
          <w:p w14:paraId="0A2B73A1">
            <w:pPr>
              <w:widowControl/>
              <w:spacing w:line="360" w:lineRule="auto"/>
              <w:ind w:firstLine="960" w:firstLineChars="400"/>
              <w:jc w:val="left"/>
              <w:rPr>
                <w:rFonts w:ascii="仿宋" w:hAnsi="仿宋" w:eastAsia="仿宋" w:cs="仿宋"/>
                <w:sz w:val="28"/>
                <w:szCs w:val="28"/>
                <w:lang w:val="zh-CN"/>
              </w:rPr>
            </w:pPr>
            <w:r>
              <w:rPr>
                <w:rFonts w:hint="eastAsia" w:ascii="仿宋" w:hAnsi="仿宋" w:eastAsia="仿宋" w:cs="仿宋"/>
                <w:color w:val="000000"/>
                <w:kern w:val="0"/>
                <w:sz w:val="24"/>
              </w:rPr>
              <w:t>0-1分</w:t>
            </w:r>
          </w:p>
        </w:tc>
      </w:tr>
      <w:tr w14:paraId="0C79C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857" w:type="dxa"/>
            <w:vMerge w:val="continue"/>
          </w:tcPr>
          <w:p w14:paraId="22611100">
            <w:pPr>
              <w:spacing w:line="360" w:lineRule="auto"/>
              <w:rPr>
                <w:rFonts w:ascii="仿宋" w:hAnsi="仿宋" w:eastAsia="仿宋" w:cs="仿宋"/>
                <w:sz w:val="28"/>
                <w:szCs w:val="28"/>
                <w:lang w:val="zh-CN"/>
              </w:rPr>
            </w:pPr>
          </w:p>
        </w:tc>
        <w:tc>
          <w:tcPr>
            <w:tcW w:w="893" w:type="dxa"/>
            <w:vMerge w:val="continue"/>
          </w:tcPr>
          <w:p w14:paraId="572A8AFB">
            <w:pPr>
              <w:spacing w:line="360" w:lineRule="auto"/>
              <w:rPr>
                <w:rFonts w:ascii="仿宋" w:hAnsi="仿宋" w:eastAsia="仿宋" w:cs="仿宋"/>
                <w:sz w:val="28"/>
                <w:szCs w:val="28"/>
                <w:lang w:val="zh-CN"/>
              </w:rPr>
            </w:pPr>
          </w:p>
        </w:tc>
        <w:tc>
          <w:tcPr>
            <w:tcW w:w="5657" w:type="dxa"/>
          </w:tcPr>
          <w:p w14:paraId="0DCC6D7E">
            <w:pPr>
              <w:widowControl/>
              <w:jc w:val="left"/>
              <w:rPr>
                <w:rFonts w:ascii="仿宋" w:hAnsi="仿宋" w:eastAsia="仿宋" w:cs="仿宋"/>
              </w:rPr>
            </w:pPr>
            <w:r>
              <w:rPr>
                <w:rFonts w:hint="eastAsia" w:ascii="仿宋" w:hAnsi="仿宋" w:eastAsia="仿宋" w:cs="仿宋"/>
                <w:color w:val="000000"/>
                <w:kern w:val="0"/>
                <w:sz w:val="24"/>
              </w:rPr>
              <w:t xml:space="preserve">7.展示上述课堂作业的客观题分析结果，分析结果包括总人数、 参与人数、正确率、正确及错误学生的具体名单、分析图表， 以及个人分析报告等信息，少一项扣0.5分，满分2分，扣完为止。 </w:t>
            </w:r>
          </w:p>
        </w:tc>
        <w:tc>
          <w:tcPr>
            <w:tcW w:w="2470" w:type="dxa"/>
          </w:tcPr>
          <w:p w14:paraId="19C745D5">
            <w:pPr>
              <w:widowControl/>
              <w:spacing w:line="360" w:lineRule="auto"/>
              <w:ind w:firstLine="960" w:firstLineChars="400"/>
              <w:jc w:val="left"/>
              <w:rPr>
                <w:rFonts w:ascii="仿宋" w:hAnsi="仿宋" w:eastAsia="仿宋" w:cs="仿宋"/>
                <w:color w:val="000000"/>
                <w:kern w:val="0"/>
                <w:sz w:val="24"/>
              </w:rPr>
            </w:pPr>
          </w:p>
          <w:p w14:paraId="298687ED">
            <w:pPr>
              <w:widowControl/>
              <w:spacing w:line="360" w:lineRule="auto"/>
              <w:ind w:firstLine="960" w:firstLineChars="400"/>
              <w:jc w:val="left"/>
              <w:rPr>
                <w:rFonts w:ascii="仿宋" w:hAnsi="仿宋" w:eastAsia="仿宋" w:cs="仿宋"/>
                <w:sz w:val="28"/>
                <w:szCs w:val="28"/>
                <w:lang w:val="zh-CN"/>
              </w:rPr>
            </w:pPr>
            <w:r>
              <w:rPr>
                <w:rFonts w:hint="eastAsia" w:ascii="仿宋" w:hAnsi="仿宋" w:eastAsia="仿宋" w:cs="仿宋"/>
                <w:color w:val="000000"/>
                <w:kern w:val="0"/>
                <w:sz w:val="24"/>
              </w:rPr>
              <w:t>0-2分</w:t>
            </w:r>
          </w:p>
        </w:tc>
      </w:tr>
      <w:tr w14:paraId="201F4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57" w:type="dxa"/>
            <w:vMerge w:val="continue"/>
          </w:tcPr>
          <w:p w14:paraId="64499C6B">
            <w:pPr>
              <w:spacing w:line="360" w:lineRule="auto"/>
              <w:rPr>
                <w:rFonts w:ascii="仿宋" w:hAnsi="仿宋" w:eastAsia="仿宋" w:cs="仿宋"/>
                <w:sz w:val="28"/>
                <w:szCs w:val="28"/>
                <w:lang w:val="zh-CN"/>
              </w:rPr>
            </w:pPr>
          </w:p>
        </w:tc>
        <w:tc>
          <w:tcPr>
            <w:tcW w:w="893" w:type="dxa"/>
            <w:vMerge w:val="continue"/>
          </w:tcPr>
          <w:p w14:paraId="5BCE2956">
            <w:pPr>
              <w:spacing w:line="360" w:lineRule="auto"/>
              <w:rPr>
                <w:rFonts w:ascii="仿宋" w:hAnsi="仿宋" w:eastAsia="仿宋" w:cs="仿宋"/>
                <w:sz w:val="28"/>
                <w:szCs w:val="28"/>
                <w:lang w:val="zh-CN"/>
              </w:rPr>
            </w:pPr>
          </w:p>
        </w:tc>
        <w:tc>
          <w:tcPr>
            <w:tcW w:w="5657" w:type="dxa"/>
          </w:tcPr>
          <w:p w14:paraId="3957243D">
            <w:pPr>
              <w:widowControl/>
              <w:jc w:val="left"/>
              <w:rPr>
                <w:rFonts w:ascii="仿宋" w:hAnsi="仿宋" w:eastAsia="仿宋" w:cs="仿宋"/>
                <w:sz w:val="28"/>
                <w:szCs w:val="28"/>
                <w:lang w:val="zh-CN"/>
              </w:rPr>
            </w:pPr>
            <w:r>
              <w:rPr>
                <w:rFonts w:hint="eastAsia" w:ascii="仿宋" w:hAnsi="仿宋" w:eastAsia="仿宋" w:cs="仿宋"/>
                <w:color w:val="000000"/>
                <w:kern w:val="0"/>
                <w:sz w:val="24"/>
              </w:rPr>
              <w:t xml:space="preserve">8.按时序结构化呈现 1-7 项课堂教学过程记录结果，完成展示得0.5分，否则不得分。 </w:t>
            </w:r>
          </w:p>
        </w:tc>
        <w:tc>
          <w:tcPr>
            <w:tcW w:w="2470" w:type="dxa"/>
          </w:tcPr>
          <w:p w14:paraId="4C9244C2">
            <w:pPr>
              <w:widowControl/>
              <w:spacing w:line="360" w:lineRule="auto"/>
              <w:ind w:firstLine="960" w:firstLineChars="400"/>
              <w:jc w:val="left"/>
              <w:rPr>
                <w:rFonts w:ascii="仿宋" w:hAnsi="仿宋" w:eastAsia="仿宋" w:cs="仿宋"/>
                <w:sz w:val="28"/>
                <w:szCs w:val="28"/>
                <w:lang w:val="zh-CN"/>
              </w:rPr>
            </w:pPr>
            <w:r>
              <w:rPr>
                <w:rFonts w:hint="eastAsia" w:ascii="仿宋" w:hAnsi="仿宋" w:eastAsia="仿宋" w:cs="仿宋"/>
                <w:color w:val="000000"/>
                <w:kern w:val="0"/>
                <w:sz w:val="24"/>
              </w:rPr>
              <w:t>0-0.5 分</w:t>
            </w:r>
          </w:p>
        </w:tc>
      </w:tr>
      <w:tr w14:paraId="1AEE4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857" w:type="dxa"/>
          </w:tcPr>
          <w:p w14:paraId="568266EB">
            <w:pPr>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3</w:t>
            </w:r>
          </w:p>
        </w:tc>
        <w:tc>
          <w:tcPr>
            <w:tcW w:w="893" w:type="dxa"/>
          </w:tcPr>
          <w:p w14:paraId="7883C780">
            <w:pPr>
              <w:widowControl/>
              <w:jc w:val="left"/>
              <w:rPr>
                <w:rFonts w:ascii="仿宋" w:hAnsi="仿宋" w:eastAsia="仿宋" w:cs="仿宋"/>
              </w:rPr>
            </w:pPr>
            <w:r>
              <w:rPr>
                <w:rFonts w:hint="eastAsia" w:ascii="仿宋" w:hAnsi="仿宋" w:eastAsia="仿宋" w:cs="仿宋"/>
                <w:color w:val="000000"/>
                <w:kern w:val="0"/>
                <w:sz w:val="24"/>
              </w:rPr>
              <w:t xml:space="preserve">错题 </w:t>
            </w:r>
          </w:p>
          <w:p w14:paraId="16D6A7AB">
            <w:pPr>
              <w:widowControl/>
              <w:jc w:val="left"/>
              <w:rPr>
                <w:rFonts w:ascii="仿宋" w:hAnsi="仿宋" w:eastAsia="仿宋" w:cs="仿宋"/>
                <w:sz w:val="28"/>
                <w:szCs w:val="28"/>
                <w:lang w:val="zh-CN"/>
              </w:rPr>
            </w:pPr>
            <w:r>
              <w:rPr>
                <w:rFonts w:hint="eastAsia" w:ascii="仿宋" w:hAnsi="仿宋" w:eastAsia="仿宋" w:cs="仿宋"/>
                <w:color w:val="000000"/>
                <w:kern w:val="0"/>
                <w:sz w:val="24"/>
              </w:rPr>
              <w:t>本</w:t>
            </w:r>
          </w:p>
        </w:tc>
        <w:tc>
          <w:tcPr>
            <w:tcW w:w="5657" w:type="dxa"/>
          </w:tcPr>
          <w:p w14:paraId="0672A0E3">
            <w:pPr>
              <w:widowControl/>
              <w:jc w:val="left"/>
              <w:rPr>
                <w:rFonts w:ascii="仿宋" w:hAnsi="仿宋" w:eastAsia="仿宋" w:cs="仿宋"/>
                <w:sz w:val="28"/>
                <w:szCs w:val="28"/>
                <w:lang w:val="zh-CN"/>
              </w:rPr>
            </w:pPr>
            <w:r>
              <w:rPr>
                <w:rFonts w:hint="eastAsia" w:ascii="仿宋" w:hAnsi="仿宋" w:eastAsia="仿宋" w:cs="仿宋"/>
                <w:color w:val="000000"/>
                <w:kern w:val="0"/>
                <w:sz w:val="24"/>
              </w:rPr>
              <w:t>演示者用学生移动终端展示前面作业中的错题和系统自动推送对应知识和难度的试题。完成所有展示得0.5分，否则不得分。</w:t>
            </w:r>
          </w:p>
        </w:tc>
        <w:tc>
          <w:tcPr>
            <w:tcW w:w="2470" w:type="dxa"/>
          </w:tcPr>
          <w:p w14:paraId="601219EC">
            <w:pPr>
              <w:widowControl/>
              <w:spacing w:line="360" w:lineRule="auto"/>
              <w:ind w:firstLine="960" w:firstLineChars="400"/>
              <w:jc w:val="left"/>
              <w:rPr>
                <w:rFonts w:ascii="仿宋" w:hAnsi="仿宋" w:eastAsia="仿宋" w:cs="仿宋"/>
                <w:color w:val="000000"/>
                <w:kern w:val="0"/>
                <w:sz w:val="24"/>
              </w:rPr>
            </w:pPr>
            <w:r>
              <w:rPr>
                <w:rFonts w:hint="eastAsia" w:ascii="仿宋" w:hAnsi="仿宋" w:eastAsia="仿宋" w:cs="仿宋"/>
                <w:color w:val="000000"/>
                <w:kern w:val="0"/>
                <w:sz w:val="24"/>
              </w:rPr>
              <w:t>0-0.5 分</w:t>
            </w:r>
          </w:p>
          <w:p w14:paraId="78E0F24A">
            <w:pPr>
              <w:pStyle w:val="23"/>
              <w:rPr>
                <w:rFonts w:ascii="仿宋" w:hAnsi="仿宋" w:eastAsia="仿宋" w:cs="仿宋"/>
              </w:rPr>
            </w:pPr>
          </w:p>
        </w:tc>
      </w:tr>
      <w:tr w14:paraId="31F4B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857" w:type="dxa"/>
          </w:tcPr>
          <w:p w14:paraId="4128D532">
            <w:pPr>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4</w:t>
            </w:r>
          </w:p>
        </w:tc>
        <w:tc>
          <w:tcPr>
            <w:tcW w:w="893" w:type="dxa"/>
          </w:tcPr>
          <w:p w14:paraId="6A1E6512">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学生自主学习</w:t>
            </w:r>
          </w:p>
        </w:tc>
        <w:tc>
          <w:tcPr>
            <w:tcW w:w="5657" w:type="dxa"/>
          </w:tcPr>
          <w:p w14:paraId="026103D4">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模拟提供章节（单元）名称，演示者用学生自主学习系统打开2条配套的电子教材和云课程资源，完成一条演示得0.5分，否则不得分。</w:t>
            </w:r>
          </w:p>
        </w:tc>
        <w:tc>
          <w:tcPr>
            <w:tcW w:w="2470" w:type="dxa"/>
          </w:tcPr>
          <w:p w14:paraId="17E588FA">
            <w:pPr>
              <w:widowControl/>
              <w:spacing w:line="360" w:lineRule="auto"/>
              <w:ind w:firstLine="960" w:firstLineChars="400"/>
              <w:jc w:val="left"/>
              <w:rPr>
                <w:rFonts w:ascii="仿宋" w:hAnsi="仿宋" w:eastAsia="仿宋" w:cs="仿宋"/>
                <w:color w:val="000000"/>
                <w:kern w:val="0"/>
                <w:sz w:val="24"/>
              </w:rPr>
            </w:pPr>
            <w:r>
              <w:rPr>
                <w:rFonts w:hint="eastAsia" w:ascii="仿宋" w:hAnsi="仿宋" w:eastAsia="仿宋" w:cs="仿宋"/>
                <w:color w:val="000000"/>
                <w:kern w:val="0"/>
                <w:sz w:val="24"/>
              </w:rPr>
              <w:t>0-1分</w:t>
            </w:r>
          </w:p>
        </w:tc>
      </w:tr>
      <w:tr w14:paraId="2706E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857" w:type="dxa"/>
            <w:vMerge w:val="restart"/>
          </w:tcPr>
          <w:p w14:paraId="27028E87">
            <w:pPr>
              <w:spacing w:line="360" w:lineRule="auto"/>
              <w:rPr>
                <w:rFonts w:ascii="仿宋" w:hAnsi="仿宋" w:eastAsia="仿宋" w:cs="仿宋"/>
                <w:sz w:val="28"/>
                <w:szCs w:val="28"/>
              </w:rPr>
            </w:pPr>
          </w:p>
          <w:p w14:paraId="30CB5193">
            <w:pPr>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5</w:t>
            </w:r>
          </w:p>
        </w:tc>
        <w:tc>
          <w:tcPr>
            <w:tcW w:w="893" w:type="dxa"/>
            <w:vMerge w:val="restart"/>
          </w:tcPr>
          <w:p w14:paraId="704B7DA6">
            <w:pPr>
              <w:widowControl/>
              <w:jc w:val="left"/>
              <w:rPr>
                <w:rFonts w:ascii="仿宋" w:hAnsi="仿宋" w:eastAsia="仿宋" w:cs="仿宋"/>
                <w:color w:val="000000"/>
                <w:kern w:val="0"/>
                <w:sz w:val="24"/>
              </w:rPr>
            </w:pPr>
          </w:p>
          <w:p w14:paraId="50447A27">
            <w:pPr>
              <w:widowControl/>
              <w:jc w:val="left"/>
              <w:rPr>
                <w:rFonts w:ascii="仿宋" w:hAnsi="仿宋" w:eastAsia="仿宋" w:cs="仿宋"/>
              </w:rPr>
            </w:pPr>
            <w:r>
              <w:rPr>
                <w:rFonts w:hint="eastAsia" w:ascii="仿宋" w:hAnsi="仿宋" w:eastAsia="仿宋" w:cs="仿宋"/>
                <w:color w:val="000000"/>
                <w:kern w:val="0"/>
                <w:sz w:val="24"/>
              </w:rPr>
              <w:t>学生 行为 管控</w:t>
            </w:r>
          </w:p>
          <w:p w14:paraId="1706AC0D">
            <w:pPr>
              <w:widowControl/>
              <w:jc w:val="left"/>
              <w:rPr>
                <w:rFonts w:ascii="仿宋" w:hAnsi="仿宋" w:eastAsia="仿宋" w:cs="仿宋"/>
                <w:sz w:val="28"/>
                <w:szCs w:val="28"/>
                <w:lang w:val="zh-CN"/>
              </w:rPr>
            </w:pPr>
          </w:p>
        </w:tc>
        <w:tc>
          <w:tcPr>
            <w:tcW w:w="5657" w:type="dxa"/>
          </w:tcPr>
          <w:p w14:paraId="37D5AC05">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演示者在学生移动终端打开无关网页，无法打开得 0.5分，否则不得分。</w:t>
            </w:r>
          </w:p>
          <w:p w14:paraId="07E9F4D5">
            <w:pPr>
              <w:widowControl/>
              <w:jc w:val="left"/>
              <w:rPr>
                <w:rFonts w:ascii="仿宋" w:hAnsi="仿宋" w:eastAsia="仿宋" w:cs="仿宋"/>
                <w:color w:val="000000"/>
                <w:kern w:val="0"/>
                <w:sz w:val="24"/>
              </w:rPr>
            </w:pPr>
          </w:p>
        </w:tc>
        <w:tc>
          <w:tcPr>
            <w:tcW w:w="2470" w:type="dxa"/>
          </w:tcPr>
          <w:p w14:paraId="5EC3D0A0">
            <w:pPr>
              <w:widowControl/>
              <w:spacing w:line="360" w:lineRule="auto"/>
              <w:ind w:firstLine="960" w:firstLineChars="400"/>
              <w:jc w:val="left"/>
              <w:rPr>
                <w:rFonts w:ascii="仿宋" w:hAnsi="仿宋" w:eastAsia="仿宋" w:cs="仿宋"/>
                <w:sz w:val="28"/>
                <w:szCs w:val="28"/>
              </w:rPr>
            </w:pPr>
            <w:r>
              <w:rPr>
                <w:rFonts w:hint="eastAsia" w:ascii="仿宋" w:hAnsi="仿宋" w:eastAsia="仿宋" w:cs="仿宋"/>
                <w:color w:val="000000"/>
                <w:kern w:val="0"/>
                <w:sz w:val="24"/>
              </w:rPr>
              <w:t>0-0.5分</w:t>
            </w:r>
          </w:p>
        </w:tc>
      </w:tr>
      <w:tr w14:paraId="5B920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57" w:type="dxa"/>
            <w:vMerge w:val="continue"/>
          </w:tcPr>
          <w:p w14:paraId="76E2ABFA">
            <w:pPr>
              <w:spacing w:line="360" w:lineRule="auto"/>
              <w:rPr>
                <w:rFonts w:ascii="仿宋" w:hAnsi="仿宋" w:eastAsia="仿宋" w:cs="仿宋"/>
                <w:sz w:val="28"/>
                <w:szCs w:val="28"/>
              </w:rPr>
            </w:pPr>
          </w:p>
        </w:tc>
        <w:tc>
          <w:tcPr>
            <w:tcW w:w="893" w:type="dxa"/>
            <w:vMerge w:val="continue"/>
          </w:tcPr>
          <w:p w14:paraId="4947CFDA">
            <w:pPr>
              <w:widowControl/>
              <w:jc w:val="left"/>
              <w:rPr>
                <w:rFonts w:ascii="仿宋" w:hAnsi="仿宋" w:eastAsia="仿宋" w:cs="仿宋"/>
                <w:color w:val="000000"/>
                <w:kern w:val="0"/>
                <w:sz w:val="24"/>
              </w:rPr>
            </w:pPr>
          </w:p>
        </w:tc>
        <w:tc>
          <w:tcPr>
            <w:tcW w:w="5657" w:type="dxa"/>
          </w:tcPr>
          <w:p w14:paraId="1DCD4A45">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演示者将所有学生移动终端一键关机，有一台学生移动终端未成功关机扣0.5分，扣完为止。</w:t>
            </w:r>
          </w:p>
        </w:tc>
        <w:tc>
          <w:tcPr>
            <w:tcW w:w="2470" w:type="dxa"/>
          </w:tcPr>
          <w:p w14:paraId="4FDF1722">
            <w:pPr>
              <w:widowControl/>
              <w:spacing w:line="360" w:lineRule="auto"/>
              <w:ind w:firstLine="960" w:firstLineChars="400"/>
              <w:jc w:val="left"/>
              <w:rPr>
                <w:rFonts w:ascii="仿宋" w:hAnsi="仿宋" w:eastAsia="仿宋" w:cs="仿宋"/>
                <w:sz w:val="28"/>
                <w:szCs w:val="28"/>
                <w:lang w:val="zh-CN"/>
              </w:rPr>
            </w:pPr>
            <w:r>
              <w:rPr>
                <w:rFonts w:hint="eastAsia" w:ascii="仿宋" w:hAnsi="仿宋" w:eastAsia="仿宋" w:cs="仿宋"/>
                <w:color w:val="000000"/>
                <w:kern w:val="0"/>
                <w:sz w:val="24"/>
              </w:rPr>
              <w:t>0-0.5分</w:t>
            </w:r>
          </w:p>
        </w:tc>
      </w:tr>
    </w:tbl>
    <w:p w14:paraId="5A097FCA">
      <w:pPr>
        <w:widowControl/>
        <w:jc w:val="left"/>
        <w:rPr>
          <w:rFonts w:ascii="仿宋" w:hAnsi="仿宋" w:eastAsia="仿宋" w:cs="仿宋"/>
          <w:b/>
          <w:color w:val="000000"/>
          <w:kern w:val="0"/>
          <w:sz w:val="24"/>
          <w:szCs w:val="24"/>
        </w:rPr>
      </w:pPr>
    </w:p>
    <w:p w14:paraId="2DA2E598">
      <w:pPr>
        <w:widowControl/>
        <w:jc w:val="left"/>
        <w:rPr>
          <w:rFonts w:ascii="仿宋" w:hAnsi="仿宋" w:eastAsia="仿宋" w:cs="仿宋"/>
        </w:rPr>
      </w:pPr>
      <w:r>
        <w:rPr>
          <w:rFonts w:hint="eastAsia" w:ascii="仿宋" w:hAnsi="仿宋" w:eastAsia="仿宋" w:cs="仿宋"/>
          <w:b/>
          <w:color w:val="000000"/>
          <w:kern w:val="0"/>
          <w:sz w:val="24"/>
          <w:szCs w:val="24"/>
        </w:rPr>
        <w:t xml:space="preserve">注：1、无论何种原因，即使投标人开标时携带了证书材料的原件，但在投标文件中未提供与之内容完全一致的影印件或复印件的，评标委员会可以视同其未提供。 </w:t>
      </w:r>
    </w:p>
    <w:p w14:paraId="5C7A4930">
      <w:pPr>
        <w:widowControl/>
        <w:jc w:val="left"/>
        <w:rPr>
          <w:rFonts w:ascii="仿宋" w:hAnsi="仿宋" w:eastAsia="仿宋" w:cs="仿宋"/>
          <w:color w:val="000000"/>
          <w:kern w:val="0"/>
          <w:sz w:val="24"/>
          <w:szCs w:val="24"/>
        </w:rPr>
      </w:pPr>
      <w:r>
        <w:rPr>
          <w:rFonts w:hint="eastAsia" w:ascii="仿宋" w:hAnsi="仿宋" w:eastAsia="仿宋" w:cs="仿宋"/>
          <w:b/>
          <w:color w:val="000000"/>
          <w:kern w:val="0"/>
          <w:sz w:val="24"/>
          <w:szCs w:val="24"/>
        </w:rPr>
        <w:t xml:space="preserve">2、以上所涉及到的奖项、业绩、证书及有关证明等所有资料，无需提供原件。投标文件中均要提供影印件或复印件，并保证清晰易于辨认。若因为影印件不清晰影响评标委员会评标的，其后果由投标人自行承担。未提供的不予计分。 </w:t>
      </w:r>
    </w:p>
    <w:p w14:paraId="69B419A4">
      <w:pPr>
        <w:rPr>
          <w:rFonts w:ascii="仿宋" w:hAnsi="仿宋" w:eastAsia="仿宋" w:cs="仿宋"/>
          <w:b/>
          <w:bCs/>
          <w:sz w:val="28"/>
          <w:szCs w:val="28"/>
          <w:lang w:val="zh-CN"/>
        </w:rPr>
      </w:pPr>
      <w:r>
        <w:rPr>
          <w:rFonts w:hint="eastAsia" w:ascii="仿宋" w:hAnsi="仿宋" w:eastAsia="仿宋" w:cs="仿宋"/>
          <w:b/>
          <w:bCs/>
          <w:sz w:val="28"/>
          <w:szCs w:val="28"/>
          <w:lang w:val="zh-CN"/>
        </w:rPr>
        <w:t>五、推荐中标候选人</w:t>
      </w:r>
    </w:p>
    <w:p w14:paraId="1F750159">
      <w:pPr>
        <w:widowControl/>
        <w:jc w:val="left"/>
        <w:rPr>
          <w:rFonts w:ascii="仿宋" w:hAnsi="仿宋" w:eastAsia="仿宋" w:cs="仿宋"/>
          <w:sz w:val="24"/>
          <w:szCs w:val="24"/>
          <w:lang w:val="zh-CN"/>
        </w:rPr>
      </w:pPr>
      <w:r>
        <w:rPr>
          <w:rFonts w:hint="eastAsia" w:ascii="仿宋" w:hAnsi="仿宋" w:eastAsia="仿宋" w:cs="仿宋"/>
          <w:sz w:val="24"/>
          <w:szCs w:val="24"/>
        </w:rPr>
        <w:t>1、</w:t>
      </w:r>
      <w:r>
        <w:rPr>
          <w:rFonts w:hint="eastAsia" w:ascii="仿宋" w:hAnsi="仿宋" w:eastAsia="仿宋" w:cs="仿宋"/>
          <w:color w:val="000000"/>
          <w:kern w:val="0"/>
          <w:sz w:val="24"/>
          <w:szCs w:val="24"/>
        </w:rPr>
        <w:t>以上所有评审条款按所有评委打分的算术平均值计取，结果保留两位小数。</w:t>
      </w:r>
      <w:r>
        <w:rPr>
          <w:rFonts w:hint="eastAsia" w:ascii="仿宋" w:hAnsi="仿宋" w:eastAsia="仿宋" w:cs="仿宋"/>
          <w:sz w:val="24"/>
          <w:szCs w:val="24"/>
          <w:lang w:val="zh-CN"/>
        </w:rPr>
        <w:t>评标委员会根据合格投标单位的投标报价由低到高的顺序推荐中标候选人，若投标单位的投标报价相等，通过抽签方式确定。</w:t>
      </w:r>
    </w:p>
    <w:p w14:paraId="04BB1958">
      <w:pPr>
        <w:ind w:firstLine="240" w:firstLineChars="100"/>
        <w:rPr>
          <w:rFonts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zh-CN"/>
        </w:rPr>
        <w:t>、评委会在评标过程中发现的问题，应当及时作出处理或者向招标人提出处理建议，并作书面记录。</w:t>
      </w:r>
    </w:p>
    <w:p w14:paraId="3291EA53">
      <w:pPr>
        <w:ind w:firstLine="240" w:firstLineChars="100"/>
        <w:rPr>
          <w:rFonts w:ascii="仿宋" w:hAnsi="仿宋" w:eastAsia="仿宋" w:cs="仿宋"/>
          <w:sz w:val="24"/>
          <w:szCs w:val="24"/>
          <w:lang w:val="zh-CN"/>
        </w:rPr>
      </w:pPr>
      <w:r>
        <w:rPr>
          <w:rFonts w:hint="eastAsia" w:ascii="仿宋" w:hAnsi="仿宋" w:eastAsia="仿宋" w:cs="仿宋"/>
          <w:sz w:val="24"/>
          <w:szCs w:val="24"/>
        </w:rPr>
        <w:t>3</w:t>
      </w:r>
      <w:r>
        <w:rPr>
          <w:rFonts w:hint="eastAsia" w:ascii="仿宋" w:hAnsi="仿宋" w:eastAsia="仿宋" w:cs="仿宋"/>
          <w:sz w:val="24"/>
          <w:szCs w:val="24"/>
          <w:lang w:val="zh-CN"/>
        </w:rPr>
        <w:t>、评标后，评委会应写出评审纪要并签字。评审纪要是评委会根据全体评标成员签字的原始评标记录和评标结果编写的报告，评委会全体成员及监督员均须在评审纪要上签字。评审纪要应如实记录本次评标的主要过程，全面反映评标过程中的各种不同的意见，以及其他澄清、说明、补正事项。</w:t>
      </w:r>
    </w:p>
    <w:p w14:paraId="4FB9EBBB">
      <w:pPr>
        <w:ind w:firstLine="240" w:firstLineChars="100"/>
        <w:rPr>
          <w:rFonts w:ascii="仿宋" w:hAnsi="仿宋" w:eastAsia="仿宋" w:cs="仿宋"/>
          <w:sz w:val="24"/>
          <w:szCs w:val="24"/>
          <w:lang w:val="zh-CN"/>
        </w:rPr>
      </w:pPr>
      <w:r>
        <w:rPr>
          <w:rFonts w:hint="eastAsia" w:ascii="仿宋" w:hAnsi="仿宋" w:eastAsia="仿宋" w:cs="仿宋"/>
          <w:sz w:val="24"/>
          <w:szCs w:val="24"/>
        </w:rPr>
        <w:t>4</w:t>
      </w:r>
      <w:r>
        <w:rPr>
          <w:rFonts w:hint="eastAsia" w:ascii="仿宋" w:hAnsi="仿宋" w:eastAsia="仿宋" w:cs="仿宋"/>
          <w:sz w:val="24"/>
          <w:szCs w:val="24"/>
          <w:lang w:val="zh-CN"/>
        </w:rPr>
        <w:t>、评委会和评标工作人员应严格遵守国家的法律、法规和规章制度；严格按照本次采购文件进行评标；公正廉洁、不徇私情，不得损害国家利益；保护招、投标人的合法权益。</w:t>
      </w:r>
    </w:p>
    <w:p w14:paraId="7976AF90">
      <w:pPr>
        <w:ind w:firstLine="240" w:firstLineChars="100"/>
        <w:rPr>
          <w:rFonts w:ascii="仿宋" w:hAnsi="仿宋" w:eastAsia="仿宋" w:cs="仿宋"/>
          <w:sz w:val="24"/>
          <w:szCs w:val="24"/>
          <w:lang w:val="zh-CN"/>
        </w:rPr>
      </w:pPr>
      <w:r>
        <w:rPr>
          <w:rFonts w:hint="eastAsia" w:ascii="仿宋" w:hAnsi="仿宋" w:eastAsia="仿宋" w:cs="仿宋"/>
          <w:sz w:val="24"/>
          <w:szCs w:val="24"/>
        </w:rPr>
        <w:t>5</w:t>
      </w:r>
      <w:r>
        <w:rPr>
          <w:rFonts w:hint="eastAsia" w:ascii="仿宋" w:hAnsi="仿宋" w:eastAsia="仿宋" w:cs="仿宋"/>
          <w:sz w:val="24"/>
          <w:szCs w:val="24"/>
          <w:lang w:val="zh-CN"/>
        </w:rPr>
        <w:t>、在评标过程中，评委、秘书组及其他评标工作人员必须对评标情况严格保密，任何人不得将评标情况透露给与投标人有关的单位和个人。如有违反评标纪律的情况发生，将依据《中华人民共和国政府采购法》及其他有关法律法规的规定，追究有关当事人的责任。</w:t>
      </w:r>
    </w:p>
    <w:p w14:paraId="6956D99B">
      <w:pPr>
        <w:ind w:firstLine="240" w:firstLineChars="100"/>
        <w:rPr>
          <w:rFonts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val="zh-CN"/>
        </w:rPr>
        <w:t>本评标办法的解释权属于招标人所有。</w:t>
      </w:r>
    </w:p>
    <w:bookmarkEnd w:id="53"/>
    <w:p w14:paraId="7502BDBB">
      <w:pPr>
        <w:spacing w:line="360" w:lineRule="auto"/>
        <w:rPr>
          <w:rFonts w:ascii="仿宋" w:hAnsi="仿宋" w:eastAsia="仿宋" w:cs="仿宋"/>
          <w:b/>
          <w:bCs/>
          <w:kern w:val="44"/>
          <w:sz w:val="24"/>
          <w:szCs w:val="24"/>
          <w:lang w:val="zh-CN"/>
        </w:rPr>
      </w:pPr>
      <w:bookmarkStart w:id="56" w:name="OLE_LINK1"/>
      <w:bookmarkStart w:id="57" w:name="EB3d4af2d507734cbc8a3de65689bb2fcc"/>
    </w:p>
    <w:bookmarkEnd w:id="56"/>
    <w:bookmarkEnd w:id="57"/>
    <w:p w14:paraId="415526A6">
      <w:pPr>
        <w:adjustRightInd w:val="0"/>
        <w:snapToGrid w:val="0"/>
        <w:spacing w:line="360" w:lineRule="auto"/>
        <w:rPr>
          <w:rFonts w:ascii="仿宋" w:hAnsi="仿宋" w:eastAsia="仿宋" w:cs="仿宋"/>
          <w:b/>
          <w:bCs/>
          <w:sz w:val="24"/>
          <w:szCs w:val="24"/>
        </w:rPr>
      </w:pPr>
      <w:bookmarkStart w:id="58" w:name="_Toc518556909"/>
      <w:bookmarkStart w:id="59" w:name="_Toc407096149"/>
      <w:bookmarkStart w:id="60" w:name="_Toc9816"/>
    </w:p>
    <w:p w14:paraId="69122530">
      <w:pPr>
        <w:adjustRightInd w:val="0"/>
        <w:snapToGrid w:val="0"/>
        <w:spacing w:line="360" w:lineRule="auto"/>
        <w:jc w:val="center"/>
        <w:rPr>
          <w:rFonts w:ascii="仿宋" w:hAnsi="仿宋" w:eastAsia="仿宋" w:cs="仿宋"/>
          <w:b/>
          <w:bCs/>
          <w:sz w:val="24"/>
          <w:szCs w:val="24"/>
        </w:rPr>
      </w:pPr>
    </w:p>
    <w:p w14:paraId="7DE6C352">
      <w:pPr>
        <w:adjustRightInd w:val="0"/>
        <w:snapToGrid w:val="0"/>
        <w:spacing w:line="360" w:lineRule="auto"/>
        <w:jc w:val="center"/>
        <w:rPr>
          <w:rFonts w:ascii="仿宋" w:hAnsi="仿宋" w:eastAsia="仿宋" w:cs="仿宋"/>
          <w:b/>
          <w:bCs/>
          <w:sz w:val="24"/>
          <w:szCs w:val="24"/>
        </w:rPr>
      </w:pPr>
    </w:p>
    <w:p w14:paraId="71D44E2E">
      <w:pPr>
        <w:adjustRightInd w:val="0"/>
        <w:snapToGrid w:val="0"/>
        <w:spacing w:line="360" w:lineRule="auto"/>
        <w:jc w:val="center"/>
        <w:rPr>
          <w:rFonts w:ascii="仿宋" w:hAnsi="仿宋" w:eastAsia="仿宋" w:cs="仿宋"/>
          <w:b/>
          <w:bCs/>
          <w:sz w:val="24"/>
          <w:szCs w:val="24"/>
        </w:rPr>
      </w:pPr>
    </w:p>
    <w:p w14:paraId="487EF325">
      <w:pPr>
        <w:adjustRightInd w:val="0"/>
        <w:snapToGrid w:val="0"/>
        <w:spacing w:line="360" w:lineRule="auto"/>
        <w:jc w:val="center"/>
        <w:rPr>
          <w:rFonts w:ascii="仿宋" w:hAnsi="仿宋" w:eastAsia="仿宋" w:cs="仿宋"/>
          <w:b/>
          <w:bCs/>
          <w:sz w:val="24"/>
          <w:szCs w:val="24"/>
        </w:rPr>
      </w:pPr>
    </w:p>
    <w:p w14:paraId="681E8A22">
      <w:pPr>
        <w:adjustRightInd w:val="0"/>
        <w:snapToGrid w:val="0"/>
        <w:spacing w:line="360" w:lineRule="auto"/>
        <w:jc w:val="center"/>
        <w:rPr>
          <w:rFonts w:ascii="仿宋" w:hAnsi="仿宋" w:eastAsia="仿宋" w:cs="仿宋"/>
          <w:b/>
          <w:bCs/>
          <w:sz w:val="24"/>
          <w:szCs w:val="24"/>
        </w:rPr>
      </w:pPr>
    </w:p>
    <w:p w14:paraId="19634F50">
      <w:pPr>
        <w:adjustRightInd w:val="0"/>
        <w:snapToGrid w:val="0"/>
        <w:spacing w:line="360" w:lineRule="auto"/>
        <w:jc w:val="center"/>
        <w:rPr>
          <w:rFonts w:ascii="仿宋" w:hAnsi="仿宋" w:eastAsia="仿宋" w:cs="仿宋"/>
          <w:b/>
          <w:bCs/>
          <w:sz w:val="24"/>
          <w:szCs w:val="24"/>
        </w:rPr>
      </w:pPr>
    </w:p>
    <w:p w14:paraId="1A903CA2">
      <w:pPr>
        <w:adjustRightInd w:val="0"/>
        <w:snapToGrid w:val="0"/>
        <w:spacing w:line="360" w:lineRule="auto"/>
        <w:jc w:val="center"/>
        <w:rPr>
          <w:rFonts w:ascii="仿宋" w:hAnsi="仿宋" w:eastAsia="仿宋" w:cs="仿宋"/>
          <w:b/>
          <w:bCs/>
          <w:sz w:val="24"/>
          <w:szCs w:val="24"/>
        </w:rPr>
      </w:pPr>
    </w:p>
    <w:p w14:paraId="0B31E9A2">
      <w:pPr>
        <w:adjustRightInd w:val="0"/>
        <w:snapToGrid w:val="0"/>
        <w:spacing w:line="360" w:lineRule="auto"/>
        <w:jc w:val="center"/>
        <w:rPr>
          <w:rFonts w:ascii="仿宋" w:hAnsi="仿宋" w:eastAsia="仿宋" w:cs="仿宋"/>
          <w:b/>
          <w:bCs/>
          <w:sz w:val="24"/>
          <w:szCs w:val="24"/>
        </w:rPr>
      </w:pPr>
    </w:p>
    <w:p w14:paraId="1666D13B">
      <w:pPr>
        <w:adjustRightInd w:val="0"/>
        <w:snapToGrid w:val="0"/>
        <w:spacing w:line="360" w:lineRule="auto"/>
        <w:jc w:val="center"/>
        <w:rPr>
          <w:rFonts w:ascii="仿宋" w:hAnsi="仿宋" w:eastAsia="仿宋" w:cs="仿宋"/>
          <w:b/>
          <w:bCs/>
          <w:sz w:val="24"/>
          <w:szCs w:val="24"/>
        </w:rPr>
      </w:pPr>
    </w:p>
    <w:p w14:paraId="2768EC21">
      <w:pPr>
        <w:adjustRightInd w:val="0"/>
        <w:snapToGrid w:val="0"/>
        <w:spacing w:line="360" w:lineRule="auto"/>
        <w:jc w:val="center"/>
        <w:rPr>
          <w:rFonts w:ascii="仿宋" w:hAnsi="仿宋" w:eastAsia="仿宋" w:cs="仿宋"/>
          <w:b/>
          <w:bCs/>
          <w:sz w:val="24"/>
          <w:szCs w:val="24"/>
        </w:rPr>
      </w:pPr>
      <w:r>
        <w:rPr>
          <w:rFonts w:hint="eastAsia" w:ascii="仿宋" w:hAnsi="仿宋" w:eastAsia="仿宋" w:cs="仿宋"/>
          <w:b/>
          <w:bCs/>
          <w:sz w:val="24"/>
          <w:szCs w:val="24"/>
        </w:rPr>
        <w:t>评标办法相关政策文件</w:t>
      </w:r>
    </w:p>
    <w:p w14:paraId="59FDED73">
      <w:pPr>
        <w:adjustRightInd w:val="0"/>
        <w:snapToGrid w:val="0"/>
        <w:spacing w:line="360" w:lineRule="auto"/>
        <w:jc w:val="center"/>
        <w:rPr>
          <w:rFonts w:ascii="仿宋" w:hAnsi="仿宋" w:eastAsia="仿宋" w:cs="仿宋"/>
          <w:b/>
          <w:bCs/>
          <w:sz w:val="24"/>
          <w:szCs w:val="24"/>
        </w:rPr>
      </w:pPr>
      <w:r>
        <w:rPr>
          <w:rFonts w:hint="eastAsia" w:ascii="仿宋" w:hAnsi="仿宋" w:eastAsia="仿宋" w:cs="仿宋"/>
          <w:b/>
          <w:bCs/>
          <w:sz w:val="24"/>
          <w:szCs w:val="24"/>
        </w:rPr>
        <w:t>《安徽省财政厅关于进一步深化政府采购“放管服”改革的通知》（财购【2018】75号）</w:t>
      </w:r>
    </w:p>
    <w:p w14:paraId="258E5851">
      <w:pPr>
        <w:spacing w:line="360" w:lineRule="auto"/>
        <w:ind w:firstLine="480" w:firstLineChars="200"/>
        <w:jc w:val="left"/>
        <w:rPr>
          <w:rFonts w:ascii="仿宋" w:hAnsi="仿宋" w:eastAsia="仿宋" w:cs="仿宋"/>
          <w:b/>
          <w:bCs/>
          <w:sz w:val="24"/>
          <w:szCs w:val="24"/>
        </w:rPr>
      </w:pPr>
      <w:r>
        <w:rPr>
          <w:rFonts w:hint="eastAsia" w:ascii="仿宋" w:hAnsi="仿宋" w:eastAsia="仿宋" w:cs="仿宋"/>
          <w:sz w:val="24"/>
          <w:szCs w:val="24"/>
        </w:rPr>
        <w:t>在提交投标文件或者经评审实质性响应招标文件要求的供应商不足三家时，依据《安徽省财政厅关于进一步深化政府采购“放管服”改革的通知》（财购【2018】75号）文件规定，在招标文件没有不合理条款、招标程序合格规定时，采购人可以在评审现场提出采用非公开招标方式（单一来源除外）采购。征询现场符合条件的供应商同意，且现场所有评审专家出具招标文件没有不合理条款、集中采购机构出具的招标程序等符合规定的书面意见，报经财政部门同意后可现场实施。</w:t>
      </w:r>
    </w:p>
    <w:p w14:paraId="6BEEB137">
      <w:pPr>
        <w:adjustRightInd w:val="0"/>
        <w:snapToGrid w:val="0"/>
        <w:spacing w:line="360" w:lineRule="auto"/>
        <w:jc w:val="center"/>
        <w:rPr>
          <w:rFonts w:ascii="仿宋" w:hAnsi="仿宋" w:eastAsia="仿宋" w:cs="仿宋"/>
          <w:b/>
          <w:bCs/>
          <w:sz w:val="24"/>
          <w:szCs w:val="24"/>
        </w:rPr>
      </w:pPr>
      <w:r>
        <w:rPr>
          <w:rFonts w:hint="eastAsia" w:ascii="仿宋" w:hAnsi="仿宋" w:eastAsia="仿宋" w:cs="仿宋"/>
          <w:b/>
          <w:bCs/>
          <w:sz w:val="24"/>
          <w:szCs w:val="24"/>
        </w:rPr>
        <w:t>《政府采购促进中小企业发展暂行办法》的通知</w:t>
      </w:r>
    </w:p>
    <w:p w14:paraId="71FABF43">
      <w:pPr>
        <w:adjustRightInd w:val="0"/>
        <w:snapToGrid w:val="0"/>
        <w:spacing w:line="360" w:lineRule="auto"/>
        <w:ind w:firstLine="480" w:firstLineChars="200"/>
        <w:jc w:val="left"/>
        <w:rPr>
          <w:rFonts w:ascii="仿宋" w:hAnsi="仿宋" w:eastAsia="仿宋" w:cs="仿宋"/>
          <w:bCs/>
          <w:sz w:val="24"/>
          <w:szCs w:val="24"/>
        </w:rPr>
      </w:pPr>
      <w:r>
        <w:rPr>
          <w:rFonts w:hint="eastAsia" w:ascii="仿宋" w:hAnsi="仿宋" w:eastAsia="仿宋" w:cs="仿宋"/>
          <w:bCs/>
          <w:sz w:val="24"/>
          <w:szCs w:val="24"/>
        </w:rPr>
        <w:t>中小企业（含中型、小型、微型企业，）应当同时符合以下条件：</w:t>
      </w:r>
    </w:p>
    <w:p w14:paraId="7C89B186">
      <w:pPr>
        <w:adjustRightInd w:val="0"/>
        <w:snapToGrid w:val="0"/>
        <w:spacing w:line="360" w:lineRule="auto"/>
        <w:ind w:firstLine="480" w:firstLineChars="200"/>
        <w:jc w:val="left"/>
        <w:rPr>
          <w:rFonts w:ascii="仿宋" w:hAnsi="仿宋" w:eastAsia="仿宋" w:cs="仿宋"/>
          <w:bCs/>
          <w:sz w:val="24"/>
          <w:szCs w:val="24"/>
        </w:rPr>
      </w:pPr>
      <w:r>
        <w:rPr>
          <w:rFonts w:hint="eastAsia" w:ascii="仿宋" w:hAnsi="仿宋" w:eastAsia="仿宋" w:cs="仿宋"/>
          <w:bCs/>
          <w:sz w:val="24"/>
          <w:szCs w:val="24"/>
        </w:rPr>
        <w:t>（一）符合中小企业划分标准；</w:t>
      </w:r>
    </w:p>
    <w:p w14:paraId="0A1F8002">
      <w:pPr>
        <w:adjustRightInd w:val="0"/>
        <w:snapToGrid w:val="0"/>
        <w:spacing w:line="360" w:lineRule="auto"/>
        <w:ind w:firstLine="480" w:firstLineChars="200"/>
        <w:jc w:val="left"/>
        <w:rPr>
          <w:rFonts w:ascii="仿宋" w:hAnsi="仿宋" w:eastAsia="仿宋" w:cs="仿宋"/>
          <w:bCs/>
          <w:sz w:val="24"/>
          <w:szCs w:val="24"/>
        </w:rPr>
      </w:pPr>
      <w:r>
        <w:rPr>
          <w:rFonts w:hint="eastAsia" w:ascii="仿宋" w:hAnsi="仿宋" w:eastAsia="仿宋" w:cs="仿宋"/>
          <w:bCs/>
          <w:sz w:val="24"/>
          <w:szCs w:val="24"/>
        </w:rPr>
        <w:t>（二）提供本企业制造的货物、承担的工程或者服务，或者提供其他中小企业制造的货物。本项所称货物不包括使用大型企业注册商标的货物。</w:t>
      </w:r>
    </w:p>
    <w:p w14:paraId="638F9B90">
      <w:pPr>
        <w:adjustRightInd w:val="0"/>
        <w:snapToGrid w:val="0"/>
        <w:spacing w:line="360" w:lineRule="auto"/>
        <w:ind w:firstLine="480" w:firstLineChars="200"/>
        <w:jc w:val="left"/>
        <w:rPr>
          <w:rFonts w:ascii="仿宋" w:hAnsi="仿宋" w:eastAsia="仿宋" w:cs="仿宋"/>
          <w:bCs/>
          <w:sz w:val="24"/>
          <w:szCs w:val="24"/>
        </w:rPr>
      </w:pPr>
      <w:r>
        <w:rPr>
          <w:rFonts w:hint="eastAsia" w:ascii="仿宋" w:hAnsi="仿宋" w:eastAsia="仿宋" w:cs="仿宋"/>
          <w:bCs/>
          <w:sz w:val="24"/>
          <w:szCs w:val="24"/>
        </w:rPr>
        <w:t>本办法所称中小企业划分标准，是指国务院有关部门根据企业从业人员、营业收入、资产总额等指标制定的中小企业划型标准。</w:t>
      </w:r>
    </w:p>
    <w:p w14:paraId="341763B3">
      <w:pPr>
        <w:adjustRightInd w:val="0"/>
        <w:snapToGrid w:val="0"/>
        <w:spacing w:line="360" w:lineRule="auto"/>
        <w:ind w:firstLine="482" w:firstLineChars="200"/>
        <w:jc w:val="left"/>
        <w:rPr>
          <w:rFonts w:ascii="仿宋" w:hAnsi="仿宋" w:eastAsia="仿宋" w:cs="仿宋"/>
          <w:b/>
          <w:bCs/>
          <w:sz w:val="24"/>
          <w:szCs w:val="24"/>
          <w:u w:val="single"/>
        </w:rPr>
      </w:pPr>
      <w:r>
        <w:rPr>
          <w:rFonts w:hint="eastAsia" w:ascii="仿宋" w:hAnsi="仿宋" w:eastAsia="仿宋" w:cs="仿宋"/>
          <w:b/>
          <w:bCs/>
          <w:sz w:val="24"/>
          <w:szCs w:val="24"/>
          <w:u w:val="single"/>
        </w:rPr>
        <w:t>小型、微型企业提供中型企业制造的货物的，视同为中型企业。</w:t>
      </w:r>
    </w:p>
    <w:p w14:paraId="294800D9">
      <w:pPr>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对于非专门面向中小企业的项目，采购人或者采购代理机构应当在招标文件或者谈判文件、询价文件中做出规定，对小型和微型企业产品的价格给予6%～8%的扣除，用扣除后的价格参与评审，具体扣除比例由采购人或者采购代理机构确定。（本次招标项目中，对小型和微型企业产品的价格扣除比例详见投标报价评分标准）</w:t>
      </w:r>
    </w:p>
    <w:p w14:paraId="1536B6D2">
      <w:pPr>
        <w:adjustRightInd w:val="0"/>
        <w:snapToGrid w:val="0"/>
        <w:spacing w:line="360" w:lineRule="auto"/>
        <w:ind w:firstLine="480" w:firstLineChars="200"/>
        <w:jc w:val="left"/>
        <w:rPr>
          <w:rFonts w:ascii="仿宋" w:hAnsi="仿宋" w:eastAsia="仿宋" w:cs="仿宋"/>
          <w:bCs/>
          <w:sz w:val="24"/>
          <w:szCs w:val="24"/>
        </w:rPr>
      </w:pPr>
      <w:r>
        <w:rPr>
          <w:rFonts w:hint="eastAsia" w:ascii="仿宋" w:hAnsi="仿宋" w:eastAsia="仿宋" w:cs="仿宋"/>
          <w:bCs/>
          <w:sz w:val="24"/>
          <w:szCs w:val="24"/>
        </w:rPr>
        <w:t>参加政府采购活动的中小企业应当提供本办法规定的</w:t>
      </w:r>
      <w:r>
        <w:rPr>
          <w:rFonts w:hint="eastAsia" w:ascii="仿宋" w:hAnsi="仿宋" w:eastAsia="仿宋" w:cs="仿宋"/>
          <w:b/>
          <w:bCs/>
          <w:sz w:val="24"/>
          <w:szCs w:val="24"/>
        </w:rPr>
        <w:t>《中小企业声明函》（见附件）</w:t>
      </w:r>
      <w:r>
        <w:rPr>
          <w:rFonts w:hint="eastAsia" w:ascii="仿宋" w:hAnsi="仿宋" w:eastAsia="仿宋" w:cs="仿宋"/>
          <w:bCs/>
          <w:sz w:val="24"/>
          <w:szCs w:val="24"/>
        </w:rPr>
        <w:t>。</w:t>
      </w:r>
    </w:p>
    <w:p w14:paraId="2E1A61DF">
      <w:pPr>
        <w:adjustRightInd w:val="0"/>
        <w:snapToGrid w:val="0"/>
        <w:spacing w:line="360" w:lineRule="auto"/>
        <w:ind w:firstLine="482" w:firstLineChars="200"/>
        <w:rPr>
          <w:rFonts w:ascii="仿宋" w:hAnsi="仿宋" w:eastAsia="仿宋" w:cs="仿宋"/>
          <w:b/>
          <w:bCs/>
          <w:sz w:val="24"/>
          <w:szCs w:val="24"/>
        </w:rPr>
      </w:pPr>
    </w:p>
    <w:p w14:paraId="6EB489E6">
      <w:pPr>
        <w:adjustRightInd w:val="0"/>
        <w:snapToGrid w:val="0"/>
        <w:spacing w:line="360" w:lineRule="auto"/>
        <w:ind w:firstLine="482" w:firstLineChars="200"/>
        <w:jc w:val="center"/>
        <w:rPr>
          <w:rFonts w:ascii="仿宋" w:hAnsi="仿宋" w:eastAsia="仿宋" w:cs="仿宋"/>
          <w:b/>
          <w:bCs/>
          <w:sz w:val="24"/>
          <w:szCs w:val="24"/>
        </w:rPr>
      </w:pPr>
      <w:r>
        <w:rPr>
          <w:rFonts w:hint="eastAsia" w:ascii="仿宋" w:hAnsi="仿宋" w:eastAsia="仿宋" w:cs="仿宋"/>
          <w:b/>
          <w:bCs/>
          <w:sz w:val="24"/>
          <w:szCs w:val="24"/>
        </w:rPr>
        <w:t>财政部 发展改革委 生态环境部 市场监管总局</w:t>
      </w:r>
    </w:p>
    <w:p w14:paraId="265BB6E0">
      <w:pPr>
        <w:adjustRightInd w:val="0"/>
        <w:snapToGrid w:val="0"/>
        <w:spacing w:line="360" w:lineRule="auto"/>
        <w:ind w:firstLine="482" w:firstLineChars="200"/>
        <w:jc w:val="center"/>
        <w:rPr>
          <w:rFonts w:ascii="仿宋" w:hAnsi="仿宋" w:eastAsia="仿宋" w:cs="仿宋"/>
          <w:b/>
          <w:bCs/>
          <w:sz w:val="24"/>
          <w:szCs w:val="24"/>
        </w:rPr>
      </w:pPr>
      <w:r>
        <w:rPr>
          <w:rFonts w:hint="eastAsia" w:ascii="仿宋" w:hAnsi="仿宋" w:eastAsia="仿宋" w:cs="仿宋"/>
          <w:b/>
          <w:bCs/>
          <w:sz w:val="24"/>
          <w:szCs w:val="24"/>
        </w:rPr>
        <w:t>《关于调整优化节能产品 环境标注产品政府采购执行机制的通知》</w:t>
      </w:r>
    </w:p>
    <w:p w14:paraId="6B74C998">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采购的产品属于节能产品、环境标志清单中品目的，在性能、技术、服务等指标同等条件下，应当优先采购品目清单内的产品。（供应商须自行提供国家确定的认证机构出具的、处于有效期之内的节能产品、环境标志产品认证证书）</w:t>
      </w:r>
    </w:p>
    <w:p w14:paraId="2E5969EE">
      <w:pPr>
        <w:rPr>
          <w:rFonts w:ascii="仿宋" w:hAnsi="仿宋" w:eastAsia="仿宋" w:cs="仿宋"/>
        </w:rPr>
      </w:pPr>
    </w:p>
    <w:p w14:paraId="37E57C80">
      <w:pPr>
        <w:rPr>
          <w:rFonts w:ascii="仿宋" w:hAnsi="仿宋" w:eastAsia="仿宋" w:cs="仿宋"/>
        </w:rPr>
      </w:pPr>
    </w:p>
    <w:bookmarkEnd w:id="58"/>
    <w:bookmarkEnd w:id="59"/>
    <w:bookmarkEnd w:id="60"/>
    <w:p w14:paraId="52D3E771">
      <w:pPr>
        <w:pStyle w:val="5"/>
        <w:rPr>
          <w:rFonts w:ascii="仿宋" w:hAnsi="仿宋" w:eastAsia="仿宋" w:cs="仿宋"/>
          <w:sz w:val="32"/>
          <w:szCs w:val="32"/>
        </w:rPr>
      </w:pPr>
      <w:r>
        <w:rPr>
          <w:rFonts w:hint="eastAsia" w:ascii="仿宋" w:hAnsi="仿宋" w:eastAsia="仿宋" w:cs="仿宋"/>
          <w:sz w:val="32"/>
          <w:szCs w:val="32"/>
        </w:rPr>
        <w:t>第五章 供应商须知</w:t>
      </w:r>
    </w:p>
    <w:p w14:paraId="605E1ECC">
      <w:pPr>
        <w:pStyle w:val="7"/>
        <w:rPr>
          <w:rFonts w:ascii="仿宋" w:hAnsi="仿宋" w:eastAsia="仿宋" w:cs="仿宋"/>
          <w:sz w:val="24"/>
          <w:szCs w:val="24"/>
        </w:rPr>
      </w:pPr>
      <w:bookmarkStart w:id="61" w:name="_Hlt509650686"/>
      <w:bookmarkEnd w:id="61"/>
      <w:bookmarkStart w:id="62" w:name="_Hlt509650955"/>
      <w:bookmarkEnd w:id="62"/>
      <w:bookmarkStart w:id="63" w:name="_Hlt509649998"/>
      <w:bookmarkEnd w:id="63"/>
      <w:bookmarkStart w:id="64" w:name="_Hlt509649722"/>
      <w:bookmarkEnd w:id="64"/>
      <w:bookmarkStart w:id="65" w:name="_Hlt509650126"/>
      <w:bookmarkEnd w:id="65"/>
      <w:bookmarkStart w:id="66" w:name="_Hlt526418143"/>
      <w:bookmarkEnd w:id="66"/>
      <w:bookmarkStart w:id="67" w:name="_Toc407096150"/>
      <w:r>
        <w:rPr>
          <w:rFonts w:hint="eastAsia" w:ascii="仿宋" w:hAnsi="仿宋" w:eastAsia="仿宋" w:cs="仿宋"/>
          <w:sz w:val="24"/>
          <w:szCs w:val="24"/>
        </w:rPr>
        <w:t>一．总则</w:t>
      </w:r>
      <w:bookmarkEnd w:id="67"/>
    </w:p>
    <w:p w14:paraId="2D93F698">
      <w:pPr>
        <w:adjustRightInd w:val="0"/>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1.适用范围</w:t>
      </w:r>
    </w:p>
    <w:p w14:paraId="4D5E7E79">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1.1本采购文件仅适用于本次公开招标所述的货物项目采购。</w:t>
      </w:r>
    </w:p>
    <w:p w14:paraId="17F327A2">
      <w:pPr>
        <w:adjustRightInd w:val="0"/>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2.有关定义</w:t>
      </w:r>
    </w:p>
    <w:p w14:paraId="3579EB83">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2.1政府采购监督管理部门：系指淮南市公共资源交易监督管理局。</w:t>
      </w:r>
    </w:p>
    <w:p w14:paraId="52D77429">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2.2采购人：系指本次采购项目的业主方。</w:t>
      </w:r>
    </w:p>
    <w:p w14:paraId="3AF4A851">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2.3委托人：系指本次采购项目的委托方。</w:t>
      </w:r>
    </w:p>
    <w:p w14:paraId="77E6F25E">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2.4供应商：系指购买了本招标文件，且已经提交或准备提交本次投标文件的制造商、供应商或服务商。</w:t>
      </w:r>
    </w:p>
    <w:p w14:paraId="7EF60C13">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2.5货物及服务：系指各种形态和种类的物品，包括原材料、燃料、设备、产品等，包括与之相关的备品备件、工具、手册及安装、调试、技术协助、校准、培训、售后服务等。</w:t>
      </w:r>
    </w:p>
    <w:p w14:paraId="48DC3076">
      <w:pPr>
        <w:adjustRightInd w:val="0"/>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3.投标费用</w:t>
      </w:r>
    </w:p>
    <w:p w14:paraId="3E7777DF">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3.1无论投标结果如何，供应商应自行承担其编制与递交投标文件所涉及的一切费用。本项目的专家评审费用由中标供应商承担。</w:t>
      </w:r>
    </w:p>
    <w:p w14:paraId="06CDA8B4">
      <w:pPr>
        <w:adjustRightInd w:val="0"/>
        <w:snapToGrid w:val="0"/>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4.合格的供应商</w:t>
      </w:r>
    </w:p>
    <w:p w14:paraId="27D19878">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4.1合格的供应商应符合招标文件载明的投标资格。</w:t>
      </w:r>
    </w:p>
    <w:p w14:paraId="066FEF57">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4.2供应商之间如果存在下列情形之一的，不得同时参加同一标段（包别）或者不分标段（包别）的同一项目投标：</w:t>
      </w:r>
    </w:p>
    <w:p w14:paraId="2CDC9A41">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4.2.1法定代表人为同一个人的两个及两个以上法人；</w:t>
      </w:r>
    </w:p>
    <w:p w14:paraId="0AC5C6F4">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4.2.2母公司、全资子公司及其控股公司；</w:t>
      </w:r>
    </w:p>
    <w:p w14:paraId="67508B47">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4.2.3参加投标的其他组织之间存在特殊的利害关系的；</w:t>
      </w:r>
    </w:p>
    <w:p w14:paraId="63F5570B">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4.2.4法律和行政法规规定的其他情形。</w:t>
      </w:r>
    </w:p>
    <w:p w14:paraId="0F710F8A">
      <w:pPr>
        <w:adjustRightInd w:val="0"/>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5.勘察现场</w:t>
      </w:r>
    </w:p>
    <w:p w14:paraId="031843A8">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5.1供应商应自行对供货现场和周围环境进行勘察，以获取编制投标文件和签署合同所需的资料。勘察现场的方式、地址及联系方式见投标须知前附表。</w:t>
      </w:r>
    </w:p>
    <w:p w14:paraId="5CFD7761">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勘察现场所发生的费用由供应商自行承担。采购人向供应商提供的有关供货现场的资料和数据，是采购人现有的能使供应商利用的资料。采购人对供应商由此而做出的推论、理解和结论概不负责。供应商未到供货现场实地踏勘的，中标后签订合同时和履约过程中，不得以不完全了解现场情况为由，提出任何形式的增加合同价款或索赔的要求。</w:t>
      </w:r>
    </w:p>
    <w:p w14:paraId="17D9EC7E">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5.3除非有特殊要求，招标文件不单独提供供货使用地的自然环境、气候条件、公用设施等情况，供应商被视为熟悉上述与履行合同有关的一切情况。</w:t>
      </w:r>
    </w:p>
    <w:p w14:paraId="3D2400D2">
      <w:pPr>
        <w:adjustRightInd w:val="0"/>
        <w:snapToGrid w:val="0"/>
        <w:spacing w:line="360" w:lineRule="auto"/>
        <w:ind w:firstLine="482" w:firstLineChars="200"/>
        <w:rPr>
          <w:rFonts w:ascii="仿宋" w:hAnsi="仿宋" w:eastAsia="仿宋" w:cs="仿宋"/>
          <w:bCs/>
          <w:sz w:val="24"/>
          <w:szCs w:val="24"/>
        </w:rPr>
      </w:pPr>
      <w:r>
        <w:rPr>
          <w:rFonts w:hint="eastAsia" w:ascii="仿宋" w:hAnsi="仿宋" w:eastAsia="仿宋" w:cs="仿宋"/>
          <w:b/>
          <w:sz w:val="24"/>
          <w:szCs w:val="24"/>
        </w:rPr>
        <w:t>6.知识产权</w:t>
      </w:r>
    </w:p>
    <w:p w14:paraId="726D3DAD">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sz w:val="24"/>
          <w:szCs w:val="24"/>
        </w:rPr>
        <w:t>6.1</w:t>
      </w:r>
      <w:r>
        <w:rPr>
          <w:rFonts w:hint="eastAsia" w:ascii="仿宋" w:hAnsi="仿宋" w:eastAsia="仿宋" w:cs="仿宋"/>
          <w:bCs/>
          <w:sz w:val="24"/>
          <w:szCs w:val="24"/>
        </w:rPr>
        <w:t>供应商须保证，采购人在中华人民共和国境内使用投标货物、资料、技术、服务或其任何一部分时，享有不受限制的无偿使用权，不会产生因第三方提出侵犯其专利权、商标权或其它知识产权而引起的法律或经济纠纷。如供应商不拥有相应的知识产权，则在投标报价中必须包括合法获取该知识产权的一切相关费用。</w:t>
      </w:r>
      <w:r>
        <w:rPr>
          <w:rFonts w:hint="eastAsia" w:ascii="仿宋" w:hAnsi="仿宋" w:eastAsia="仿宋" w:cs="仿宋"/>
          <w:sz w:val="24"/>
          <w:szCs w:val="24"/>
        </w:rPr>
        <w:t>如因此导致采购人损失的，供应商须承担全部赔偿责任。</w:t>
      </w:r>
    </w:p>
    <w:p w14:paraId="61BE760C">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6.2供应商如欲在项目实施过程中采用自有知识成果，须在投标文件中声明，并提供相关知识产权证明文件。使用该知识成果后，供应商须提供开发接口和开发手册等技术文档。</w:t>
      </w:r>
    </w:p>
    <w:p w14:paraId="5360AB0C">
      <w:pPr>
        <w:adjustRightInd w:val="0"/>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7.纪律与保密</w:t>
      </w:r>
    </w:p>
    <w:p w14:paraId="7ED156C5">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7.1供应商的投标行为应遵守中国的有关法律、法规和规章。</w:t>
      </w:r>
    </w:p>
    <w:p w14:paraId="49262A3C">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7.2供应商不得相互串通投标报价，不得妨碍其他供应商的公平竞争，不得损害采购人或其他供应商的合法权益，供应商不得以向采购人、评委会成员行贿或者采取其他不正当手段谋取中标。</w:t>
      </w:r>
    </w:p>
    <w:p w14:paraId="208796CA">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7.2.1有下列情形之一的，属于供应商相互串通投标：</w:t>
      </w:r>
    </w:p>
    <w:p w14:paraId="7BEF4164">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7.2.1.1供应商之间协商投标报价等投标文件的实质性内容；</w:t>
      </w:r>
    </w:p>
    <w:p w14:paraId="5120BF62">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7.2.1.2供应商之间约定成交供应商；</w:t>
      </w:r>
    </w:p>
    <w:p w14:paraId="50CFCBFF">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7.2.1.3供应商之间约定部分供应商放弃投标或者中标；</w:t>
      </w:r>
    </w:p>
    <w:p w14:paraId="28461120">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7.2.1.4属于同一集团、协会、商会等组织成员的供应商按照该组织要求协同投标；</w:t>
      </w:r>
    </w:p>
    <w:p w14:paraId="1C012E39">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7.2.1.5供应商之间为谋取中标或者排斥特定供应商而采取的其他联合行动。</w:t>
      </w:r>
    </w:p>
    <w:p w14:paraId="5E75C708">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7.2.2 有下列情形之一的，视为供应商相互串通投标：</w:t>
      </w:r>
    </w:p>
    <w:p w14:paraId="537C14CC">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7.2.2.1不同供应商的投标文件由同一单位或者个人编制；</w:t>
      </w:r>
    </w:p>
    <w:p w14:paraId="7D4D71EB">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7.2.2.2不同供应商委托同一单位或者个人办理投标事宜；</w:t>
      </w:r>
    </w:p>
    <w:p w14:paraId="17C41D1A">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7.2.2.3不同供应商的投标文件载明的项目管理成员为同一人；</w:t>
      </w:r>
    </w:p>
    <w:p w14:paraId="5960D128">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7.2.2.4不同供应商的投标文件异常一致或者投标报价呈规律性差异；</w:t>
      </w:r>
    </w:p>
    <w:p w14:paraId="648C608C">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7.2.2.5不同供应商的投标文件相互混装；</w:t>
      </w:r>
    </w:p>
    <w:p w14:paraId="6E6519DA">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7.2.2.6不同供应商的投标保证金从同一单位或者个人的账户转出。</w:t>
      </w:r>
    </w:p>
    <w:p w14:paraId="6923082E">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7.3在确定成交供应商之前，供应商不得与采购人就投标价格、投标方案等实质性内容进行谈判，也不得私下接触评委会成员。</w:t>
      </w:r>
    </w:p>
    <w:p w14:paraId="7194780B">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7.4在确定成交供应商之前，供应商试图在投标文件审查、澄清、比较和评价时对评委会施加任何影响都可能导致其投标无效。</w:t>
      </w:r>
    </w:p>
    <w:p w14:paraId="7674006E">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7.5由采购人向供应商提供的图纸、详细资料、样品、模型、模件和所有其它资料，被视为保密资料，仅被用于它所规定的用途。除非得到采购人的同意，不能向任何第三方透露。</w:t>
      </w:r>
    </w:p>
    <w:p w14:paraId="451413C4">
      <w:pPr>
        <w:adjustRightInd w:val="0"/>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8.联合体投标（本项目不采用）</w:t>
      </w:r>
    </w:p>
    <w:p w14:paraId="58B0532B">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8.1除非本项目明确要求不接受联合体形式投标外，两个或两个以上供应商可以组成一个联合体投标，以一个供应商的身份投标。</w:t>
      </w:r>
    </w:p>
    <w:p w14:paraId="2751A4CD">
      <w:pPr>
        <w:adjustRightInd w:val="0"/>
        <w:snapToGrid w:val="0"/>
        <w:spacing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8.2以联合体形式参加投标的，联合体各方均应当符合《政府采购法》第二十二条第一款规定的条件，根据采购项目的特殊要求规定供应商特定条件的，联合体各方中至少应当有一方符合。</w:t>
      </w:r>
    </w:p>
    <w:p w14:paraId="6E689227">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bCs/>
          <w:sz w:val="24"/>
          <w:szCs w:val="24"/>
        </w:rPr>
        <w:t>8.3</w:t>
      </w:r>
      <w:r>
        <w:rPr>
          <w:rFonts w:hint="eastAsia" w:ascii="仿宋" w:hAnsi="仿宋" w:eastAsia="仿宋" w:cs="仿宋"/>
          <w:sz w:val="24"/>
          <w:szCs w:val="24"/>
        </w:rPr>
        <w:t>联合体各方之间应当签订联合体协议，明确约定联合体各方应当承担的工作和相应的责任，并将联合体协议连同投标文件一并提交采购人。由同一专业的单位组成的联合体，按照同一资质等级较低的单位确定资质等级。联合体各方签订联合体协议后，不得再以自己的名义单独在同一项目中投标，也不得组成新的联合体参加同一项目投标。</w:t>
      </w:r>
    </w:p>
    <w:p w14:paraId="4B8E8DE7">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8.4联合体投标的，可以由联合体中的一方或者共同提交投标保证金，以一方名义提交保证金的，对联合体各方均具有约束力。</w:t>
      </w:r>
    </w:p>
    <w:p w14:paraId="6A5C58AB">
      <w:pPr>
        <w:adjustRightInd w:val="0"/>
        <w:snapToGrid w:val="0"/>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9.投标品牌</w:t>
      </w:r>
    </w:p>
    <w:p w14:paraId="09B78DE9">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9.1招标文件中提供的参考商标、品牌或标准（包括工艺、材料、设备、样本目录号码、标准等），是采购人为了方便供应商更准确、更清楚说明拟采购货物的技术规格和标准，并无限制性。供应商在投标中若选用替代商标、品牌或标准，应优于或相当于参考商标、品牌或标准。</w:t>
      </w:r>
    </w:p>
    <w:p w14:paraId="34FDFFB1">
      <w:pPr>
        <w:adjustRightInd w:val="0"/>
        <w:snapToGrid w:val="0"/>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10.合同标的转让</w:t>
      </w:r>
    </w:p>
    <w:p w14:paraId="1438AA54">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10.1合同未约定或者未经采购人同意，成交供应商不得向他人转让中标项目，也不得将中标项目肢解后分别向他人转让。 </w:t>
      </w:r>
    </w:p>
    <w:p w14:paraId="3F2A8884">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10.2合同约定或者经采购人同意，成交供应商可以将中标项目的部分非主体、非关键性工作分包给他人完成。接受分包的人应当具备相应的资格条件，并不得再次分包。如果本项目允许分包，采购人根据采购项目的实际情况，拟在中标后将中标项目的非主体、非关键性工作交由他人完成的，应在投标文件中载明。</w:t>
      </w:r>
    </w:p>
    <w:p w14:paraId="083B478F">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10.3成交供应商应当就分包项目向采购人负责，接受分包的人就分包项目承担连带责任。</w:t>
      </w:r>
    </w:p>
    <w:p w14:paraId="13465246">
      <w:pPr>
        <w:pStyle w:val="7"/>
        <w:rPr>
          <w:rFonts w:ascii="仿宋" w:hAnsi="仿宋" w:eastAsia="仿宋" w:cs="仿宋"/>
          <w:sz w:val="24"/>
          <w:szCs w:val="24"/>
        </w:rPr>
      </w:pPr>
      <w:bookmarkStart w:id="68" w:name="_Hlt509649678"/>
      <w:bookmarkEnd w:id="68"/>
      <w:bookmarkStart w:id="69" w:name="_Hlt509650961"/>
      <w:bookmarkEnd w:id="69"/>
      <w:bookmarkStart w:id="70" w:name="_Hlt526418153"/>
      <w:bookmarkEnd w:id="70"/>
      <w:bookmarkStart w:id="71" w:name="_Hlt509650932"/>
      <w:bookmarkEnd w:id="71"/>
      <w:bookmarkStart w:id="72" w:name="_Hlt509649645"/>
      <w:bookmarkEnd w:id="72"/>
      <w:bookmarkStart w:id="73" w:name="_Hlt509649330"/>
      <w:bookmarkEnd w:id="73"/>
      <w:bookmarkStart w:id="74" w:name="_Hlt509649669"/>
      <w:bookmarkEnd w:id="74"/>
      <w:bookmarkStart w:id="75" w:name="_Hlt509650929"/>
      <w:bookmarkEnd w:id="75"/>
      <w:bookmarkStart w:id="76" w:name="_Hlt509650116"/>
      <w:bookmarkEnd w:id="76"/>
      <w:bookmarkStart w:id="77" w:name="_Hlt509650936"/>
      <w:bookmarkEnd w:id="77"/>
      <w:bookmarkStart w:id="78" w:name="_Hlt509650690"/>
      <w:bookmarkEnd w:id="78"/>
      <w:bookmarkStart w:id="79" w:name="_Hlt509650333"/>
      <w:bookmarkEnd w:id="79"/>
      <w:bookmarkStart w:id="80" w:name="_Hlt509649795"/>
      <w:bookmarkEnd w:id="80"/>
      <w:bookmarkStart w:id="81" w:name="_Hlt509650103"/>
      <w:bookmarkEnd w:id="81"/>
      <w:bookmarkStart w:id="82" w:name="_Toc407096151"/>
      <w:r>
        <w:rPr>
          <w:rFonts w:hint="eastAsia" w:ascii="仿宋" w:hAnsi="仿宋" w:eastAsia="仿宋" w:cs="仿宋"/>
          <w:sz w:val="24"/>
          <w:szCs w:val="24"/>
        </w:rPr>
        <w:t>二．招标文件</w:t>
      </w:r>
      <w:bookmarkEnd w:id="82"/>
      <w:bookmarkStart w:id="83" w:name="_Hlt509649791"/>
      <w:bookmarkEnd w:id="83"/>
      <w:bookmarkStart w:id="84" w:name="_Hlt509649930"/>
      <w:bookmarkEnd w:id="84"/>
      <w:bookmarkStart w:id="85" w:name="_Hlt509650361"/>
      <w:bookmarkEnd w:id="85"/>
    </w:p>
    <w:p w14:paraId="153430B9">
      <w:pPr>
        <w:adjustRightInd w:val="0"/>
        <w:snapToGrid w:val="0"/>
        <w:spacing w:line="360" w:lineRule="auto"/>
        <w:ind w:firstLine="482" w:firstLineChars="200"/>
        <w:rPr>
          <w:rFonts w:ascii="仿宋" w:hAnsi="仿宋" w:eastAsia="仿宋" w:cs="仿宋"/>
          <w:b/>
          <w:sz w:val="24"/>
          <w:szCs w:val="24"/>
        </w:rPr>
      </w:pPr>
      <w:bookmarkStart w:id="86" w:name="_Hlt509650734"/>
      <w:bookmarkEnd w:id="86"/>
      <w:r>
        <w:rPr>
          <w:rFonts w:hint="eastAsia" w:ascii="仿宋" w:hAnsi="仿宋" w:eastAsia="仿宋" w:cs="仿宋"/>
          <w:b/>
          <w:sz w:val="24"/>
          <w:szCs w:val="24"/>
        </w:rPr>
        <w:t>11.招标文件构成</w:t>
      </w:r>
    </w:p>
    <w:p w14:paraId="56725CA5">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11.1招标文件包括以下部分：详见目录</w:t>
      </w:r>
    </w:p>
    <w:p w14:paraId="1AF6DAB3">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11.2供应商应认真阅读招标文件中所有的事项、格式、条件、条款和规范等要求。</w:t>
      </w:r>
    </w:p>
    <w:p w14:paraId="6A639BE7">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11.3供应商应当按照招标文件的要求编制投标文件。投标文件应对招标文件提出的要求和条件作出实质性响应。</w:t>
      </w:r>
    </w:p>
    <w:p w14:paraId="121FCB5A">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11.4供应商获取招标文件后，应仔细检查招标文件的所有内容，如有残缺等问题应在获得招标文件3日内向采购人或采购代理机构提出，否则，由此引起的损失由供应商自行承担。</w:t>
      </w:r>
    </w:p>
    <w:p w14:paraId="73C60547">
      <w:pPr>
        <w:adjustRightInd w:val="0"/>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12.答疑及招标文件的澄清与修改</w:t>
      </w:r>
    </w:p>
    <w:p w14:paraId="0F3C9BCD">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12.1供应商如果对招标文件、工程量清单、控制价等招标文件的其他任何内容有相关疑问，可以于投标须知前附表列明的答疑接受时间前，以网上形式向采购人和采购代理机构提出。</w:t>
      </w:r>
    </w:p>
    <w:p w14:paraId="1F3600B6">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12.2采购代理机构对招标文件进行的澄清、更正或更改，将在网站上及时发布，该公告内容为招标文件的组成部分，对供应商具有同样约束力效力。供应商应主动上网查询。采购人和代理机构不承担供应商未及时关注相关信息引发的相关责任。</w:t>
      </w:r>
    </w:p>
    <w:p w14:paraId="09091E1B">
      <w:pPr>
        <w:pStyle w:val="7"/>
        <w:rPr>
          <w:rFonts w:ascii="仿宋" w:hAnsi="仿宋" w:eastAsia="仿宋" w:cs="仿宋"/>
          <w:sz w:val="24"/>
          <w:szCs w:val="24"/>
        </w:rPr>
      </w:pPr>
      <w:bookmarkStart w:id="87" w:name="_Hlt509650697"/>
      <w:bookmarkEnd w:id="87"/>
      <w:bookmarkStart w:id="88" w:name="_Hlt510342861"/>
      <w:bookmarkEnd w:id="88"/>
      <w:bookmarkStart w:id="89" w:name="_Hlt509649724"/>
      <w:bookmarkEnd w:id="89"/>
      <w:bookmarkStart w:id="90" w:name="_Toc407096152"/>
    </w:p>
    <w:p w14:paraId="2B485389">
      <w:pPr>
        <w:pStyle w:val="7"/>
        <w:rPr>
          <w:rFonts w:ascii="仿宋" w:hAnsi="仿宋" w:eastAsia="仿宋" w:cs="仿宋"/>
          <w:sz w:val="24"/>
          <w:szCs w:val="24"/>
        </w:rPr>
      </w:pPr>
      <w:r>
        <w:rPr>
          <w:rFonts w:hint="eastAsia" w:ascii="仿宋" w:hAnsi="仿宋" w:eastAsia="仿宋" w:cs="仿宋"/>
          <w:sz w:val="24"/>
          <w:szCs w:val="24"/>
        </w:rPr>
        <w:t>三．投标文件的编制</w:t>
      </w:r>
      <w:bookmarkEnd w:id="90"/>
    </w:p>
    <w:p w14:paraId="5409D8AB">
      <w:pPr>
        <w:adjustRightInd w:val="0"/>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13.投标文件构成与格式</w:t>
      </w:r>
    </w:p>
    <w:p w14:paraId="19815C40">
      <w:pPr>
        <w:adjustRightInd w:val="0"/>
        <w:snapToGrid w:val="0"/>
        <w:spacing w:line="360" w:lineRule="auto"/>
        <w:ind w:firstLine="480" w:firstLineChars="200"/>
        <w:rPr>
          <w:rFonts w:ascii="仿宋" w:hAnsi="仿宋" w:eastAsia="仿宋" w:cs="仿宋"/>
          <w:sz w:val="24"/>
          <w:szCs w:val="24"/>
        </w:rPr>
      </w:pPr>
      <w:bookmarkStart w:id="91" w:name="_Hlt509650345"/>
      <w:bookmarkEnd w:id="91"/>
      <w:r>
        <w:rPr>
          <w:rFonts w:hint="eastAsia" w:ascii="仿宋" w:hAnsi="仿宋" w:eastAsia="仿宋" w:cs="仿宋"/>
          <w:sz w:val="24"/>
          <w:szCs w:val="24"/>
        </w:rPr>
        <w:t>13.1投标文件是对招标文件的实质性响应及承诺文件。</w:t>
      </w:r>
    </w:p>
    <w:p w14:paraId="1DD26A4A">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13.2</w:t>
      </w:r>
      <w:r>
        <w:rPr>
          <w:rFonts w:hint="eastAsia" w:ascii="仿宋" w:hAnsi="仿宋" w:eastAsia="仿宋" w:cs="仿宋"/>
          <w:bCs/>
          <w:sz w:val="24"/>
          <w:szCs w:val="24"/>
        </w:rPr>
        <w:t>除非注明“供应商可自行制作格式”，投标文件应使用招标文件提供的格式。</w:t>
      </w:r>
    </w:p>
    <w:p w14:paraId="2D378D4D">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bCs/>
          <w:sz w:val="24"/>
          <w:szCs w:val="24"/>
        </w:rPr>
        <w:t>13.3除专用术语外，投标文件以及供应商与采购人就有关投标的往来函电均应使用中文。供应商提交的支持性文件和印制的文件可以用另一种语言，但相应内容应翻译成中文，对不同文字文本投标文件的解释发生异议的，以中文文本为准。</w:t>
      </w:r>
    </w:p>
    <w:p w14:paraId="7F3FF602">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13.4除非招标文件另有规定，投标文件应使用中华人民共和国法定计量单位。</w:t>
      </w:r>
    </w:p>
    <w:p w14:paraId="7CC96131">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13.5除非招标文件另有规定，投标文件应使用人民币填报所有报价。允许以多种货币报价的，或涉及合同金额等计算的，均按照中国银行在开标日公布的汇率中间价换算成人民币。</w:t>
      </w:r>
    </w:p>
    <w:p w14:paraId="31825C2B">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13.6供应商资质证书（或资格证明）处于换证、升级、变更等期间，除非法律法规或发证机构有书面材料明确表明供应商资质（或资格)有效，否则一律不予认可。</w:t>
      </w:r>
    </w:p>
    <w:p w14:paraId="650364CB">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13.7</w:t>
      </w:r>
      <w:r>
        <w:rPr>
          <w:rFonts w:hint="eastAsia" w:ascii="仿宋" w:hAnsi="仿宋" w:eastAsia="仿宋" w:cs="仿宋"/>
          <w:b/>
          <w:bCs/>
          <w:sz w:val="24"/>
          <w:szCs w:val="24"/>
        </w:rPr>
        <w:t>纸质投标文件</w:t>
      </w:r>
      <w:r>
        <w:rPr>
          <w:rFonts w:hint="eastAsia" w:ascii="仿宋" w:hAnsi="仿宋" w:eastAsia="仿宋" w:cs="仿宋"/>
          <w:sz w:val="24"/>
          <w:szCs w:val="24"/>
        </w:rPr>
        <w:t>应编制连续页码，除特殊规格的图纸或方案、图片资料等外，均应按A4规格制作，为节约和环保，建议纸质投标文件双面打印。</w:t>
      </w:r>
    </w:p>
    <w:p w14:paraId="097E743F">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13.8电报、电话、传真形式的投标概不接受。</w:t>
      </w:r>
    </w:p>
    <w:p w14:paraId="66F22DF5">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13.9采购人一律不予退还供应商的投标文件。</w:t>
      </w:r>
    </w:p>
    <w:p w14:paraId="7F5E4CD3">
      <w:pPr>
        <w:adjustRightInd w:val="0"/>
        <w:snapToGrid w:val="0"/>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14.报价</w:t>
      </w:r>
    </w:p>
    <w:p w14:paraId="51AA21E7">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14.1供应商应以“包”为报价的基本单位。若整个需求分为若干包，则供应商可选择其中的部分或所有包报价。包内所有项目均应报价（免费赠送的除外），否则将导致投标无效。</w:t>
      </w:r>
    </w:p>
    <w:p w14:paraId="6D5FBA9D">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14.2</w:t>
      </w:r>
      <w:bookmarkStart w:id="92" w:name="EB616bfadcee8947c09e287939cf58f192"/>
      <w:r>
        <w:rPr>
          <w:rFonts w:hint="eastAsia" w:ascii="仿宋" w:hAnsi="仿宋" w:eastAsia="仿宋" w:cs="仿宋"/>
          <w:sz w:val="24"/>
          <w:szCs w:val="24"/>
        </w:rPr>
        <w:t>供应商的报价应包含所投货物、保险、税费、包装、加工及加工损耗、运输、现场落地、安装及安装损耗、调试、检测验收和交付后约定期限内免费维保等工作所发生的一切应有费用。</w:t>
      </w:r>
      <w:bookmarkEnd w:id="92"/>
      <w:r>
        <w:rPr>
          <w:rFonts w:hint="eastAsia" w:ascii="仿宋" w:hAnsi="仿宋" w:eastAsia="仿宋" w:cs="仿宋"/>
          <w:sz w:val="24"/>
          <w:szCs w:val="24"/>
        </w:rPr>
        <w:t>投标报价为签订合同的依据。</w:t>
      </w:r>
    </w:p>
    <w:p w14:paraId="7C254892">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14.3供应商应在投标文件中注明拟提供货物的单价明细和总价。</w:t>
      </w:r>
    </w:p>
    <w:p w14:paraId="0C52ABEB">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14.4除非招标文件另有规定，每一包只允许有一个最终报价，任何有选择的报价或替代方案将导致投标无效。</w:t>
      </w:r>
    </w:p>
    <w:p w14:paraId="0B4CFD69">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14.5采购人不建议供应商采用总价优惠或以总价百分比优惠的方式进行投标报价，其优惠可直接计算并体现在各项投标报价的单价中。</w:t>
      </w:r>
    </w:p>
    <w:p w14:paraId="3F5AC4B6">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14.6除政策性文件规定以外，供应商所报价格在合同实施期间不因市场变化因素而变动。</w:t>
      </w:r>
    </w:p>
    <w:p w14:paraId="10AC279A">
      <w:pPr>
        <w:adjustRightInd w:val="0"/>
        <w:snapToGrid w:val="0"/>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15.投标内容填写及说明</w:t>
      </w:r>
    </w:p>
    <w:p w14:paraId="07E56BFF">
      <w:pPr>
        <w:adjustRightInd w:val="0"/>
        <w:snapToGrid w:val="0"/>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15.1投标文件须对招标文件载明的投标资格、技术、资信、服务、报价等全部要求和条件做出实质性和完整的响应，如果投标文件填报的内容资料不详，或没有提供招标文件中所要求的全部资料、证明及数据，将导致投标无效。</w:t>
      </w:r>
    </w:p>
    <w:p w14:paraId="6A356D6F">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15.2供应商应在投标文件中提交招标文件要求的有关证明文件（扫描或影印件上传），作为其投标文件的一部分。</w:t>
      </w:r>
    </w:p>
    <w:p w14:paraId="45B3A623">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15.3供应商应在投标文件中提交（以复印件或影印件上传）招标文件要求的所有货物的合格性以及符合招标文件规定的证明文件（可以是手册、图纸和资料）等，并作为其投标文件的一部分。包括：</w:t>
      </w:r>
    </w:p>
    <w:p w14:paraId="4D9E511B">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15.3.1货物主要性能（内容）的详细描述；</w:t>
      </w:r>
    </w:p>
    <w:p w14:paraId="6C9AC48C">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15.3.2保证所投货物正常、安全、连续运行期间所需的所有备品、备件及专用工具的详细清单。</w:t>
      </w:r>
    </w:p>
    <w:p w14:paraId="64DDBE60">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15.4投标文件应编排有序、内容齐全、不得任意涂改或增删。如有错漏处必须修改，应在修改处加盖供应商公章。</w:t>
      </w:r>
    </w:p>
    <w:p w14:paraId="4A75A572">
      <w:pPr>
        <w:adjustRightInd w:val="0"/>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16.投标保证金（现场递交）</w:t>
      </w:r>
    </w:p>
    <w:p w14:paraId="346A7CA6">
      <w:pPr>
        <w:adjustRightInd w:val="0"/>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17.投标有效期</w:t>
      </w:r>
    </w:p>
    <w:p w14:paraId="7411B0F8">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17.1为保证采购人有足够的时间完成评标和与成交供应商签订合同，规定投标有效期。投标有效期期限见投标须知前附表。</w:t>
      </w:r>
    </w:p>
    <w:p w14:paraId="6F9F6ECE">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17.2在投标有效期内，供应商的投标保持有效，供应商不得要求撤销或修改其投标文件。</w:t>
      </w:r>
    </w:p>
    <w:p w14:paraId="40FDFBF6">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17.3投标有效期从投标截止日起计算。</w:t>
      </w:r>
    </w:p>
    <w:p w14:paraId="008C5EAA">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17.4在原定投标有效期满之前，如果出现特殊情况，采购人和代理机构可以书面形式提出延长投标有效期的要求。供应商以书面形式予以答复，供应商可以拒绝这种要求而不被没收投标保证金。同意延长投标有效期的供应商不允许修改其投标文件的实质性内容，且需要相应地延长投标保证金的有效期。</w:t>
      </w:r>
    </w:p>
    <w:p w14:paraId="5BCE2766">
      <w:pPr>
        <w:pStyle w:val="7"/>
        <w:jc w:val="both"/>
        <w:rPr>
          <w:rFonts w:ascii="仿宋" w:hAnsi="仿宋" w:eastAsia="仿宋" w:cs="仿宋"/>
          <w:sz w:val="24"/>
          <w:szCs w:val="24"/>
        </w:rPr>
      </w:pPr>
      <w:bookmarkStart w:id="93" w:name="_Hlt509650572"/>
      <w:bookmarkEnd w:id="93"/>
      <w:bookmarkStart w:id="94" w:name="_Toc407096153"/>
      <w:r>
        <w:rPr>
          <w:rFonts w:hint="eastAsia" w:ascii="仿宋" w:hAnsi="仿宋" w:eastAsia="仿宋" w:cs="仿宋"/>
          <w:sz w:val="24"/>
          <w:szCs w:val="24"/>
        </w:rPr>
        <w:t>四．投标文件的递交</w:t>
      </w:r>
      <w:bookmarkEnd w:id="94"/>
      <w:bookmarkStart w:id="95" w:name="_Hlt509649414"/>
      <w:bookmarkEnd w:id="95"/>
      <w:r>
        <w:rPr>
          <w:rFonts w:hint="eastAsia" w:ascii="仿宋" w:hAnsi="仿宋" w:eastAsia="仿宋" w:cs="仿宋"/>
          <w:sz w:val="24"/>
          <w:szCs w:val="24"/>
        </w:rPr>
        <w:t>（投标截止时间前现场递交）</w:t>
      </w:r>
    </w:p>
    <w:p w14:paraId="7B7386A4">
      <w:pPr>
        <w:pStyle w:val="7"/>
        <w:jc w:val="both"/>
        <w:rPr>
          <w:rFonts w:ascii="仿宋" w:hAnsi="仿宋" w:eastAsia="仿宋" w:cs="仿宋"/>
          <w:sz w:val="24"/>
          <w:szCs w:val="24"/>
        </w:rPr>
      </w:pPr>
      <w:bookmarkStart w:id="96" w:name="_Hlt509649294"/>
      <w:bookmarkEnd w:id="96"/>
      <w:bookmarkStart w:id="97" w:name="_Toc407096154"/>
      <w:r>
        <w:rPr>
          <w:rFonts w:hint="eastAsia" w:ascii="仿宋" w:hAnsi="仿宋" w:eastAsia="仿宋" w:cs="仿宋"/>
          <w:sz w:val="24"/>
          <w:szCs w:val="24"/>
        </w:rPr>
        <w:t>五．开标与评标</w:t>
      </w:r>
      <w:bookmarkEnd w:id="97"/>
    </w:p>
    <w:p w14:paraId="267F1E69">
      <w:pPr>
        <w:adjustRightInd w:val="0"/>
        <w:snapToGrid w:val="0"/>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18、开标</w:t>
      </w:r>
    </w:p>
    <w:p w14:paraId="2FF161EB">
      <w:pPr>
        <w:adjustRightInd w:val="0"/>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18.1采购人按规定的时间、地点举行开标会议</w:t>
      </w:r>
    </w:p>
    <w:p w14:paraId="1B974D7A">
      <w:pPr>
        <w:adjustRightInd w:val="0"/>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18.2采购人将邀请所有供应商参加开标会议，供应商的法定代表人或其委托代理人应准时参加开标会议。</w:t>
      </w:r>
    </w:p>
    <w:p w14:paraId="176F1DB5">
      <w:pPr>
        <w:adjustRightInd w:val="0"/>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18.3唱标结束后，所有投标文件均提交评标委员会评审。</w:t>
      </w:r>
    </w:p>
    <w:p w14:paraId="2C33B6BF">
      <w:pPr>
        <w:adjustRightInd w:val="0"/>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19.投标文件的澄清、说明或补正</w:t>
      </w:r>
    </w:p>
    <w:p w14:paraId="227634F5">
      <w:pPr>
        <w:adjustRightInd w:val="0"/>
        <w:snapToGrid w:val="0"/>
        <w:spacing w:line="360" w:lineRule="auto"/>
        <w:ind w:firstLine="480" w:firstLineChars="200"/>
        <w:rPr>
          <w:rFonts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19.1为有助于投标的审查、评价和比较，评标委员会可以书面方式要求投标人对投标文件中含义不明确、对同类问题表述不一致或者有明显文字和计算错误的内容作必要的澄清、说明或补正。澄清、说明或补正不得超出投标文件的范围或改变投标文件的实质性内容。</w:t>
      </w:r>
    </w:p>
    <w:p w14:paraId="2C19B409">
      <w:pPr>
        <w:adjustRightInd w:val="0"/>
        <w:snapToGrid w:val="0"/>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19.2投标文件中大写金额和小写金额不一致的，以大写金额为准；总价金额与按单价汇总金额不一致的，以单价金额计算结果为准；单价金额小数点有明显错位的，应以总价为准，并修改单价。</w:t>
      </w:r>
    </w:p>
    <w:p w14:paraId="10E06D74">
      <w:pPr>
        <w:adjustRightInd w:val="0"/>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20.评标</w:t>
      </w:r>
    </w:p>
    <w:p w14:paraId="026965B8">
      <w:pPr>
        <w:adjustRightInd w:val="0"/>
        <w:snapToGrid w:val="0"/>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20.1 评委会将按照招标文件规定的评标办法对供应商进行独立评审。</w:t>
      </w:r>
    </w:p>
    <w:p w14:paraId="48698C75">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20.2初审时，评委会将首先审查投标文件是否实质上响应招标文件的初审指标要求。实质上响应的投标应与招标文件的全部条款、条件和规格相符，没有重大偏离或保留。所谓重大偏离或保留是指影响合同的供货范围、质量和性能等；或者在实质上与招标文件不一致，而且限制了合同中买方的权利或供应商的义务。这些偏离或保留将会对其他实质上响应要求的供应商的竞争地位产生不公正的影响。供应商不得通过修改或撤销不合要求的偏离或保留而使其投标成为响应性的投标。</w:t>
      </w:r>
    </w:p>
    <w:p w14:paraId="1356235D">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有下列情形之一的，评标委员会应当否决其投标：</w:t>
      </w:r>
    </w:p>
    <w:p w14:paraId="4A41E640">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20.2.1投标文件未经投标单位盖章的；</w:t>
      </w:r>
    </w:p>
    <w:p w14:paraId="5A01E643">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20.2.2投标联合体没有提交共同投标协议；</w:t>
      </w:r>
    </w:p>
    <w:p w14:paraId="4502D34D">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20.2.3供应商不符合国家或者招标文件规定的资格条件；</w:t>
      </w:r>
    </w:p>
    <w:p w14:paraId="7C8D8124">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20.2.4同一供应商提交两个以上不同的投标文件或者投标报价，但招标文件要求提交备选投标的除外；</w:t>
      </w:r>
    </w:p>
    <w:p w14:paraId="222237EA">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20.2.5投标报价低于成本或者高于招标文件设定的最高投标限价；</w:t>
      </w:r>
    </w:p>
    <w:p w14:paraId="3A8DBBD5">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20.2.6投标文件没有对招标文件的实质性要求和条件作出响应；</w:t>
      </w:r>
    </w:p>
    <w:p w14:paraId="4D3F16E2">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20.2.7供应商有串通投标、弄虚作假、行贿等违法行为。</w:t>
      </w:r>
    </w:p>
    <w:p w14:paraId="75A5EE6F">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20.3评审时，评委会将审查投标文件是否符合招标文件的评审指标要求。</w:t>
      </w:r>
    </w:p>
    <w:p w14:paraId="016777DF">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20.4如果投标文件未通过投标有效性评审，投标无效。</w:t>
      </w:r>
    </w:p>
    <w:p w14:paraId="11382FF1">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20.5评委会决定投标文件的响应性及符合性只根据投标文件本身的内容而不寻求其他外部证据。</w:t>
      </w:r>
    </w:p>
    <w:p w14:paraId="5DEE6F16">
      <w:pPr>
        <w:adjustRightInd w:val="0"/>
        <w:snapToGrid w:val="0"/>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21</w:t>
      </w:r>
      <w:r>
        <w:rPr>
          <w:rFonts w:hint="eastAsia" w:ascii="仿宋" w:hAnsi="仿宋" w:eastAsia="仿宋" w:cs="仿宋"/>
          <w:b/>
          <w:sz w:val="24"/>
          <w:szCs w:val="24"/>
        </w:rPr>
        <w:t>.</w:t>
      </w:r>
      <w:r>
        <w:rPr>
          <w:rFonts w:hint="eastAsia" w:ascii="仿宋" w:hAnsi="仿宋" w:eastAsia="仿宋" w:cs="仿宋"/>
          <w:b/>
          <w:bCs/>
          <w:sz w:val="24"/>
          <w:szCs w:val="24"/>
        </w:rPr>
        <w:t>废标处理</w:t>
      </w:r>
    </w:p>
    <w:p w14:paraId="013EFFDF">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21.1在招标采购中，出现下列情形之一的，评标委员会有权宣布废标：</w:t>
      </w:r>
    </w:p>
    <w:p w14:paraId="09999D4A">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21.1.1符合专业条件的供应商或对招标文件作实质响应的供应商不足规定家数的；</w:t>
      </w:r>
    </w:p>
    <w:p w14:paraId="70ED7A4D">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21.1.2供应商的报价均超过采购预算，采购人不能支付的；</w:t>
      </w:r>
    </w:p>
    <w:p w14:paraId="70F50D31">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21.1.3出现影响采购公正的违法、违规行为的；</w:t>
      </w:r>
    </w:p>
    <w:p w14:paraId="220B61D5">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21.1.4因重大变故，采购任务取消的。</w:t>
      </w:r>
    </w:p>
    <w:p w14:paraId="1DE8EC71">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21.1.5 其他应该废标的情形。</w:t>
      </w:r>
    </w:p>
    <w:p w14:paraId="672EA6BB">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废标后，采购人会把废标理由通知所有供应商。</w:t>
      </w:r>
    </w:p>
    <w:p w14:paraId="38A457ED">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21.2 因上条第一款第二项规定情形导致废标的，若采购人提出申请，报经政财政部门批准，可现场改为非招标方式，供应商有下列情形之一的，不得参加竞标：</w:t>
      </w:r>
    </w:p>
    <w:p w14:paraId="5FC3BDE3">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21.2.1购买标书后放弃参加投标的；</w:t>
      </w:r>
    </w:p>
    <w:p w14:paraId="694ED43B">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21.2.2未经采购人和采购代理机构允许，离开开标现场通知不上的；</w:t>
      </w:r>
    </w:p>
    <w:p w14:paraId="6B7F5101">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21.2.3不符合采购文件列明的专业条件的；</w:t>
      </w:r>
    </w:p>
    <w:p w14:paraId="6673C685">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21.2.4未按规定缴纳保证金的；</w:t>
      </w:r>
    </w:p>
    <w:p w14:paraId="409A18F1">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21.2.5有影响采购公正的违法、违规行为造成项目废标的；</w:t>
      </w:r>
    </w:p>
    <w:p w14:paraId="3A12F0CB">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21.2.6其他不符合资格条件的情况。</w:t>
      </w:r>
    </w:p>
    <w:p w14:paraId="1371120A">
      <w:pPr>
        <w:spacing w:line="360" w:lineRule="auto"/>
        <w:ind w:firstLine="482" w:firstLineChars="200"/>
        <w:jc w:val="left"/>
        <w:rPr>
          <w:rFonts w:ascii="仿宋" w:hAnsi="仿宋" w:eastAsia="仿宋" w:cs="仿宋"/>
          <w:sz w:val="24"/>
          <w:szCs w:val="24"/>
        </w:rPr>
      </w:pPr>
      <w:r>
        <w:rPr>
          <w:rFonts w:hint="eastAsia" w:ascii="仿宋" w:hAnsi="仿宋" w:eastAsia="仿宋" w:cs="仿宋"/>
          <w:b/>
          <w:sz w:val="24"/>
          <w:szCs w:val="24"/>
        </w:rPr>
        <w:t>重新招标和流标对策</w:t>
      </w:r>
    </w:p>
    <w:p w14:paraId="676B657F">
      <w:pPr>
        <w:spacing w:line="360" w:lineRule="auto"/>
        <w:ind w:firstLine="480" w:firstLineChars="200"/>
        <w:jc w:val="left"/>
        <w:rPr>
          <w:rFonts w:ascii="仿宋" w:hAnsi="仿宋" w:eastAsia="仿宋" w:cs="仿宋"/>
          <w:bCs/>
          <w:sz w:val="24"/>
          <w:szCs w:val="24"/>
        </w:rPr>
      </w:pPr>
      <w:r>
        <w:rPr>
          <w:rFonts w:hint="eastAsia" w:ascii="仿宋" w:hAnsi="仿宋" w:eastAsia="仿宋" w:cs="仿宋"/>
          <w:bCs/>
          <w:sz w:val="24"/>
          <w:szCs w:val="24"/>
        </w:rPr>
        <w:t>有下列情形之一的，采购人将重新招标：</w:t>
      </w:r>
    </w:p>
    <w:p w14:paraId="54807EDF">
      <w:pPr>
        <w:spacing w:line="360" w:lineRule="auto"/>
        <w:ind w:firstLine="480" w:firstLineChars="200"/>
        <w:jc w:val="left"/>
        <w:outlineLvl w:val="4"/>
        <w:rPr>
          <w:rFonts w:ascii="仿宋" w:hAnsi="仿宋" w:eastAsia="仿宋" w:cs="仿宋"/>
          <w:bCs/>
          <w:sz w:val="24"/>
          <w:szCs w:val="24"/>
        </w:rPr>
      </w:pPr>
      <w:r>
        <w:rPr>
          <w:rFonts w:hint="eastAsia" w:ascii="仿宋" w:hAnsi="仿宋" w:eastAsia="仿宋" w:cs="仿宋"/>
          <w:bCs/>
          <w:sz w:val="24"/>
          <w:szCs w:val="24"/>
        </w:rPr>
        <w:t>（1）至投标截止时间，供应商少于3个的；</w:t>
      </w:r>
    </w:p>
    <w:p w14:paraId="3850496A">
      <w:pPr>
        <w:spacing w:line="360" w:lineRule="auto"/>
        <w:ind w:firstLine="480" w:firstLineChars="200"/>
        <w:jc w:val="left"/>
        <w:outlineLvl w:val="4"/>
        <w:rPr>
          <w:rFonts w:ascii="仿宋" w:hAnsi="仿宋" w:eastAsia="仿宋" w:cs="仿宋"/>
          <w:bCs/>
          <w:sz w:val="24"/>
          <w:szCs w:val="24"/>
        </w:rPr>
      </w:pPr>
      <w:r>
        <w:rPr>
          <w:rFonts w:hint="eastAsia" w:ascii="仿宋" w:hAnsi="仿宋" w:eastAsia="仿宋" w:cs="仿宋"/>
          <w:bCs/>
          <w:sz w:val="24"/>
          <w:szCs w:val="24"/>
        </w:rPr>
        <w:t>（2）经评审委员会评审中，出现符合条件的供应商或对招标文件作出实质响应的供应商仅剩两家的情形，可由采购人现场向相关部门申请按规定变更为招标文件或竞争性磋商，进行本项目评审。如本项目招标失败，则根据评标委员会的流标原因分析结论以及建议，重新组织采购工作。</w:t>
      </w:r>
    </w:p>
    <w:p w14:paraId="3FF0B37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流标后依据《政府采购货物和服务招标投标管理办法》（中华人民共和国财政部令第87号）第四十三条规定，本项目可采用其他非招标方式进行采购。</w:t>
      </w:r>
    </w:p>
    <w:p w14:paraId="63C4B306">
      <w:pPr>
        <w:pStyle w:val="7"/>
        <w:rPr>
          <w:rFonts w:ascii="仿宋" w:hAnsi="仿宋" w:eastAsia="仿宋" w:cs="仿宋"/>
          <w:sz w:val="24"/>
          <w:szCs w:val="24"/>
        </w:rPr>
      </w:pPr>
      <w:bookmarkStart w:id="98" w:name="_Toc516969091"/>
      <w:bookmarkStart w:id="99" w:name="_Toc407096155"/>
      <w:r>
        <w:rPr>
          <w:rFonts w:hint="eastAsia" w:ascii="仿宋" w:hAnsi="仿宋" w:eastAsia="仿宋" w:cs="仿宋"/>
          <w:sz w:val="24"/>
          <w:szCs w:val="24"/>
        </w:rPr>
        <w:t>六．定标与签订合同</w:t>
      </w:r>
      <w:bookmarkEnd w:id="98"/>
      <w:bookmarkEnd w:id="99"/>
    </w:p>
    <w:p w14:paraId="174F6AB0">
      <w:pPr>
        <w:adjustRightInd w:val="0"/>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22.定标</w:t>
      </w:r>
    </w:p>
    <w:p w14:paraId="34A63BCF">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22.1 投标有效性评审后，评委会应当按招标文件规定的标准和方法提出独立评审意见，推荐成交候选人。</w:t>
      </w:r>
    </w:p>
    <w:p w14:paraId="442514BF">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22.2 排名前两名的成交候选人放弃中标、因不可抗力不能履行合同、不按照招标文件要求提交履约保证金，或者被查实存在影响中标结果的违法行为等情形，不符合中标条件的，采购人可以按照评标委员会提出的成交候选人名单排序依次确定其他成交候选人为成交供应商，也可以重新招标。</w:t>
      </w:r>
    </w:p>
    <w:p w14:paraId="2ADFA425">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22.3采购人依法将合同授予实质上响应招标文件要求的排名最前的成交候选人。</w:t>
      </w:r>
    </w:p>
    <w:p w14:paraId="12EC0251">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22.4 最低报价并不是被授予合同的保证。</w:t>
      </w:r>
    </w:p>
    <w:p w14:paraId="2B0FC29B">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22.5 凡发现成交候选人有下列行为之一的，其中标无效，并移交政府采购监督管理部门依法处理：</w:t>
      </w:r>
    </w:p>
    <w:p w14:paraId="4309F95D">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22.5.1 以他人名义投标、或提供虚假材料弄虚作假谋取中标的；</w:t>
      </w:r>
    </w:p>
    <w:p w14:paraId="210F94E0">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22.5.1.1以他人名义投标，是指使用通过受让或者租借等方式获取的资格、资质证书投标。</w:t>
      </w:r>
    </w:p>
    <w:p w14:paraId="54C3AF12">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22.5.1.2有供应商有下列情形之一的，属于弄虚作假的行为：</w:t>
      </w:r>
    </w:p>
    <w:p w14:paraId="47641507">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22.5.1.2.1使用伪造、变造的许可证件；</w:t>
      </w:r>
    </w:p>
    <w:p w14:paraId="3E1EE43A">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22.5.1.2.2提供虚假的财务状况或者业绩；</w:t>
      </w:r>
    </w:p>
    <w:p w14:paraId="231543C6">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22.5.1.2.3提供虚假的项目负责人或者主要技术人员简历、劳动关系证明；</w:t>
      </w:r>
    </w:p>
    <w:p w14:paraId="36923182">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22.5.1.2.4提供虚假的信用状况；</w:t>
      </w:r>
    </w:p>
    <w:p w14:paraId="62B7C77E">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22.5.1.2.5其他弄虚作假的行为。</w:t>
      </w:r>
    </w:p>
    <w:p w14:paraId="76257B1F">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22.5.2与采购人、其他供应商或者采购人工作人员恶意串通的；</w:t>
      </w:r>
    </w:p>
    <w:p w14:paraId="6888D4AD">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22.5.3向采购人、评审专家、采购人工作人员行贿或者提供其他不正当利益的；</w:t>
      </w:r>
    </w:p>
    <w:p w14:paraId="60CCE9C5">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22.5.4有法律、法规规定的其他损害采购人利益和社会公共利益情形的；</w:t>
      </w:r>
    </w:p>
    <w:p w14:paraId="1BE90035">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22.5.5其他违反招投标法律、法规和规章强制性规定的行为。</w:t>
      </w:r>
    </w:p>
    <w:p w14:paraId="3FF9953A">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22.6采购人将在淮南市公共资源交易中心网站上发布评审结果公告，公告时间为一个工作日。</w:t>
      </w:r>
    </w:p>
    <w:p w14:paraId="22BBAB80">
      <w:pPr>
        <w:adjustRightInd w:val="0"/>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23.中标通知书</w:t>
      </w:r>
    </w:p>
    <w:p w14:paraId="2CDF423C">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23.1采购人将以中标通知书形式通知成交供应商，其投标已被接受。</w:t>
      </w:r>
    </w:p>
    <w:p w14:paraId="077988AC">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23.2采购人对未中标的供应商不做未中标原因的解释。</w:t>
      </w:r>
    </w:p>
    <w:p w14:paraId="45E7E891">
      <w:pPr>
        <w:adjustRightInd w:val="0"/>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24.中标服务费</w:t>
      </w:r>
    </w:p>
    <w:p w14:paraId="7C828AFC">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24.1成交供应商在收到中标通知书后向采购代理机构缴纳中标服务费，可以现金或转账的形式缴纳。中标服务费的收取采用差额定率累进计费方式，具体收费标准按照供应商须知前附表规定收取。成交供应商须承担本项目会审及评标过程中发生的评审费用，在领取中标通知书时随招标代理费据实另行支付。</w:t>
      </w:r>
    </w:p>
    <w:p w14:paraId="63CA530A">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sz w:val="24"/>
          <w:szCs w:val="24"/>
        </w:rPr>
        <w:t>24.2供应商须知前附表约定收取定额服务费或免收服务费的，从其规定。</w:t>
      </w:r>
    </w:p>
    <w:p w14:paraId="41BD0B79">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24.3如果成交供应商未按照上条规定交纳中标服务费，采购人有权取消该授标，其投标保证金不予退还。在此情况下采购人可将该标授予其下一个成交候选人，或重新招标。</w:t>
      </w:r>
    </w:p>
    <w:p w14:paraId="2F506674">
      <w:pPr>
        <w:adjustRightInd w:val="0"/>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25.履约保证金</w:t>
      </w:r>
    </w:p>
    <w:p w14:paraId="01093492">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25.1签订合同前，成交供应商应提交履约保证金。履约保证金金额、收受方式及收受人见供应商须知前附表规定。</w:t>
      </w:r>
    </w:p>
    <w:p w14:paraId="6418493A">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29.2供应商须知前附表约定收取定额履约保证金或免收履约保证金的，从其规定。</w:t>
      </w:r>
    </w:p>
    <w:p w14:paraId="630F8B46">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25.3如果成交供应商未按规定交纳履约保证金，采购人有权取消该授标，并没收其投标保证金。在此情况下采购人可将该标授予其下一个成交候选人，或重新招标。</w:t>
      </w:r>
    </w:p>
    <w:p w14:paraId="5D8C5B20">
      <w:pPr>
        <w:adjustRightInd w:val="0"/>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26.签订合同</w:t>
      </w:r>
    </w:p>
    <w:p w14:paraId="0C2AD0AF">
      <w:pPr>
        <w:adjustRightInd w:val="0"/>
        <w:snapToGrid w:val="0"/>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26.1成交供应商应在中标通知书发出之日起7日内，</w:t>
      </w:r>
      <w:r>
        <w:rPr>
          <w:rFonts w:hint="eastAsia" w:ascii="仿宋" w:hAnsi="仿宋" w:eastAsia="仿宋" w:cs="仿宋"/>
          <w:sz w:val="24"/>
          <w:szCs w:val="24"/>
        </w:rPr>
        <w:t>与采购人签订合同。招标文件、成交供应商的投标文件及澄清文件等，均作为合同的附件。合同签订前成交供应商应向采购人出示中标服务费和履约保证金缴纳证明。成交供应商逾期未与业主签订合同，采购人有权取消按成交供应商的中标资格，并按照有关法律规定追究其相应的法律责任。业主有权没收其投标保证金，以抵偿对采购人造成的损失。采购方逾期不与中标供应商签订合同的，按政府采购的有关规定处理。</w:t>
      </w:r>
    </w:p>
    <w:p w14:paraId="7FE40499">
      <w:pPr>
        <w:pStyle w:val="131"/>
        <w:spacing w:line="360" w:lineRule="auto"/>
        <w:ind w:firstLine="480" w:firstLineChars="200"/>
        <w:rPr>
          <w:rFonts w:ascii="仿宋" w:hAnsi="仿宋" w:eastAsia="仿宋" w:cs="仿宋"/>
          <w:color w:val="auto"/>
        </w:rPr>
      </w:pPr>
      <w:r>
        <w:rPr>
          <w:rFonts w:hint="eastAsia" w:ascii="仿宋" w:hAnsi="仿宋" w:eastAsia="仿宋" w:cs="仿宋"/>
          <w:color w:val="auto"/>
        </w:rPr>
        <w:t>26.2 采购双方必须严格按照招标文件、投标文件及有关承诺签订采购合同，不得擅自变更。合同的标的、价款、质量、履行期限等主要条款应当与招标文件和成交供应商的投标文件的内容一致，采购人和成交供应商不得再行订立背离合同实质性内容的其他协议。对任何因双方擅自变更合同引起的问题采购人概不负责，合同风险由双方自行承担。采购人在合同履行中，需追加与合同标的相同的货物或者服务的，在不改变合同其他条款的前提下，可与供应商协商签订补充合同，但所有补充合同的采购金额不得超过原合同采购金额的百分之十。</w:t>
      </w:r>
    </w:p>
    <w:p w14:paraId="6C5E071F">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26.3采购人保留以书面形式要求合同的卖方对其所投货物的装运方式、交货地点及服务细则等作适当调整的权利。</w:t>
      </w:r>
    </w:p>
    <w:p w14:paraId="4930B44F">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sz w:val="24"/>
          <w:szCs w:val="24"/>
        </w:rPr>
        <w:t>26.4</w:t>
      </w:r>
      <w:r>
        <w:rPr>
          <w:rFonts w:hint="eastAsia" w:ascii="仿宋" w:hAnsi="仿宋" w:eastAsia="仿宋" w:cs="仿宋"/>
          <w:bCs/>
          <w:sz w:val="24"/>
          <w:szCs w:val="24"/>
        </w:rPr>
        <w:t>无论基于何种原因，各项本应作拒绝处理的情形即便未被及时发现而使该供应商进入初审、详细评审或其它后续程序，包括已经签约的情形，一旦在任何时间被发现，采购人均有权决定是否取消该供应商此前评议的结果或是否对该报价予以拒绝，并有权采取相应的补救或纠正措施。一旦该供应商被拒绝或被取消此前评议结果，其现有的位置将被其他供应商依序替代或重新组织采购，相关的一切损失均由该供应商自行承担。</w:t>
      </w:r>
    </w:p>
    <w:p w14:paraId="0B0024DB">
      <w:pPr>
        <w:adjustRightInd w:val="0"/>
        <w:snapToGrid w:val="0"/>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27.验收</w:t>
      </w:r>
    </w:p>
    <w:p w14:paraId="424BCD33">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sz w:val="24"/>
          <w:szCs w:val="24"/>
        </w:rPr>
        <w:t>27.1</w:t>
      </w:r>
      <w:r>
        <w:rPr>
          <w:rFonts w:hint="eastAsia" w:ascii="仿宋" w:hAnsi="仿宋" w:eastAsia="仿宋" w:cs="仿宋"/>
          <w:bCs/>
          <w:sz w:val="24"/>
          <w:szCs w:val="24"/>
        </w:rPr>
        <w:t>采购人验收时，应成立验收小组，明确责任，严格依照采购文件、中标通知书、政府采购合同及相关验收规范进行核对、验收，形成验收结论，并出具书面验收报告。</w:t>
      </w:r>
    </w:p>
    <w:p w14:paraId="00A719EB">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sz w:val="24"/>
          <w:szCs w:val="24"/>
        </w:rPr>
        <w:t>27.2</w:t>
      </w:r>
      <w:r>
        <w:rPr>
          <w:rFonts w:hint="eastAsia" w:ascii="仿宋" w:hAnsi="仿宋" w:eastAsia="仿宋" w:cs="仿宋"/>
          <w:bCs/>
          <w:sz w:val="24"/>
          <w:szCs w:val="24"/>
        </w:rPr>
        <w:t>涉及安全、消防、环保等其他需要由质检或行业主管部门进行验收的项目，必须邀请相关部门或相关专家参与验收。</w:t>
      </w:r>
    </w:p>
    <w:p w14:paraId="6EE1D4AC">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27.3</w:t>
      </w:r>
      <w:r>
        <w:rPr>
          <w:rFonts w:hint="eastAsia" w:ascii="仿宋" w:hAnsi="仿宋" w:eastAsia="仿宋" w:cs="仿宋"/>
          <w:bCs/>
          <w:sz w:val="24"/>
          <w:szCs w:val="24"/>
        </w:rPr>
        <w:t>检测、验收费用均由合同乙方（成交供应商）承担。</w:t>
      </w:r>
    </w:p>
    <w:p w14:paraId="36869E42">
      <w:pPr>
        <w:adjustRightInd w:val="0"/>
        <w:snapToGrid w:val="0"/>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28</w:t>
      </w:r>
      <w:r>
        <w:rPr>
          <w:rFonts w:hint="eastAsia" w:ascii="仿宋" w:hAnsi="仿宋" w:eastAsia="仿宋" w:cs="仿宋"/>
          <w:b/>
          <w:sz w:val="24"/>
          <w:szCs w:val="24"/>
        </w:rPr>
        <w:t>.</w:t>
      </w:r>
      <w:r>
        <w:rPr>
          <w:rFonts w:hint="eastAsia" w:ascii="仿宋" w:hAnsi="仿宋" w:eastAsia="仿宋" w:cs="仿宋"/>
          <w:b/>
          <w:bCs/>
          <w:sz w:val="24"/>
          <w:szCs w:val="24"/>
        </w:rPr>
        <w:t>质疑</w:t>
      </w:r>
    </w:p>
    <w:p w14:paraId="505D33A5">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28.1供应商认为采购过程、中标结果使自己的合法权益受到损害的，可以在中标公告之日起7个工作日内，由供应商授权委托人（或法定代表人）携带身份证明材料，以书面形式向采购人和采购代理机构提出质疑，逾期不予受理。</w:t>
      </w:r>
    </w:p>
    <w:p w14:paraId="05F03ECB">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28.2质疑书内容应包括质疑的详细理由和依据，并提供有关证明资料。</w:t>
      </w:r>
    </w:p>
    <w:p w14:paraId="127053DD">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28.3 有以下情形之一的，视为无效质疑：</w:t>
      </w:r>
    </w:p>
    <w:p w14:paraId="3AB72A2A">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28.3.1 未按规定时间或规定手续提交质疑的；</w:t>
      </w:r>
    </w:p>
    <w:p w14:paraId="2599C135">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28.3.2 质疑内容含糊不清、没有提供详细理由和依据，无法进行核查的；</w:t>
      </w:r>
    </w:p>
    <w:p w14:paraId="6CF73F20">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28.3.3 其他不符合质疑程序和有关规定的。</w:t>
      </w:r>
    </w:p>
    <w:p w14:paraId="56CC5235">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被判定无效质疑的，采购人和采购代理机构将书面回复投标单位其质疑无效的理由，并记录无效质疑一次。</w:t>
      </w:r>
    </w:p>
    <w:p w14:paraId="4E203BB3">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28.4采购人和采购代理机构将在受到书面质疑后7个工作日内审查质疑事项，作出答复或相关处理决定，并以书面形式通知质疑人，但答复的内容不涉及商业秘密。</w:t>
      </w:r>
    </w:p>
    <w:p w14:paraId="0012FD13">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28.5</w:t>
      </w:r>
      <w:r>
        <w:rPr>
          <w:rFonts w:hint="eastAsia" w:ascii="仿宋" w:hAnsi="仿宋" w:eastAsia="仿宋" w:cs="仿宋"/>
          <w:b/>
          <w:sz w:val="24"/>
          <w:szCs w:val="24"/>
        </w:rPr>
        <w:t>投诉人有下列情形之一的，属于虚假、恶意投诉，监督管理部门将驳回投诉，将其列入不良行为记录名单，并依法予以处罚：</w:t>
      </w:r>
    </w:p>
    <w:p w14:paraId="307B03E6">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28.5.1一年内三次以上投诉均查无实据的；</w:t>
      </w:r>
    </w:p>
    <w:p w14:paraId="015AD2B3">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28.5.2捏造事实、提供虚假投诉材料或提供以非法手段取得的证明材料质疑的；</w:t>
      </w:r>
    </w:p>
    <w:p w14:paraId="74389952">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28.5.3其他经认定属于虚假、恶意投诉的行为。</w:t>
      </w:r>
    </w:p>
    <w:p w14:paraId="0EF9AB26">
      <w:pPr>
        <w:adjustRightInd w:val="0"/>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29.未尽事宜</w:t>
      </w:r>
    </w:p>
    <w:p w14:paraId="6D29BBEF">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29.1按《中华人民共和国政府采购法》及其他有关法律法规的规定执行。</w:t>
      </w:r>
    </w:p>
    <w:p w14:paraId="133E7CA6">
      <w:pPr>
        <w:adjustRightInd w:val="0"/>
        <w:snapToGrid w:val="0"/>
        <w:spacing w:line="360" w:lineRule="auto"/>
        <w:ind w:firstLine="482" w:firstLineChars="200"/>
        <w:rPr>
          <w:rFonts w:ascii="仿宋" w:hAnsi="仿宋" w:eastAsia="仿宋" w:cs="仿宋"/>
          <w:bCs/>
          <w:sz w:val="24"/>
          <w:szCs w:val="24"/>
        </w:rPr>
      </w:pPr>
      <w:r>
        <w:rPr>
          <w:rFonts w:hint="eastAsia" w:ascii="仿宋" w:hAnsi="仿宋" w:eastAsia="仿宋" w:cs="仿宋"/>
          <w:b/>
          <w:sz w:val="24"/>
          <w:szCs w:val="24"/>
        </w:rPr>
        <w:t>30.解释权</w:t>
      </w:r>
    </w:p>
    <w:p w14:paraId="64A20F5E">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30.1本招标文件的解释权属于采购人。</w:t>
      </w:r>
    </w:p>
    <w:p w14:paraId="47FF1372">
      <w:pPr>
        <w:pStyle w:val="5"/>
        <w:rPr>
          <w:rFonts w:ascii="仿宋" w:hAnsi="仿宋" w:eastAsia="仿宋" w:cs="仿宋"/>
          <w:sz w:val="32"/>
          <w:szCs w:val="32"/>
        </w:rPr>
      </w:pPr>
      <w:bookmarkStart w:id="100" w:name="_Toc220232391"/>
      <w:bookmarkStart w:id="101" w:name="_Toc407096156"/>
      <w:r>
        <w:rPr>
          <w:rFonts w:hint="eastAsia" w:ascii="仿宋" w:hAnsi="仿宋" w:eastAsia="仿宋" w:cs="仿宋"/>
        </w:rPr>
        <w:br w:type="page"/>
      </w:r>
      <w:bookmarkStart w:id="102" w:name="_Toc20107"/>
      <w:bookmarkStart w:id="103" w:name="_Toc18616544"/>
      <w:r>
        <w:rPr>
          <w:rFonts w:hint="eastAsia" w:ascii="仿宋" w:hAnsi="仿宋" w:eastAsia="仿宋" w:cs="仿宋"/>
          <w:sz w:val="32"/>
          <w:szCs w:val="32"/>
        </w:rPr>
        <w:t>第六章</w:t>
      </w:r>
      <w:bookmarkEnd w:id="100"/>
      <w:bookmarkStart w:id="104" w:name="_Toc220232392"/>
      <w:r>
        <w:rPr>
          <w:rFonts w:hint="eastAsia" w:ascii="仿宋" w:hAnsi="仿宋" w:eastAsia="仿宋" w:cs="仿宋"/>
          <w:sz w:val="32"/>
          <w:szCs w:val="32"/>
        </w:rPr>
        <w:t xml:space="preserve"> 采购合同</w:t>
      </w:r>
      <w:bookmarkEnd w:id="101"/>
      <w:bookmarkEnd w:id="102"/>
      <w:bookmarkEnd w:id="103"/>
      <w:bookmarkEnd w:id="104"/>
    </w:p>
    <w:p w14:paraId="3CE85ACA">
      <w:pPr>
        <w:pStyle w:val="85"/>
        <w:spacing w:line="360" w:lineRule="auto"/>
        <w:ind w:firstLine="480" w:firstLineChars="200"/>
        <w:rPr>
          <w:rFonts w:ascii="仿宋" w:hAnsi="仿宋" w:eastAsia="仿宋" w:cs="仿宋"/>
          <w:sz w:val="24"/>
          <w:szCs w:val="24"/>
          <w:u w:val="single"/>
        </w:rPr>
      </w:pPr>
      <w:bookmarkStart w:id="105" w:name="EB1aa2f6fe57ec4a409c5a09833c9169d1"/>
      <w:r>
        <w:rPr>
          <w:rFonts w:hint="eastAsia" w:ascii="仿宋" w:hAnsi="仿宋" w:eastAsia="仿宋" w:cs="仿宋"/>
          <w:sz w:val="24"/>
          <w:szCs w:val="24"/>
        </w:rPr>
        <w:t>采购单位（甲方）：</w:t>
      </w:r>
    </w:p>
    <w:p w14:paraId="064CD38A">
      <w:pPr>
        <w:pStyle w:val="85"/>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服务单位（乙方）：                             签订地点：</w:t>
      </w:r>
    </w:p>
    <w:p w14:paraId="19450791">
      <w:pPr>
        <w:pStyle w:val="85"/>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项目名称：</w:t>
      </w:r>
      <w:r>
        <w:rPr>
          <w:rFonts w:hint="eastAsia" w:ascii="仿宋" w:hAnsi="仿宋" w:eastAsia="仿宋" w:cs="仿宋"/>
          <w:sz w:val="24"/>
          <w:szCs w:val="24"/>
          <w:u w:val="single"/>
        </w:rPr>
        <w:t>XXXX项目</w:t>
      </w:r>
    </w:p>
    <w:p w14:paraId="6CF96961">
      <w:pPr>
        <w:pStyle w:val="85"/>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项目编号：</w:t>
      </w:r>
      <w:r>
        <w:rPr>
          <w:rFonts w:hint="eastAsia" w:ascii="仿宋" w:hAnsi="仿宋" w:eastAsia="仿宋" w:cs="仿宋"/>
          <w:sz w:val="24"/>
          <w:szCs w:val="24"/>
          <w:u w:val="single"/>
        </w:rPr>
        <w:t>XXXX编号</w:t>
      </w:r>
    </w:p>
    <w:p w14:paraId="0C3F5708">
      <w:pPr>
        <w:pStyle w:val="85"/>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财政委托号：(财政项目必须填写)</w:t>
      </w:r>
    </w:p>
    <w:p w14:paraId="3EFA3F08">
      <w:pPr>
        <w:pStyle w:val="85"/>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项目经批准采用招标方式，经本项目评审委员会认真评审，决定将采购合同授予乙方。为进一步明确双方的责任，确保合同的顺利履行，根据《中华人民共和国合同法》之规定，经甲乙双方充分协商，特订立本合同，以便共同遵守。</w:t>
      </w:r>
    </w:p>
    <w:p w14:paraId="31DCBC58">
      <w:pPr>
        <w:pStyle w:val="85"/>
        <w:spacing w:line="360" w:lineRule="auto"/>
        <w:ind w:firstLine="482" w:firstLineChars="200"/>
        <w:rPr>
          <w:rFonts w:ascii="仿宋" w:hAnsi="仿宋" w:eastAsia="仿宋" w:cs="仿宋"/>
          <w:sz w:val="24"/>
          <w:szCs w:val="24"/>
          <w:u w:val="single"/>
        </w:rPr>
      </w:pPr>
      <w:r>
        <w:rPr>
          <w:rFonts w:hint="eastAsia" w:ascii="仿宋" w:hAnsi="仿宋" w:eastAsia="仿宋" w:cs="仿宋"/>
          <w:b/>
          <w:bCs/>
          <w:sz w:val="24"/>
          <w:szCs w:val="24"/>
        </w:rPr>
        <w:t>第一条</w:t>
      </w:r>
      <w:r>
        <w:rPr>
          <w:rFonts w:hint="eastAsia" w:ascii="仿宋" w:hAnsi="仿宋" w:eastAsia="仿宋" w:cs="仿宋"/>
          <w:sz w:val="24"/>
          <w:szCs w:val="24"/>
        </w:rPr>
        <w:t>产品的名称、品种、规格、数量和价格：（若产品过多则见附表，如有附表则必须加盖印章）</w:t>
      </w:r>
    </w:p>
    <w:tbl>
      <w:tblPr>
        <w:tblStyle w:val="53"/>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620"/>
        <w:gridCol w:w="900"/>
        <w:gridCol w:w="900"/>
        <w:gridCol w:w="1069"/>
        <w:gridCol w:w="1247"/>
        <w:gridCol w:w="1104"/>
      </w:tblGrid>
      <w:tr w14:paraId="24C1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980" w:type="dxa"/>
            <w:vAlign w:val="center"/>
          </w:tcPr>
          <w:p w14:paraId="12589D16">
            <w:pPr>
              <w:pStyle w:val="85"/>
              <w:spacing w:line="360" w:lineRule="auto"/>
              <w:jc w:val="center"/>
              <w:rPr>
                <w:rFonts w:ascii="仿宋" w:hAnsi="仿宋" w:eastAsia="仿宋" w:cs="仿宋"/>
                <w:b/>
                <w:sz w:val="24"/>
                <w:szCs w:val="24"/>
              </w:rPr>
            </w:pPr>
            <w:r>
              <w:rPr>
                <w:rFonts w:hint="eastAsia" w:ascii="仿宋" w:hAnsi="仿宋" w:eastAsia="仿宋" w:cs="仿宋"/>
                <w:b/>
                <w:sz w:val="24"/>
                <w:szCs w:val="24"/>
              </w:rPr>
              <w:t>产品名称</w:t>
            </w:r>
          </w:p>
        </w:tc>
        <w:tc>
          <w:tcPr>
            <w:tcW w:w="1620" w:type="dxa"/>
            <w:vAlign w:val="center"/>
          </w:tcPr>
          <w:p w14:paraId="2004E42D">
            <w:pPr>
              <w:pStyle w:val="85"/>
              <w:spacing w:line="360" w:lineRule="auto"/>
              <w:jc w:val="center"/>
              <w:rPr>
                <w:rFonts w:ascii="仿宋" w:hAnsi="仿宋" w:eastAsia="仿宋" w:cs="仿宋"/>
                <w:b/>
                <w:sz w:val="24"/>
                <w:szCs w:val="24"/>
              </w:rPr>
            </w:pPr>
            <w:r>
              <w:rPr>
                <w:rFonts w:hint="eastAsia" w:ascii="仿宋" w:hAnsi="仿宋" w:eastAsia="仿宋" w:cs="仿宋"/>
                <w:b/>
                <w:sz w:val="24"/>
                <w:szCs w:val="24"/>
              </w:rPr>
              <w:t>规格型号</w:t>
            </w:r>
          </w:p>
        </w:tc>
        <w:tc>
          <w:tcPr>
            <w:tcW w:w="900" w:type="dxa"/>
            <w:vAlign w:val="center"/>
          </w:tcPr>
          <w:p w14:paraId="573EFCF6">
            <w:pPr>
              <w:pStyle w:val="85"/>
              <w:spacing w:line="360" w:lineRule="auto"/>
              <w:jc w:val="center"/>
              <w:rPr>
                <w:rFonts w:ascii="仿宋" w:hAnsi="仿宋" w:eastAsia="仿宋" w:cs="仿宋"/>
                <w:b/>
                <w:sz w:val="24"/>
                <w:szCs w:val="24"/>
              </w:rPr>
            </w:pPr>
            <w:r>
              <w:rPr>
                <w:rFonts w:hint="eastAsia" w:ascii="仿宋" w:hAnsi="仿宋" w:eastAsia="仿宋" w:cs="仿宋"/>
                <w:b/>
                <w:sz w:val="24"/>
                <w:szCs w:val="24"/>
              </w:rPr>
              <w:t>单位</w:t>
            </w:r>
          </w:p>
        </w:tc>
        <w:tc>
          <w:tcPr>
            <w:tcW w:w="900" w:type="dxa"/>
            <w:vAlign w:val="center"/>
          </w:tcPr>
          <w:p w14:paraId="0DDA2C8F">
            <w:pPr>
              <w:pStyle w:val="85"/>
              <w:spacing w:line="360" w:lineRule="auto"/>
              <w:jc w:val="center"/>
              <w:rPr>
                <w:rFonts w:ascii="仿宋" w:hAnsi="仿宋" w:eastAsia="仿宋" w:cs="仿宋"/>
                <w:b/>
                <w:sz w:val="24"/>
                <w:szCs w:val="24"/>
              </w:rPr>
            </w:pPr>
            <w:r>
              <w:rPr>
                <w:rFonts w:hint="eastAsia" w:ascii="仿宋" w:hAnsi="仿宋" w:eastAsia="仿宋" w:cs="仿宋"/>
                <w:b/>
                <w:sz w:val="24"/>
                <w:szCs w:val="24"/>
              </w:rPr>
              <w:t>数量</w:t>
            </w:r>
          </w:p>
        </w:tc>
        <w:tc>
          <w:tcPr>
            <w:tcW w:w="1069" w:type="dxa"/>
            <w:vAlign w:val="center"/>
          </w:tcPr>
          <w:p w14:paraId="26B592D3">
            <w:pPr>
              <w:pStyle w:val="85"/>
              <w:spacing w:line="360" w:lineRule="auto"/>
              <w:jc w:val="center"/>
              <w:rPr>
                <w:rFonts w:ascii="仿宋" w:hAnsi="仿宋" w:eastAsia="仿宋" w:cs="仿宋"/>
                <w:b/>
                <w:sz w:val="24"/>
                <w:szCs w:val="24"/>
              </w:rPr>
            </w:pPr>
            <w:r>
              <w:rPr>
                <w:rFonts w:hint="eastAsia" w:ascii="仿宋" w:hAnsi="仿宋" w:eastAsia="仿宋" w:cs="仿宋"/>
                <w:b/>
                <w:sz w:val="24"/>
                <w:szCs w:val="24"/>
              </w:rPr>
              <w:t>单价</w:t>
            </w:r>
          </w:p>
        </w:tc>
        <w:tc>
          <w:tcPr>
            <w:tcW w:w="1247" w:type="dxa"/>
            <w:vAlign w:val="center"/>
          </w:tcPr>
          <w:p w14:paraId="47EDF39C">
            <w:pPr>
              <w:pStyle w:val="85"/>
              <w:spacing w:line="360" w:lineRule="auto"/>
              <w:jc w:val="center"/>
              <w:rPr>
                <w:rFonts w:ascii="仿宋" w:hAnsi="仿宋" w:eastAsia="仿宋" w:cs="仿宋"/>
                <w:b/>
                <w:sz w:val="24"/>
                <w:szCs w:val="24"/>
              </w:rPr>
            </w:pPr>
            <w:r>
              <w:rPr>
                <w:rFonts w:hint="eastAsia" w:ascii="仿宋" w:hAnsi="仿宋" w:eastAsia="仿宋" w:cs="仿宋"/>
                <w:b/>
                <w:sz w:val="24"/>
                <w:szCs w:val="24"/>
              </w:rPr>
              <w:t>小计</w:t>
            </w:r>
          </w:p>
        </w:tc>
        <w:tc>
          <w:tcPr>
            <w:tcW w:w="1104" w:type="dxa"/>
            <w:vAlign w:val="center"/>
          </w:tcPr>
          <w:p w14:paraId="629CB6E2">
            <w:pPr>
              <w:pStyle w:val="85"/>
              <w:spacing w:line="360" w:lineRule="auto"/>
              <w:jc w:val="center"/>
              <w:rPr>
                <w:rFonts w:ascii="仿宋" w:hAnsi="仿宋" w:eastAsia="仿宋" w:cs="仿宋"/>
                <w:b/>
                <w:sz w:val="24"/>
                <w:szCs w:val="24"/>
              </w:rPr>
            </w:pPr>
            <w:r>
              <w:rPr>
                <w:rFonts w:hint="eastAsia" w:ascii="仿宋" w:hAnsi="仿宋" w:eastAsia="仿宋" w:cs="仿宋"/>
                <w:b/>
                <w:sz w:val="24"/>
                <w:szCs w:val="24"/>
              </w:rPr>
              <w:t>备注</w:t>
            </w:r>
          </w:p>
        </w:tc>
      </w:tr>
      <w:tr w14:paraId="4F68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80" w:type="dxa"/>
            <w:vAlign w:val="center"/>
          </w:tcPr>
          <w:p w14:paraId="396034C0">
            <w:pPr>
              <w:pStyle w:val="85"/>
              <w:spacing w:line="360" w:lineRule="auto"/>
              <w:rPr>
                <w:rFonts w:ascii="仿宋" w:hAnsi="仿宋" w:eastAsia="仿宋" w:cs="仿宋"/>
                <w:sz w:val="24"/>
                <w:szCs w:val="24"/>
              </w:rPr>
            </w:pPr>
          </w:p>
        </w:tc>
        <w:tc>
          <w:tcPr>
            <w:tcW w:w="1620" w:type="dxa"/>
            <w:vAlign w:val="center"/>
          </w:tcPr>
          <w:p w14:paraId="19C3633C">
            <w:pPr>
              <w:pStyle w:val="85"/>
              <w:spacing w:line="360" w:lineRule="auto"/>
              <w:rPr>
                <w:rFonts w:ascii="仿宋" w:hAnsi="仿宋" w:eastAsia="仿宋" w:cs="仿宋"/>
                <w:sz w:val="24"/>
                <w:szCs w:val="24"/>
              </w:rPr>
            </w:pPr>
          </w:p>
        </w:tc>
        <w:tc>
          <w:tcPr>
            <w:tcW w:w="900" w:type="dxa"/>
            <w:vAlign w:val="center"/>
          </w:tcPr>
          <w:p w14:paraId="3AAE9682">
            <w:pPr>
              <w:pStyle w:val="85"/>
              <w:spacing w:line="360" w:lineRule="auto"/>
              <w:rPr>
                <w:rFonts w:ascii="仿宋" w:hAnsi="仿宋" w:eastAsia="仿宋" w:cs="仿宋"/>
                <w:sz w:val="24"/>
                <w:szCs w:val="24"/>
              </w:rPr>
            </w:pPr>
          </w:p>
        </w:tc>
        <w:tc>
          <w:tcPr>
            <w:tcW w:w="900" w:type="dxa"/>
            <w:vAlign w:val="center"/>
          </w:tcPr>
          <w:p w14:paraId="1DA45826">
            <w:pPr>
              <w:pStyle w:val="85"/>
              <w:spacing w:line="360" w:lineRule="auto"/>
              <w:rPr>
                <w:rFonts w:ascii="仿宋" w:hAnsi="仿宋" w:eastAsia="仿宋" w:cs="仿宋"/>
                <w:sz w:val="24"/>
                <w:szCs w:val="24"/>
              </w:rPr>
            </w:pPr>
          </w:p>
        </w:tc>
        <w:tc>
          <w:tcPr>
            <w:tcW w:w="1069" w:type="dxa"/>
            <w:vAlign w:val="center"/>
          </w:tcPr>
          <w:p w14:paraId="110B5060">
            <w:pPr>
              <w:pStyle w:val="85"/>
              <w:spacing w:line="360" w:lineRule="auto"/>
              <w:rPr>
                <w:rFonts w:ascii="仿宋" w:hAnsi="仿宋" w:eastAsia="仿宋" w:cs="仿宋"/>
                <w:sz w:val="24"/>
                <w:szCs w:val="24"/>
              </w:rPr>
            </w:pPr>
          </w:p>
        </w:tc>
        <w:tc>
          <w:tcPr>
            <w:tcW w:w="1247" w:type="dxa"/>
            <w:vAlign w:val="center"/>
          </w:tcPr>
          <w:p w14:paraId="6A000A31">
            <w:pPr>
              <w:pStyle w:val="85"/>
              <w:spacing w:line="360" w:lineRule="auto"/>
              <w:rPr>
                <w:rFonts w:ascii="仿宋" w:hAnsi="仿宋" w:eastAsia="仿宋" w:cs="仿宋"/>
                <w:sz w:val="24"/>
                <w:szCs w:val="24"/>
              </w:rPr>
            </w:pPr>
          </w:p>
        </w:tc>
        <w:tc>
          <w:tcPr>
            <w:tcW w:w="1104" w:type="dxa"/>
            <w:vAlign w:val="center"/>
          </w:tcPr>
          <w:p w14:paraId="06F4A6CA">
            <w:pPr>
              <w:pStyle w:val="85"/>
              <w:spacing w:line="360" w:lineRule="auto"/>
              <w:rPr>
                <w:rFonts w:ascii="仿宋" w:hAnsi="仿宋" w:eastAsia="仿宋" w:cs="仿宋"/>
                <w:sz w:val="24"/>
                <w:szCs w:val="24"/>
              </w:rPr>
            </w:pPr>
          </w:p>
        </w:tc>
      </w:tr>
      <w:tr w14:paraId="28A12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80" w:type="dxa"/>
            <w:vAlign w:val="center"/>
          </w:tcPr>
          <w:p w14:paraId="19A561D0">
            <w:pPr>
              <w:pStyle w:val="85"/>
              <w:spacing w:line="360" w:lineRule="auto"/>
              <w:rPr>
                <w:rFonts w:ascii="仿宋" w:hAnsi="仿宋" w:eastAsia="仿宋" w:cs="仿宋"/>
                <w:sz w:val="24"/>
                <w:szCs w:val="24"/>
              </w:rPr>
            </w:pPr>
          </w:p>
        </w:tc>
        <w:tc>
          <w:tcPr>
            <w:tcW w:w="1620" w:type="dxa"/>
            <w:vAlign w:val="center"/>
          </w:tcPr>
          <w:p w14:paraId="342EE566">
            <w:pPr>
              <w:pStyle w:val="85"/>
              <w:spacing w:line="360" w:lineRule="auto"/>
              <w:rPr>
                <w:rFonts w:ascii="仿宋" w:hAnsi="仿宋" w:eastAsia="仿宋" w:cs="仿宋"/>
                <w:sz w:val="24"/>
                <w:szCs w:val="24"/>
              </w:rPr>
            </w:pPr>
          </w:p>
        </w:tc>
        <w:tc>
          <w:tcPr>
            <w:tcW w:w="900" w:type="dxa"/>
            <w:vAlign w:val="center"/>
          </w:tcPr>
          <w:p w14:paraId="368B4EB6">
            <w:pPr>
              <w:pStyle w:val="85"/>
              <w:spacing w:line="360" w:lineRule="auto"/>
              <w:rPr>
                <w:rFonts w:ascii="仿宋" w:hAnsi="仿宋" w:eastAsia="仿宋" w:cs="仿宋"/>
                <w:sz w:val="24"/>
                <w:szCs w:val="24"/>
              </w:rPr>
            </w:pPr>
          </w:p>
        </w:tc>
        <w:tc>
          <w:tcPr>
            <w:tcW w:w="900" w:type="dxa"/>
            <w:vAlign w:val="center"/>
          </w:tcPr>
          <w:p w14:paraId="38260603">
            <w:pPr>
              <w:pStyle w:val="85"/>
              <w:spacing w:line="360" w:lineRule="auto"/>
              <w:rPr>
                <w:rFonts w:ascii="仿宋" w:hAnsi="仿宋" w:eastAsia="仿宋" w:cs="仿宋"/>
                <w:sz w:val="24"/>
                <w:szCs w:val="24"/>
              </w:rPr>
            </w:pPr>
          </w:p>
        </w:tc>
        <w:tc>
          <w:tcPr>
            <w:tcW w:w="1069" w:type="dxa"/>
            <w:vAlign w:val="center"/>
          </w:tcPr>
          <w:p w14:paraId="521E5140">
            <w:pPr>
              <w:pStyle w:val="85"/>
              <w:spacing w:line="360" w:lineRule="auto"/>
              <w:rPr>
                <w:rFonts w:ascii="仿宋" w:hAnsi="仿宋" w:eastAsia="仿宋" w:cs="仿宋"/>
                <w:sz w:val="24"/>
                <w:szCs w:val="24"/>
              </w:rPr>
            </w:pPr>
          </w:p>
        </w:tc>
        <w:tc>
          <w:tcPr>
            <w:tcW w:w="1247" w:type="dxa"/>
            <w:vAlign w:val="center"/>
          </w:tcPr>
          <w:p w14:paraId="7D2C5617">
            <w:pPr>
              <w:pStyle w:val="85"/>
              <w:spacing w:line="360" w:lineRule="auto"/>
              <w:rPr>
                <w:rFonts w:ascii="仿宋" w:hAnsi="仿宋" w:eastAsia="仿宋" w:cs="仿宋"/>
                <w:sz w:val="24"/>
                <w:szCs w:val="24"/>
              </w:rPr>
            </w:pPr>
          </w:p>
        </w:tc>
        <w:tc>
          <w:tcPr>
            <w:tcW w:w="1104" w:type="dxa"/>
            <w:vAlign w:val="center"/>
          </w:tcPr>
          <w:p w14:paraId="20C99E75">
            <w:pPr>
              <w:pStyle w:val="85"/>
              <w:spacing w:line="360" w:lineRule="auto"/>
              <w:rPr>
                <w:rFonts w:ascii="仿宋" w:hAnsi="仿宋" w:eastAsia="仿宋" w:cs="仿宋"/>
                <w:sz w:val="24"/>
                <w:szCs w:val="24"/>
              </w:rPr>
            </w:pPr>
          </w:p>
        </w:tc>
      </w:tr>
      <w:tr w14:paraId="5462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20" w:type="dxa"/>
            <w:gridSpan w:val="7"/>
            <w:vAlign w:val="center"/>
          </w:tcPr>
          <w:p w14:paraId="33E926F3">
            <w:pPr>
              <w:pStyle w:val="85"/>
              <w:spacing w:line="360" w:lineRule="auto"/>
              <w:rPr>
                <w:rFonts w:ascii="仿宋" w:hAnsi="仿宋" w:eastAsia="仿宋" w:cs="仿宋"/>
                <w:sz w:val="24"/>
                <w:szCs w:val="24"/>
              </w:rPr>
            </w:pPr>
            <w:r>
              <w:rPr>
                <w:rFonts w:hint="eastAsia" w:ascii="仿宋" w:hAnsi="仿宋" w:eastAsia="仿宋" w:cs="仿宋"/>
                <w:sz w:val="24"/>
                <w:szCs w:val="24"/>
              </w:rPr>
              <w:t>合同总价款（大小写）：</w:t>
            </w:r>
          </w:p>
          <w:p w14:paraId="7AEB7875">
            <w:pPr>
              <w:pStyle w:val="85"/>
              <w:spacing w:line="360" w:lineRule="auto"/>
              <w:rPr>
                <w:rFonts w:ascii="仿宋" w:hAnsi="仿宋" w:eastAsia="仿宋" w:cs="仿宋"/>
                <w:sz w:val="24"/>
                <w:szCs w:val="24"/>
              </w:rPr>
            </w:pPr>
            <w:r>
              <w:rPr>
                <w:rFonts w:hint="eastAsia" w:ascii="仿宋" w:hAnsi="仿宋" w:eastAsia="仿宋" w:cs="仿宋"/>
                <w:sz w:val="24"/>
                <w:szCs w:val="24"/>
              </w:rPr>
              <w:t>备注：上述产品报价含产品生产、运输&lt;送达至甲方指定地点并下货&gt;、安装、调试、检验及售后服务、税金、劳保基金等费用。</w:t>
            </w:r>
          </w:p>
        </w:tc>
      </w:tr>
    </w:tbl>
    <w:p w14:paraId="19100187">
      <w:pPr>
        <w:pStyle w:val="85"/>
        <w:spacing w:line="360" w:lineRule="auto"/>
        <w:ind w:firstLine="482" w:firstLineChars="200"/>
        <w:jc w:val="left"/>
        <w:rPr>
          <w:rFonts w:ascii="仿宋" w:hAnsi="仿宋" w:eastAsia="仿宋" w:cs="仿宋"/>
          <w:sz w:val="24"/>
          <w:szCs w:val="24"/>
        </w:rPr>
      </w:pPr>
      <w:r>
        <w:rPr>
          <w:rFonts w:hint="eastAsia" w:ascii="仿宋" w:hAnsi="仿宋" w:eastAsia="仿宋" w:cs="仿宋"/>
          <w:b/>
          <w:bCs/>
          <w:sz w:val="24"/>
          <w:szCs w:val="24"/>
        </w:rPr>
        <w:t xml:space="preserve">第二条  </w:t>
      </w:r>
      <w:r>
        <w:rPr>
          <w:rFonts w:hint="eastAsia" w:ascii="仿宋" w:hAnsi="仿宋" w:eastAsia="仿宋" w:cs="仿宋"/>
          <w:sz w:val="24"/>
          <w:szCs w:val="24"/>
        </w:rPr>
        <w:t>产品的技术标准（包括质量要求），按下列第（ ）项执行：</w:t>
      </w:r>
    </w:p>
    <w:p w14:paraId="500FB7BB">
      <w:pPr>
        <w:pStyle w:val="85"/>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①按国家标准执行；②按部颁标准执行；③若无以上标准，则应不低于同行业质量标准；④有特殊要求的，按甲乙双方在合同中商定的技术条件、样品或补充的技术要求执行；</w:t>
      </w:r>
    </w:p>
    <w:p w14:paraId="72BFB543">
      <w:pPr>
        <w:pStyle w:val="85"/>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乙方提供和交付的货物技术标准应与招标文件规定的技术标准相一致。若技术标准中无相应规定，所投货物应符合相应的国际标准或原产地国家有关部门最新颁布的相应的正式标准。</w:t>
      </w:r>
    </w:p>
    <w:p w14:paraId="0520F1F0">
      <w:pPr>
        <w:pStyle w:val="85"/>
        <w:spacing w:line="360" w:lineRule="auto"/>
        <w:ind w:firstLine="480" w:firstLineChars="200"/>
        <w:jc w:val="left"/>
        <w:rPr>
          <w:rFonts w:ascii="仿宋" w:hAnsi="仿宋" w:eastAsia="仿宋" w:cs="仿宋"/>
          <w:sz w:val="24"/>
          <w:szCs w:val="24"/>
          <w:u w:val="single"/>
        </w:rPr>
      </w:pPr>
      <w:r>
        <w:rPr>
          <w:rFonts w:hint="eastAsia" w:ascii="仿宋" w:hAnsi="仿宋" w:eastAsia="仿宋" w:cs="仿宋"/>
          <w:sz w:val="24"/>
          <w:szCs w:val="24"/>
        </w:rPr>
        <w:t>进口产品的质量标准为。</w:t>
      </w:r>
    </w:p>
    <w:p w14:paraId="1E1563AD">
      <w:pPr>
        <w:pStyle w:val="84"/>
        <w:spacing w:line="360" w:lineRule="auto"/>
        <w:ind w:left="0" w:firstLine="480" w:firstLineChars="200"/>
        <w:jc w:val="left"/>
        <w:rPr>
          <w:rFonts w:ascii="仿宋" w:hAnsi="仿宋" w:eastAsia="仿宋" w:cs="仿宋"/>
          <w:sz w:val="24"/>
          <w:szCs w:val="24"/>
        </w:rPr>
      </w:pPr>
      <w:r>
        <w:rPr>
          <w:rFonts w:hint="eastAsia" w:ascii="仿宋" w:hAnsi="仿宋" w:eastAsia="仿宋" w:cs="仿宋"/>
          <w:sz w:val="24"/>
          <w:szCs w:val="24"/>
        </w:rPr>
        <w:t>乙方所提供的货物应是全新、未使用过的，是完全符合以上质量标准的正品；相关的施工安装是由持有有权部门核发上岗证书的安装调试人员按照国际或国家现行安装验收规范来实施的；乙方所提供的货物在正确安装、正常使用和保养条件下，在其使用寿命内应具有满意的性能。</w:t>
      </w:r>
    </w:p>
    <w:p w14:paraId="077A2C76">
      <w:pPr>
        <w:pStyle w:val="84"/>
        <w:spacing w:line="360" w:lineRule="auto"/>
        <w:ind w:left="0" w:firstLine="482" w:firstLineChars="200"/>
        <w:jc w:val="left"/>
        <w:rPr>
          <w:rFonts w:ascii="仿宋" w:hAnsi="仿宋" w:eastAsia="仿宋" w:cs="仿宋"/>
          <w:sz w:val="24"/>
          <w:szCs w:val="24"/>
        </w:rPr>
      </w:pPr>
      <w:r>
        <w:rPr>
          <w:rFonts w:hint="eastAsia" w:ascii="仿宋" w:hAnsi="仿宋" w:eastAsia="仿宋" w:cs="仿宋"/>
          <w:b/>
          <w:bCs/>
          <w:sz w:val="24"/>
          <w:szCs w:val="24"/>
        </w:rPr>
        <w:t>第三条</w:t>
      </w:r>
      <w:r>
        <w:rPr>
          <w:rFonts w:hint="eastAsia" w:ascii="仿宋" w:hAnsi="仿宋" w:eastAsia="仿宋" w:cs="仿宋"/>
          <w:sz w:val="24"/>
          <w:szCs w:val="24"/>
        </w:rPr>
        <w:t>产品的包装标准和包装物的供应与回收</w:t>
      </w:r>
      <w:r>
        <w:rPr>
          <w:rFonts w:hint="eastAsia" w:ascii="仿宋" w:hAnsi="仿宋" w:eastAsia="仿宋" w:cs="仿宋"/>
          <w:sz w:val="24"/>
          <w:szCs w:val="24"/>
          <w:u w:val="single"/>
        </w:rPr>
        <w:t>           </w:t>
      </w:r>
      <w:r>
        <w:rPr>
          <w:rFonts w:hint="eastAsia" w:ascii="仿宋" w:hAnsi="仿宋" w:eastAsia="仿宋" w:cs="仿宋"/>
          <w:sz w:val="24"/>
          <w:szCs w:val="24"/>
        </w:rPr>
        <w:t>。</w:t>
      </w:r>
    </w:p>
    <w:p w14:paraId="0D37F076">
      <w:pPr>
        <w:pStyle w:val="85"/>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（国家或业务主管部门有技术规定的，按技术规定执行；国家与业务主管部门无技术规定的，由甲乙双方商定。）</w:t>
      </w:r>
    </w:p>
    <w:p w14:paraId="0B8C6456">
      <w:pPr>
        <w:pStyle w:val="85"/>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【注：合同中约定的包装标准应与乙方在投标文件中承诺的一致，且投标文件应作为合同附件与合同具有同等法律效力。】</w:t>
      </w:r>
    </w:p>
    <w:p w14:paraId="799998BC">
      <w:pPr>
        <w:pStyle w:val="85"/>
        <w:spacing w:line="360" w:lineRule="auto"/>
        <w:ind w:firstLine="482" w:firstLineChars="200"/>
        <w:jc w:val="left"/>
        <w:rPr>
          <w:rFonts w:ascii="仿宋" w:hAnsi="仿宋" w:eastAsia="仿宋" w:cs="仿宋"/>
          <w:sz w:val="24"/>
          <w:szCs w:val="24"/>
        </w:rPr>
      </w:pPr>
      <w:r>
        <w:rPr>
          <w:rFonts w:hint="eastAsia" w:ascii="仿宋" w:hAnsi="仿宋" w:eastAsia="仿宋" w:cs="仿宋"/>
          <w:b/>
          <w:bCs/>
          <w:sz w:val="24"/>
          <w:szCs w:val="24"/>
        </w:rPr>
        <w:t xml:space="preserve">第四条  </w:t>
      </w:r>
      <w:r>
        <w:rPr>
          <w:rFonts w:hint="eastAsia" w:ascii="仿宋" w:hAnsi="仿宋" w:eastAsia="仿宋" w:cs="仿宋"/>
          <w:sz w:val="24"/>
          <w:szCs w:val="24"/>
        </w:rPr>
        <w:t>产品的交货方法、到货地点和交货期限</w:t>
      </w:r>
    </w:p>
    <w:p w14:paraId="5AEEF351">
      <w:pPr>
        <w:pStyle w:val="85"/>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1.交货方法，按下列第（ ）项执行：</w:t>
      </w:r>
    </w:p>
    <w:p w14:paraId="6D788F89">
      <w:pPr>
        <w:pStyle w:val="85"/>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①乙方送货上门；②乙方代运；③甲方自提自运。</w:t>
      </w:r>
    </w:p>
    <w:p w14:paraId="42366B16">
      <w:pPr>
        <w:pStyle w:val="85"/>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2.到货地点：</w:t>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u w:val="single"/>
        </w:rPr>
        <w:t xml:space="preserve">                 (</w:t>
      </w:r>
      <w:r>
        <w:rPr>
          <w:rFonts w:hint="eastAsia" w:ascii="仿宋" w:hAnsi="仿宋" w:eastAsia="仿宋" w:cs="仿宋"/>
          <w:sz w:val="24"/>
          <w:szCs w:val="24"/>
        </w:rPr>
        <w:t>甲方指定的任何地点，安装并调试.)</w:t>
      </w:r>
    </w:p>
    <w:p w14:paraId="2FE46B55">
      <w:pPr>
        <w:pStyle w:val="85"/>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3.产品的交货期限</w:t>
      </w:r>
      <w:r>
        <w:rPr>
          <w:rFonts w:hint="eastAsia" w:ascii="仿宋" w:hAnsi="仿宋" w:eastAsia="仿宋" w:cs="仿宋"/>
          <w:sz w:val="24"/>
          <w:szCs w:val="24"/>
          <w:u w:val="single"/>
        </w:rPr>
        <w:t>                         </w:t>
      </w:r>
      <w:r>
        <w:rPr>
          <w:rFonts w:hint="eastAsia" w:ascii="仿宋" w:hAnsi="仿宋" w:eastAsia="仿宋" w:cs="仿宋"/>
          <w:sz w:val="24"/>
          <w:szCs w:val="24"/>
        </w:rPr>
        <w:t>。</w:t>
      </w:r>
    </w:p>
    <w:p w14:paraId="2D79CCEA">
      <w:pPr>
        <w:pStyle w:val="85"/>
        <w:spacing w:line="360" w:lineRule="auto"/>
        <w:ind w:firstLine="482" w:firstLineChars="200"/>
        <w:jc w:val="left"/>
        <w:rPr>
          <w:rFonts w:ascii="仿宋" w:hAnsi="仿宋" w:eastAsia="仿宋" w:cs="仿宋"/>
          <w:sz w:val="24"/>
          <w:szCs w:val="24"/>
        </w:rPr>
      </w:pPr>
      <w:r>
        <w:rPr>
          <w:rFonts w:hint="eastAsia" w:ascii="仿宋" w:hAnsi="仿宋" w:eastAsia="仿宋" w:cs="仿宋"/>
          <w:b/>
          <w:bCs/>
          <w:sz w:val="24"/>
          <w:szCs w:val="24"/>
        </w:rPr>
        <w:t>第五条</w:t>
      </w:r>
      <w:r>
        <w:rPr>
          <w:rFonts w:hint="eastAsia" w:ascii="仿宋" w:hAnsi="仿宋" w:eastAsia="仿宋" w:cs="仿宋"/>
          <w:sz w:val="24"/>
          <w:szCs w:val="24"/>
        </w:rPr>
        <w:t xml:space="preserve">  合同价款（大小写）：</w:t>
      </w:r>
    </w:p>
    <w:p w14:paraId="03E11EA4">
      <w:pPr>
        <w:pStyle w:val="85"/>
        <w:numPr>
          <w:ilvl w:val="0"/>
          <w:numId w:val="9"/>
        </w:numPr>
        <w:spacing w:line="360" w:lineRule="auto"/>
        <w:ind w:left="0" w:firstLine="480" w:firstLineChars="200"/>
        <w:jc w:val="left"/>
        <w:rPr>
          <w:rFonts w:ascii="仿宋" w:hAnsi="仿宋" w:eastAsia="仿宋" w:cs="仿宋"/>
          <w:sz w:val="24"/>
          <w:szCs w:val="24"/>
        </w:rPr>
      </w:pPr>
      <w:r>
        <w:rPr>
          <w:rFonts w:hint="eastAsia" w:ascii="仿宋" w:hAnsi="仿宋" w:eastAsia="仿宋" w:cs="仿宋"/>
          <w:sz w:val="24"/>
          <w:szCs w:val="24"/>
        </w:rPr>
        <w:t xml:space="preserve">付款条件                  </w:t>
      </w:r>
    </w:p>
    <w:p w14:paraId="5ACBB0D5">
      <w:pPr>
        <w:pStyle w:val="85"/>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本合同以人民币付款。</w:t>
      </w:r>
    </w:p>
    <w:p w14:paraId="3E6C4891">
      <w:pPr>
        <w:pStyle w:val="85"/>
        <w:spacing w:line="360" w:lineRule="auto"/>
        <w:ind w:firstLine="480" w:firstLineChars="200"/>
        <w:jc w:val="left"/>
        <w:rPr>
          <w:rFonts w:ascii="仿宋" w:hAnsi="仿宋" w:eastAsia="仿宋" w:cs="仿宋"/>
          <w:b/>
          <w:bCs/>
          <w:sz w:val="24"/>
          <w:szCs w:val="24"/>
        </w:rPr>
      </w:pPr>
      <w:r>
        <w:rPr>
          <w:rFonts w:hint="eastAsia" w:ascii="仿宋" w:hAnsi="仿宋" w:eastAsia="仿宋" w:cs="仿宋"/>
          <w:sz w:val="24"/>
          <w:szCs w:val="24"/>
        </w:rPr>
        <w:t>具体付款方式：</w:t>
      </w:r>
      <w:r>
        <w:rPr>
          <w:rFonts w:hint="eastAsia" w:ascii="仿宋" w:hAnsi="仿宋" w:eastAsia="仿宋" w:cs="仿宋"/>
          <w:sz w:val="24"/>
          <w:szCs w:val="24"/>
          <w:u w:val="single"/>
        </w:rPr>
        <w:t>详见投标须知前附表</w:t>
      </w:r>
    </w:p>
    <w:p w14:paraId="4DF15F65">
      <w:pPr>
        <w:pStyle w:val="85"/>
        <w:numPr>
          <w:ilvl w:val="0"/>
          <w:numId w:val="9"/>
        </w:numPr>
        <w:spacing w:line="360" w:lineRule="auto"/>
        <w:ind w:left="0" w:firstLine="480" w:firstLineChars="200"/>
        <w:jc w:val="left"/>
        <w:rPr>
          <w:rFonts w:ascii="仿宋" w:hAnsi="仿宋" w:eastAsia="仿宋" w:cs="仿宋"/>
          <w:sz w:val="24"/>
          <w:szCs w:val="24"/>
        </w:rPr>
      </w:pPr>
      <w:r>
        <w:rPr>
          <w:rFonts w:hint="eastAsia" w:ascii="仿宋" w:hAnsi="仿宋" w:eastAsia="仿宋" w:cs="仿宋"/>
          <w:sz w:val="24"/>
          <w:szCs w:val="24"/>
        </w:rPr>
        <w:t>验收方法</w:t>
      </w:r>
    </w:p>
    <w:p w14:paraId="384B817B">
      <w:pPr>
        <w:pStyle w:val="85"/>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1.乙方安装调试后，在</w:t>
      </w:r>
      <w:r>
        <w:rPr>
          <w:rFonts w:hint="eastAsia" w:ascii="仿宋" w:hAnsi="仿宋" w:eastAsia="仿宋" w:cs="仿宋"/>
          <w:sz w:val="24"/>
          <w:szCs w:val="24"/>
          <w:u w:val="single"/>
        </w:rPr>
        <w:t xml:space="preserve">    天</w:t>
      </w:r>
      <w:r>
        <w:rPr>
          <w:rFonts w:hint="eastAsia" w:ascii="仿宋" w:hAnsi="仿宋" w:eastAsia="仿宋" w:cs="仿宋"/>
          <w:sz w:val="24"/>
          <w:szCs w:val="24"/>
        </w:rPr>
        <w:t>内通知甲方组织验收验收不合格的，乙方应负责重新提供达到本合同约定的质量要求的产品。</w:t>
      </w:r>
    </w:p>
    <w:p w14:paraId="2E69F85E">
      <w:pPr>
        <w:pStyle w:val="91"/>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2.甲、乙双方应严格履行合同有关条款，如果验收过程中发现乙方在没有征得采购人同意的情况下擅自变更合同标的物，将拒绝通过验收，由此引起的一切后果及损失由乙方承担。</w:t>
      </w:r>
    </w:p>
    <w:p w14:paraId="5FFEC8A6">
      <w:pPr>
        <w:pStyle w:val="91"/>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3.甲方验收时，应成立验收小组，明确责任，严格依照招标文件、中标（成交）通知书、政府采购合同及相关验收规范进行核对、验收，形成验收结论，并出具书面验收报告。</w:t>
      </w:r>
    </w:p>
    <w:p w14:paraId="2D4FC605">
      <w:pPr>
        <w:pStyle w:val="91"/>
        <w:spacing w:line="360" w:lineRule="auto"/>
        <w:ind w:firstLine="480" w:firstLineChars="200"/>
        <w:jc w:val="left"/>
        <w:rPr>
          <w:rFonts w:ascii="仿宋" w:hAnsi="仿宋" w:eastAsia="仿宋" w:cs="仿宋"/>
          <w:b/>
          <w:bCs/>
          <w:sz w:val="24"/>
          <w:szCs w:val="24"/>
          <w:u w:val="single"/>
        </w:rPr>
      </w:pPr>
      <w:r>
        <w:rPr>
          <w:rFonts w:hint="eastAsia" w:ascii="仿宋" w:hAnsi="仿宋" w:eastAsia="仿宋" w:cs="仿宋"/>
          <w:sz w:val="24"/>
          <w:szCs w:val="24"/>
        </w:rPr>
        <w:t>涉及安全、环保等其他需要由质检或行业主管部门进行验收的项目，必须邀请相关部门或相关专家参与验收。检测、验收费用均由乙方承担。</w:t>
      </w:r>
    </w:p>
    <w:p w14:paraId="69E5724C">
      <w:pPr>
        <w:pStyle w:val="85"/>
        <w:spacing w:line="360" w:lineRule="auto"/>
        <w:ind w:firstLine="482" w:firstLineChars="200"/>
        <w:jc w:val="left"/>
        <w:rPr>
          <w:rFonts w:ascii="仿宋" w:hAnsi="仿宋" w:eastAsia="仿宋" w:cs="仿宋"/>
          <w:sz w:val="24"/>
          <w:szCs w:val="24"/>
        </w:rPr>
      </w:pPr>
      <w:r>
        <w:rPr>
          <w:rFonts w:hint="eastAsia" w:ascii="仿宋" w:hAnsi="仿宋" w:eastAsia="仿宋" w:cs="仿宋"/>
          <w:b/>
          <w:bCs/>
          <w:sz w:val="24"/>
          <w:szCs w:val="24"/>
        </w:rPr>
        <w:t>第八条 </w:t>
      </w:r>
      <w:r>
        <w:rPr>
          <w:rFonts w:hint="eastAsia" w:ascii="仿宋" w:hAnsi="仿宋" w:eastAsia="仿宋" w:cs="仿宋"/>
          <w:sz w:val="24"/>
          <w:szCs w:val="24"/>
        </w:rPr>
        <w:t xml:space="preserve"> 对产品提出异议的时间和办法</w:t>
      </w:r>
    </w:p>
    <w:p w14:paraId="69119FD9">
      <w:pPr>
        <w:pStyle w:val="85"/>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1.甲方在验收中，如果发现产品不符合合同约定的，应一面妥为保管，一面在工作日内向乙方书面提出异议。具体说明产品不符合规定的内容并附相关验收材料，同时提出不符合规定产品的处理意见。</w:t>
      </w:r>
    </w:p>
    <w:p w14:paraId="07AB94D6">
      <w:pPr>
        <w:pStyle w:val="85"/>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2.甲方因使用、保管、保养不善等造成产品质量下降的，不得提出异议。</w:t>
      </w:r>
    </w:p>
    <w:p w14:paraId="3FC0F3A6">
      <w:pPr>
        <w:pStyle w:val="85"/>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3.乙方在接到甲方异议后，应在工作日内负责处理，否则，即视为默认甲方提出的异议和处理意见。</w:t>
      </w:r>
    </w:p>
    <w:p w14:paraId="21B3E45F">
      <w:pPr>
        <w:pStyle w:val="85"/>
        <w:spacing w:line="360" w:lineRule="auto"/>
        <w:ind w:firstLine="482" w:firstLineChars="200"/>
        <w:jc w:val="left"/>
        <w:rPr>
          <w:rFonts w:ascii="仿宋" w:hAnsi="仿宋" w:eastAsia="仿宋" w:cs="仿宋"/>
          <w:sz w:val="24"/>
          <w:szCs w:val="24"/>
        </w:rPr>
      </w:pPr>
      <w:r>
        <w:rPr>
          <w:rFonts w:hint="eastAsia" w:ascii="仿宋" w:hAnsi="仿宋" w:eastAsia="仿宋" w:cs="仿宋"/>
          <w:b/>
          <w:bCs/>
          <w:sz w:val="24"/>
          <w:szCs w:val="24"/>
        </w:rPr>
        <w:t>第九条</w:t>
      </w:r>
      <w:r>
        <w:rPr>
          <w:rFonts w:hint="eastAsia" w:ascii="仿宋" w:hAnsi="仿宋" w:eastAsia="仿宋" w:cs="仿宋"/>
          <w:sz w:val="24"/>
          <w:szCs w:val="24"/>
        </w:rPr>
        <w:t xml:space="preserve">  乙方应提供完善周到的技术支持和售后服务，否则甲方在进行事实调查的基础上，视情节轻重从乙方的履约保证金中扣除部分或全部补偿甲方。</w:t>
      </w:r>
    </w:p>
    <w:p w14:paraId="0B1EB5A3">
      <w:pPr>
        <w:pStyle w:val="85"/>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1.保修</w:t>
      </w:r>
    </w:p>
    <w:p w14:paraId="3E2BF504">
      <w:pPr>
        <w:pStyle w:val="85"/>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乙方对其所提供的货物免费保修</w:t>
      </w:r>
      <w:r>
        <w:rPr>
          <w:rFonts w:hint="eastAsia" w:ascii="仿宋" w:hAnsi="仿宋" w:eastAsia="仿宋" w:cs="仿宋"/>
          <w:sz w:val="24"/>
          <w:szCs w:val="24"/>
          <w:u w:val="single"/>
        </w:rPr>
        <w:t xml:space="preserve">    年</w:t>
      </w:r>
      <w:r>
        <w:rPr>
          <w:rFonts w:hint="eastAsia" w:ascii="仿宋" w:hAnsi="仿宋" w:eastAsia="仿宋" w:cs="仿宋"/>
          <w:sz w:val="24"/>
          <w:szCs w:val="24"/>
        </w:rPr>
        <w:t>，保修期从开始。乙方应在接到报修通知后</w:t>
      </w:r>
      <w:r>
        <w:rPr>
          <w:rFonts w:hint="eastAsia" w:ascii="仿宋" w:hAnsi="仿宋" w:eastAsia="仿宋" w:cs="仿宋"/>
          <w:sz w:val="24"/>
          <w:szCs w:val="24"/>
          <w:u w:val="single"/>
        </w:rPr>
        <w:t xml:space="preserve">   天</w:t>
      </w:r>
      <w:r>
        <w:rPr>
          <w:rFonts w:hint="eastAsia" w:ascii="仿宋" w:hAnsi="仿宋" w:eastAsia="仿宋" w:cs="仿宋"/>
          <w:sz w:val="24"/>
          <w:szCs w:val="24"/>
        </w:rPr>
        <w:t>内上门维修，负责更换有瑕疵的货物、部件或提供相应的质量保证期内的服务。由此造成的损失，甲方保留索赔的权利。</w:t>
      </w:r>
    </w:p>
    <w:p w14:paraId="2677A948">
      <w:pPr>
        <w:pStyle w:val="85"/>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如果乙方在收到报修通知后天内没有弥补缺陷，甲方可采取必要的补救措施，但费用和风险由乙方承担。</w:t>
      </w:r>
    </w:p>
    <w:p w14:paraId="45FB3C11">
      <w:pPr>
        <w:pStyle w:val="85"/>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2.维修</w:t>
      </w:r>
    </w:p>
    <w:p w14:paraId="5B4AD196">
      <w:pPr>
        <w:pStyle w:val="84"/>
        <w:spacing w:line="360" w:lineRule="auto"/>
        <w:ind w:left="0" w:firstLine="480" w:firstLineChars="200"/>
        <w:jc w:val="left"/>
        <w:rPr>
          <w:rFonts w:ascii="仿宋" w:hAnsi="仿宋" w:eastAsia="仿宋" w:cs="仿宋"/>
          <w:sz w:val="24"/>
          <w:szCs w:val="24"/>
        </w:rPr>
      </w:pPr>
      <w:r>
        <w:rPr>
          <w:rFonts w:hint="eastAsia" w:ascii="仿宋" w:hAnsi="仿宋" w:eastAsia="仿宋" w:cs="仿宋"/>
          <w:sz w:val="24"/>
          <w:szCs w:val="24"/>
        </w:rPr>
        <w:t>保修期届满后，乙方应对其提供的货物负有维修义务，但所涉及的费用由甲方承担。</w:t>
      </w:r>
    </w:p>
    <w:p w14:paraId="53A05CC9">
      <w:pPr>
        <w:pStyle w:val="85"/>
        <w:spacing w:line="360" w:lineRule="auto"/>
        <w:ind w:firstLine="482" w:firstLineChars="200"/>
        <w:jc w:val="left"/>
        <w:rPr>
          <w:rFonts w:ascii="仿宋" w:hAnsi="仿宋" w:eastAsia="仿宋" w:cs="仿宋"/>
          <w:sz w:val="24"/>
          <w:szCs w:val="24"/>
        </w:rPr>
      </w:pPr>
      <w:r>
        <w:rPr>
          <w:rFonts w:hint="eastAsia" w:ascii="仿宋" w:hAnsi="仿宋" w:eastAsia="仿宋" w:cs="仿宋"/>
          <w:b/>
          <w:bCs/>
          <w:sz w:val="24"/>
          <w:szCs w:val="24"/>
        </w:rPr>
        <w:t>第十条</w:t>
      </w:r>
      <w:r>
        <w:rPr>
          <w:rFonts w:hint="eastAsia" w:ascii="仿宋" w:hAnsi="仿宋" w:eastAsia="仿宋" w:cs="仿宋"/>
          <w:sz w:val="24"/>
          <w:szCs w:val="24"/>
        </w:rPr>
        <w:t>  乙方的违约责任</w:t>
      </w:r>
    </w:p>
    <w:p w14:paraId="1BFCD272">
      <w:pPr>
        <w:pStyle w:val="85"/>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1.乙方如在合同履行过程中因自身原因不能完成合同约定的内容，业主有权利取消合同并没收履约保证金。中标人须退还采购人所支付的所有合同金额，如果给采购人造成损失的须依法进行赔偿。</w:t>
      </w:r>
    </w:p>
    <w:p w14:paraId="161B0768">
      <w:pPr>
        <w:pStyle w:val="85"/>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乙方交付的货物不符合合同规定的，甲方有权拒收，乙方向甲方支付货款总金额5%的违约金。如果甲方同意利用，应当按质论价；如果甲方不能利用的，应根据产品的具体情况，由乙方负责包换或包修，并承担修理、调换或退货而支付的实际费用,同时，乙方应按规定，对更换件相应延长质量保证期，并赔偿甲方相应的损失。乙方不能修理或者不能调换的，按不能交货处理。</w:t>
      </w:r>
    </w:p>
    <w:p w14:paraId="3850E0F5">
      <w:pPr>
        <w:pStyle w:val="85"/>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乙方因产品包装不符合合同规定，必须返修或重新包装的，乙方应负责返修或重包装，并承担支付的费用。甲方不要求返修或重新包装而要求赔偿损失的，乙方应当偿付甲方该不合格包装物低于合格包装物的价值部分。因包装不符合规定造成货物损坏或灭失的，乙方应当负责赔偿。每件货物包装箱内应附一份详细装箱单和质量证书。为进口件的，应出具报关手续和原产地、原产工厂证明、报关手续和商检证明等。</w:t>
      </w:r>
    </w:p>
    <w:p w14:paraId="527EC328">
      <w:pPr>
        <w:pStyle w:val="85"/>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如果乙方没有按照投标文件填报的供货期交货，每延误一天应向甲方支付违约金20000元，违约金从货款中扣除。违约金的最高限额为迟交货物合同价的10%。如果达到最高限额，甲方应考虑终止合同，由此给甲方造成的损失由乙方承担。</w:t>
      </w:r>
    </w:p>
    <w:p w14:paraId="4E90CB0D">
      <w:pPr>
        <w:pStyle w:val="85"/>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5.乙方提前交货的产品、多交的产品和不符合合同规定的产品，甲方在代保管期内实际支付的保管、保养等费用以及非因甲方保管不善而发生的损失，应当由乙方承担。</w:t>
      </w:r>
    </w:p>
    <w:p w14:paraId="09E9DCC1">
      <w:pPr>
        <w:pStyle w:val="85"/>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6.乙方应对其所提供的货物承担所有权担保责任，并应保证甲方在中华人民共和国内使用该货物时不侵犯第三人的知识产权。否则乙方应承担由此引起的一切法律责任及费用。</w:t>
      </w:r>
    </w:p>
    <w:p w14:paraId="38E5C644">
      <w:pPr>
        <w:pStyle w:val="85"/>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7.任何一方未经对方同意而单方面终止合同的，应向对方赔偿相当于本合同总价款</w:t>
      </w:r>
      <w:r>
        <w:rPr>
          <w:rFonts w:hint="eastAsia" w:ascii="仿宋" w:hAnsi="仿宋" w:eastAsia="仿宋" w:cs="仿宋"/>
          <w:sz w:val="24"/>
          <w:szCs w:val="24"/>
          <w:u w:val="single"/>
        </w:rPr>
        <w:t xml:space="preserve">      %</w:t>
      </w:r>
      <w:r>
        <w:rPr>
          <w:rFonts w:hint="eastAsia" w:ascii="仿宋" w:hAnsi="仿宋" w:eastAsia="仿宋" w:cs="仿宋"/>
          <w:sz w:val="24"/>
          <w:szCs w:val="24"/>
        </w:rPr>
        <w:t>违约金。</w:t>
      </w:r>
    </w:p>
    <w:p w14:paraId="32A3EEEB">
      <w:pPr>
        <w:pStyle w:val="85"/>
        <w:spacing w:line="360" w:lineRule="auto"/>
        <w:ind w:firstLine="482" w:firstLineChars="200"/>
        <w:jc w:val="left"/>
        <w:rPr>
          <w:rFonts w:ascii="仿宋" w:hAnsi="仿宋" w:eastAsia="仿宋" w:cs="仿宋"/>
          <w:sz w:val="24"/>
          <w:szCs w:val="24"/>
        </w:rPr>
      </w:pPr>
      <w:r>
        <w:rPr>
          <w:rFonts w:hint="eastAsia" w:ascii="仿宋" w:hAnsi="仿宋" w:eastAsia="仿宋" w:cs="仿宋"/>
          <w:b/>
          <w:bCs/>
          <w:sz w:val="24"/>
          <w:szCs w:val="24"/>
        </w:rPr>
        <w:t>第十一条</w:t>
      </w:r>
      <w:r>
        <w:rPr>
          <w:rFonts w:hint="eastAsia" w:ascii="仿宋" w:hAnsi="仿宋" w:eastAsia="仿宋" w:cs="仿宋"/>
          <w:sz w:val="24"/>
          <w:szCs w:val="24"/>
        </w:rPr>
        <w:t>  甲方的违约责任</w:t>
      </w:r>
    </w:p>
    <w:p w14:paraId="5D35429D">
      <w:pPr>
        <w:pStyle w:val="85"/>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1.甲方中途退货，应向乙方偿付退货部分货款</w:t>
      </w:r>
      <w:r>
        <w:rPr>
          <w:rFonts w:hint="eastAsia" w:ascii="仿宋" w:hAnsi="仿宋" w:eastAsia="仿宋" w:cs="仿宋"/>
          <w:sz w:val="24"/>
          <w:szCs w:val="24"/>
          <w:u w:val="single"/>
        </w:rPr>
        <w:t xml:space="preserve">             </w:t>
      </w:r>
      <w:r>
        <w:rPr>
          <w:rFonts w:hint="eastAsia" w:ascii="仿宋" w:hAnsi="仿宋" w:eastAsia="仿宋" w:cs="仿宋"/>
          <w:sz w:val="24"/>
          <w:szCs w:val="24"/>
        </w:rPr>
        <w:t>%（通用产品的幅度为1%~5%专用产品的幅度为15%-30%）的违约金。</w:t>
      </w:r>
    </w:p>
    <w:p w14:paraId="34EC1305">
      <w:pPr>
        <w:pStyle w:val="85"/>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2.甲方违反合同规定拒绝接货的，应当承担由此造成的损失。</w:t>
      </w:r>
    </w:p>
    <w:p w14:paraId="2EAC8C06">
      <w:pPr>
        <w:pStyle w:val="85"/>
        <w:spacing w:line="360" w:lineRule="auto"/>
        <w:ind w:firstLine="482" w:firstLineChars="200"/>
        <w:jc w:val="left"/>
        <w:rPr>
          <w:rFonts w:ascii="仿宋" w:hAnsi="仿宋" w:eastAsia="仿宋" w:cs="仿宋"/>
          <w:b/>
          <w:sz w:val="24"/>
          <w:szCs w:val="24"/>
        </w:rPr>
      </w:pPr>
      <w:r>
        <w:rPr>
          <w:rFonts w:hint="eastAsia" w:ascii="仿宋" w:hAnsi="仿宋" w:eastAsia="仿宋" w:cs="仿宋"/>
          <w:b/>
          <w:bCs/>
          <w:sz w:val="24"/>
          <w:szCs w:val="24"/>
        </w:rPr>
        <w:t>第十二条 </w:t>
      </w:r>
      <w:r>
        <w:rPr>
          <w:rFonts w:hint="eastAsia" w:ascii="仿宋" w:hAnsi="仿宋" w:eastAsia="仿宋" w:cs="仿宋"/>
          <w:sz w:val="24"/>
          <w:szCs w:val="24"/>
        </w:rPr>
        <w:t xml:space="preserve"> 不可抗力</w:t>
      </w:r>
    </w:p>
    <w:p w14:paraId="3DD9E061">
      <w:pPr>
        <w:pStyle w:val="85"/>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55955484">
      <w:pPr>
        <w:pStyle w:val="85"/>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14:paraId="5A86BDAD">
      <w:pPr>
        <w:pStyle w:val="85"/>
        <w:spacing w:line="360" w:lineRule="auto"/>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第十三条</w:t>
      </w:r>
      <w:r>
        <w:rPr>
          <w:rFonts w:hint="eastAsia" w:ascii="仿宋" w:hAnsi="仿宋" w:eastAsia="仿宋" w:cs="仿宋"/>
          <w:sz w:val="24"/>
          <w:szCs w:val="24"/>
        </w:rPr>
        <w:t>履约保证金</w:t>
      </w:r>
    </w:p>
    <w:p w14:paraId="36FE506F">
      <w:pPr>
        <w:pStyle w:val="85"/>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1.本项目履约保证金为(人民币)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,收受人为</w:t>
      </w:r>
      <w:r>
        <w:rPr>
          <w:rFonts w:hint="eastAsia" w:ascii="仿宋" w:hAnsi="仿宋" w:eastAsia="仿宋" w:cs="仿宋"/>
          <w:sz w:val="24"/>
          <w:szCs w:val="24"/>
          <w:u w:val="single"/>
        </w:rPr>
        <w:t xml:space="preserve">      </w:t>
      </w:r>
      <w:r>
        <w:rPr>
          <w:rFonts w:hint="eastAsia" w:ascii="仿宋" w:hAnsi="仿宋" w:eastAsia="仿宋" w:cs="仿宋"/>
          <w:sz w:val="24"/>
          <w:szCs w:val="24"/>
        </w:rPr>
        <w:t>，期限至</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06345019">
      <w:pPr>
        <w:pStyle w:val="85"/>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2.乙方提供的履约保证金按规定格式以银行保函形式提供的，与此有关的费用由卖方承担。</w:t>
      </w:r>
    </w:p>
    <w:p w14:paraId="5452B345">
      <w:pPr>
        <w:pStyle w:val="146"/>
        <w:spacing w:line="360" w:lineRule="auto"/>
        <w:ind w:firstLine="480" w:firstLineChars="200"/>
        <w:jc w:val="left"/>
        <w:rPr>
          <w:rFonts w:ascii="仿宋" w:hAnsi="仿宋" w:eastAsia="仿宋" w:cs="仿宋"/>
          <w:szCs w:val="24"/>
        </w:rPr>
      </w:pPr>
      <w:r>
        <w:rPr>
          <w:rFonts w:hint="eastAsia" w:ascii="仿宋" w:hAnsi="仿宋" w:eastAsia="仿宋" w:cs="仿宋"/>
          <w:szCs w:val="24"/>
        </w:rPr>
        <w:t>3.如乙方未能履行其合同规定的任何义务，甲方有权从履约保证金中取得补偿。</w:t>
      </w:r>
    </w:p>
    <w:p w14:paraId="6F096451">
      <w:pPr>
        <w:pStyle w:val="85"/>
        <w:spacing w:line="360" w:lineRule="auto"/>
        <w:ind w:firstLine="482" w:firstLineChars="200"/>
        <w:jc w:val="left"/>
        <w:rPr>
          <w:rFonts w:ascii="仿宋" w:hAnsi="仿宋" w:eastAsia="仿宋" w:cs="仿宋"/>
          <w:b/>
          <w:sz w:val="24"/>
          <w:szCs w:val="24"/>
        </w:rPr>
      </w:pPr>
      <w:r>
        <w:rPr>
          <w:rFonts w:hint="eastAsia" w:ascii="仿宋" w:hAnsi="仿宋" w:eastAsia="仿宋" w:cs="仿宋"/>
          <w:b/>
          <w:bCs/>
          <w:sz w:val="24"/>
          <w:szCs w:val="24"/>
        </w:rPr>
        <w:t>第十四条</w:t>
      </w:r>
      <w:r>
        <w:rPr>
          <w:rFonts w:hint="eastAsia" w:ascii="仿宋" w:hAnsi="仿宋" w:eastAsia="仿宋" w:cs="仿宋"/>
          <w:bCs/>
          <w:sz w:val="24"/>
          <w:szCs w:val="24"/>
        </w:rPr>
        <w:t>转让与分包</w:t>
      </w:r>
    </w:p>
    <w:p w14:paraId="760270F0">
      <w:pPr>
        <w:pStyle w:val="85"/>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1.除甲方事先书面同意外，乙方不得部分转让或全部转让其应履行的合同义务。</w:t>
      </w:r>
    </w:p>
    <w:p w14:paraId="5EA519C9">
      <w:pPr>
        <w:pStyle w:val="85"/>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2.乙方应在投标文件中或以其他书面形式对甲方确认本合同项下所授予的所有分包合同。但该确认不解除乙方承担的本合同下的任何责任或义务。意即在本合同项下，乙方对甲方负总责。</w:t>
      </w:r>
    </w:p>
    <w:p w14:paraId="554A7100">
      <w:pPr>
        <w:pStyle w:val="85"/>
        <w:spacing w:line="360" w:lineRule="auto"/>
        <w:ind w:firstLine="482" w:firstLineChars="200"/>
        <w:jc w:val="left"/>
        <w:rPr>
          <w:rFonts w:ascii="仿宋" w:hAnsi="仿宋" w:eastAsia="仿宋" w:cs="仿宋"/>
          <w:b/>
          <w:sz w:val="24"/>
          <w:szCs w:val="24"/>
        </w:rPr>
      </w:pPr>
      <w:r>
        <w:rPr>
          <w:rFonts w:hint="eastAsia" w:ascii="仿宋" w:hAnsi="仿宋" w:eastAsia="仿宋" w:cs="仿宋"/>
          <w:b/>
          <w:bCs/>
          <w:sz w:val="24"/>
          <w:szCs w:val="24"/>
        </w:rPr>
        <w:t>第十五条</w:t>
      </w:r>
      <w:r>
        <w:rPr>
          <w:rFonts w:hint="eastAsia" w:ascii="仿宋" w:hAnsi="仿宋" w:eastAsia="仿宋" w:cs="仿宋"/>
          <w:bCs/>
          <w:sz w:val="24"/>
          <w:szCs w:val="24"/>
        </w:rPr>
        <w:t>合同文件及资料的使用</w:t>
      </w:r>
    </w:p>
    <w:p w14:paraId="2D519A93">
      <w:pPr>
        <w:pStyle w:val="85"/>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1.乙方在未经甲方同意的情况下，不得将合同、合同中的规定、有关计划、图纸、样本或甲方为上述内容向乙方提供的资料透露给任何人。</w:t>
      </w:r>
    </w:p>
    <w:p w14:paraId="51D32F4D">
      <w:pPr>
        <w:pStyle w:val="85"/>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2.除非执行合同需要，在事先未得到甲方同意的情况下，乙方不得使用前款所列的任何文件和资料。</w:t>
      </w:r>
    </w:p>
    <w:p w14:paraId="14588025">
      <w:pPr>
        <w:pStyle w:val="85"/>
        <w:spacing w:line="360" w:lineRule="auto"/>
        <w:ind w:firstLine="482" w:firstLineChars="200"/>
        <w:jc w:val="left"/>
        <w:rPr>
          <w:rFonts w:ascii="仿宋" w:hAnsi="仿宋" w:eastAsia="仿宋" w:cs="仿宋"/>
          <w:sz w:val="24"/>
          <w:szCs w:val="24"/>
        </w:rPr>
      </w:pPr>
      <w:r>
        <w:rPr>
          <w:rFonts w:hint="eastAsia" w:ascii="仿宋" w:hAnsi="仿宋" w:eastAsia="仿宋" w:cs="仿宋"/>
          <w:b/>
          <w:bCs/>
          <w:sz w:val="24"/>
          <w:szCs w:val="24"/>
        </w:rPr>
        <w:t>第十六条  其他</w:t>
      </w:r>
      <w:r>
        <w:rPr>
          <w:rFonts w:hint="eastAsia" w:ascii="仿宋" w:hAnsi="仿宋" w:eastAsia="仿宋" w:cs="仿宋"/>
          <w:b/>
          <w:bCs/>
          <w:sz w:val="24"/>
          <w:szCs w:val="24"/>
          <w:u w:val="single"/>
        </w:rPr>
        <w:t>                </w:t>
      </w:r>
      <w:r>
        <w:rPr>
          <w:rFonts w:hint="eastAsia" w:ascii="仿宋" w:hAnsi="仿宋" w:eastAsia="仿宋" w:cs="仿宋"/>
          <w:b/>
          <w:bCs/>
          <w:sz w:val="24"/>
          <w:szCs w:val="24"/>
        </w:rPr>
        <w:t>。</w:t>
      </w:r>
    </w:p>
    <w:p w14:paraId="4C7CF3DF">
      <w:pPr>
        <w:pStyle w:val="85"/>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1.按本合同规定应该偿付的违约金、赔偿金、保管保养费和各种经济损失，应当在明确责任后</w:t>
      </w:r>
      <w:r>
        <w:rPr>
          <w:rFonts w:hint="eastAsia" w:ascii="仿宋" w:hAnsi="仿宋" w:eastAsia="仿宋" w:cs="仿宋"/>
          <w:sz w:val="24"/>
          <w:szCs w:val="24"/>
          <w:u w:val="single"/>
        </w:rPr>
        <w:t>10天</w:t>
      </w:r>
      <w:r>
        <w:rPr>
          <w:rFonts w:hint="eastAsia" w:ascii="仿宋" w:hAnsi="仿宋" w:eastAsia="仿宋" w:cs="仿宋"/>
          <w:sz w:val="24"/>
          <w:szCs w:val="24"/>
        </w:rPr>
        <w:t>内，按银行规定的结算办法付清，否则按逾期付款处理。但任何一方不得自行扣发货物或扣付货款来充抵。</w:t>
      </w:r>
    </w:p>
    <w:p w14:paraId="698D262C">
      <w:pPr>
        <w:pStyle w:val="85"/>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2.本合同如发生纠纷，当事人双方应当及时协商解决，协商不成时，任何一方均可请采购管理机关调解，调解不成，按以下第</w:t>
      </w:r>
      <w:r>
        <w:rPr>
          <w:rFonts w:hint="eastAsia" w:ascii="仿宋" w:hAnsi="仿宋" w:eastAsia="仿宋" w:cs="仿宋"/>
          <w:sz w:val="24"/>
          <w:szCs w:val="24"/>
          <w:u w:val="single"/>
        </w:rPr>
        <w:t>（）</w:t>
      </w:r>
      <w:r>
        <w:rPr>
          <w:rFonts w:hint="eastAsia" w:ascii="仿宋" w:hAnsi="仿宋" w:eastAsia="仿宋" w:cs="仿宋"/>
          <w:sz w:val="24"/>
          <w:szCs w:val="24"/>
        </w:rPr>
        <w:t>项方式处理：①根据《中华人民共和国仲裁法》的规定向</w:t>
      </w:r>
      <w:r>
        <w:rPr>
          <w:rFonts w:hint="eastAsia" w:ascii="仿宋" w:hAnsi="仿宋" w:eastAsia="仿宋" w:cs="仿宋"/>
          <w:b/>
          <w:bCs/>
          <w:sz w:val="24"/>
          <w:szCs w:val="24"/>
          <w:u w:val="single"/>
        </w:rPr>
        <w:t>淮南仲裁委员会</w:t>
      </w:r>
      <w:r>
        <w:rPr>
          <w:rFonts w:hint="eastAsia" w:ascii="仿宋" w:hAnsi="仿宋" w:eastAsia="仿宋" w:cs="仿宋"/>
          <w:sz w:val="24"/>
          <w:szCs w:val="24"/>
        </w:rPr>
        <w:t>申请仲裁。②向合同签订地有级别管辖权的人民法院起诉。</w:t>
      </w:r>
    </w:p>
    <w:p w14:paraId="57183182">
      <w:pPr>
        <w:pStyle w:val="85"/>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3.乙方在施工过程中不得破坏主体结构，做好成品保护。因乙方原因给甲方造成的损失由乙方负责修复并承担由此产生的一切费用。</w:t>
      </w:r>
    </w:p>
    <w:p w14:paraId="43614928">
      <w:pPr>
        <w:pStyle w:val="85"/>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4.乙方在施工过程中应服从物业单位的管理，完工后做好场地卫生及垃圾清运等工作。</w:t>
      </w:r>
    </w:p>
    <w:p w14:paraId="51685301">
      <w:pPr>
        <w:pStyle w:val="85"/>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5.乙方承担施工过程中所用水、电等一切费用。</w:t>
      </w:r>
    </w:p>
    <w:p w14:paraId="75472934">
      <w:pPr>
        <w:pStyle w:val="85"/>
        <w:spacing w:line="360" w:lineRule="auto"/>
        <w:ind w:firstLine="482" w:firstLineChars="200"/>
        <w:jc w:val="left"/>
        <w:rPr>
          <w:rFonts w:ascii="仿宋" w:hAnsi="仿宋" w:eastAsia="仿宋" w:cs="仿宋"/>
          <w:sz w:val="24"/>
          <w:szCs w:val="24"/>
        </w:rPr>
      </w:pPr>
      <w:r>
        <w:rPr>
          <w:rFonts w:hint="eastAsia" w:ascii="仿宋" w:hAnsi="仿宋" w:eastAsia="仿宋" w:cs="仿宋"/>
          <w:b/>
          <w:bCs/>
          <w:sz w:val="24"/>
          <w:szCs w:val="24"/>
        </w:rPr>
        <w:t xml:space="preserve">第十七条  </w:t>
      </w:r>
      <w:r>
        <w:rPr>
          <w:rFonts w:hint="eastAsia" w:ascii="仿宋" w:hAnsi="仿宋" w:eastAsia="仿宋" w:cs="仿宋"/>
          <w:sz w:val="24"/>
          <w:szCs w:val="24"/>
        </w:rPr>
        <w:t xml:space="preserve">下列关于  </w:t>
      </w:r>
      <w:r>
        <w:rPr>
          <w:rFonts w:hint="eastAsia" w:ascii="仿宋" w:hAnsi="仿宋" w:eastAsia="仿宋" w:cs="仿宋"/>
          <w:sz w:val="24"/>
          <w:szCs w:val="24"/>
          <w:u w:val="single"/>
        </w:rPr>
        <w:t>某项目（项目编号：某编号）</w:t>
      </w:r>
      <w:r>
        <w:rPr>
          <w:rFonts w:hint="eastAsia" w:ascii="仿宋" w:hAnsi="仿宋" w:eastAsia="仿宋" w:cs="仿宋"/>
          <w:sz w:val="24"/>
          <w:szCs w:val="24"/>
        </w:rPr>
        <w:t>的招标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14:paraId="62FE447B">
      <w:pPr>
        <w:pStyle w:val="85"/>
        <w:spacing w:line="360" w:lineRule="auto"/>
        <w:jc w:val="left"/>
        <w:rPr>
          <w:rFonts w:ascii="仿宋" w:hAnsi="仿宋" w:eastAsia="仿宋" w:cs="仿宋"/>
          <w:sz w:val="24"/>
          <w:szCs w:val="24"/>
        </w:rPr>
      </w:pPr>
      <w:r>
        <w:rPr>
          <w:rFonts w:hint="eastAsia" w:ascii="仿宋" w:hAnsi="仿宋" w:eastAsia="仿宋" w:cs="仿宋"/>
          <w:sz w:val="24"/>
          <w:szCs w:val="24"/>
        </w:rPr>
        <w:t>本合同一式份，甲乙双方各执</w:t>
      </w:r>
      <w:r>
        <w:rPr>
          <w:rFonts w:hint="eastAsia" w:ascii="仿宋" w:hAnsi="仿宋" w:eastAsia="仿宋" w:cs="仿宋"/>
          <w:sz w:val="24"/>
          <w:szCs w:val="24"/>
          <w:u w:val="single"/>
        </w:rPr>
        <w:t xml:space="preserve">   份</w:t>
      </w:r>
      <w:r>
        <w:rPr>
          <w:rFonts w:hint="eastAsia" w:ascii="仿宋" w:hAnsi="仿宋" w:eastAsia="仿宋" w:cs="仿宋"/>
          <w:sz w:val="24"/>
          <w:szCs w:val="24"/>
        </w:rPr>
        <w:t>，自双方当事人签字盖章之日起生效。</w:t>
      </w:r>
    </w:p>
    <w:p w14:paraId="14BA400E">
      <w:pPr>
        <w:pStyle w:val="85"/>
        <w:spacing w:line="360" w:lineRule="auto"/>
        <w:jc w:val="left"/>
        <w:rPr>
          <w:rFonts w:ascii="仿宋" w:hAnsi="仿宋" w:eastAsia="仿宋" w:cs="仿宋"/>
          <w:sz w:val="24"/>
          <w:szCs w:val="24"/>
        </w:rPr>
      </w:pPr>
      <w:r>
        <w:rPr>
          <w:rFonts w:hint="eastAsia" w:ascii="仿宋" w:hAnsi="仿宋" w:eastAsia="仿宋" w:cs="仿宋"/>
          <w:sz w:val="24"/>
          <w:szCs w:val="24"/>
        </w:rPr>
        <w:t>采购单位（甲方）：（公章）          供货单位（乙方）：（公章）</w:t>
      </w:r>
    </w:p>
    <w:p w14:paraId="46F1079E">
      <w:pPr>
        <w:pStyle w:val="85"/>
        <w:spacing w:line="360" w:lineRule="auto"/>
        <w:jc w:val="left"/>
        <w:rPr>
          <w:rFonts w:ascii="仿宋" w:hAnsi="仿宋" w:eastAsia="仿宋" w:cs="仿宋"/>
          <w:sz w:val="24"/>
          <w:szCs w:val="24"/>
        </w:rPr>
      </w:pPr>
      <w:r>
        <w:rPr>
          <w:rFonts w:hint="eastAsia" w:ascii="仿宋" w:hAnsi="仿宋" w:eastAsia="仿宋" w:cs="仿宋"/>
          <w:sz w:val="24"/>
          <w:szCs w:val="24"/>
        </w:rPr>
        <w:t>地址：                               地址：</w:t>
      </w:r>
    </w:p>
    <w:p w14:paraId="7FB1B1A4">
      <w:pPr>
        <w:pStyle w:val="85"/>
        <w:spacing w:line="360" w:lineRule="auto"/>
        <w:jc w:val="left"/>
        <w:rPr>
          <w:rFonts w:ascii="仿宋" w:hAnsi="仿宋" w:eastAsia="仿宋" w:cs="仿宋"/>
          <w:sz w:val="24"/>
          <w:szCs w:val="24"/>
        </w:rPr>
      </w:pPr>
      <w:r>
        <w:rPr>
          <w:rFonts w:hint="eastAsia" w:ascii="仿宋" w:hAnsi="仿宋" w:eastAsia="仿宋" w:cs="仿宋"/>
          <w:sz w:val="24"/>
          <w:szCs w:val="24"/>
        </w:rPr>
        <w:t>法定代表人：                         法定代表人：</w:t>
      </w:r>
    </w:p>
    <w:p w14:paraId="2F711A65">
      <w:pPr>
        <w:pStyle w:val="85"/>
        <w:spacing w:line="360" w:lineRule="auto"/>
        <w:jc w:val="left"/>
        <w:rPr>
          <w:rFonts w:ascii="仿宋" w:hAnsi="仿宋" w:eastAsia="仿宋" w:cs="仿宋"/>
          <w:sz w:val="24"/>
          <w:szCs w:val="24"/>
          <w:u w:val="single"/>
        </w:rPr>
      </w:pPr>
      <w:r>
        <w:rPr>
          <w:rFonts w:hint="eastAsia" w:ascii="仿宋" w:hAnsi="仿宋" w:eastAsia="仿宋" w:cs="仿宋"/>
          <w:sz w:val="24"/>
          <w:szCs w:val="24"/>
        </w:rPr>
        <w:t>委托代理人：                         委托代理人：</w:t>
      </w:r>
    </w:p>
    <w:p w14:paraId="506AA41F">
      <w:pPr>
        <w:pStyle w:val="85"/>
        <w:spacing w:line="360" w:lineRule="auto"/>
        <w:jc w:val="left"/>
        <w:rPr>
          <w:rFonts w:ascii="仿宋" w:hAnsi="仿宋" w:eastAsia="仿宋" w:cs="仿宋"/>
          <w:sz w:val="24"/>
          <w:szCs w:val="24"/>
        </w:rPr>
      </w:pPr>
      <w:r>
        <w:rPr>
          <w:rFonts w:hint="eastAsia" w:ascii="仿宋" w:hAnsi="仿宋" w:eastAsia="仿宋" w:cs="仿宋"/>
          <w:sz w:val="24"/>
          <w:szCs w:val="24"/>
        </w:rPr>
        <w:t>电话：                               电话：</w:t>
      </w:r>
    </w:p>
    <w:p w14:paraId="4C1A8E2C">
      <w:pPr>
        <w:pStyle w:val="85"/>
        <w:spacing w:line="360" w:lineRule="auto"/>
        <w:jc w:val="left"/>
        <w:rPr>
          <w:rFonts w:ascii="仿宋" w:hAnsi="仿宋" w:eastAsia="仿宋" w:cs="仿宋"/>
          <w:sz w:val="24"/>
          <w:szCs w:val="24"/>
        </w:rPr>
      </w:pPr>
      <w:r>
        <w:rPr>
          <w:rFonts w:hint="eastAsia" w:ascii="仿宋" w:hAnsi="仿宋" w:eastAsia="仿宋" w:cs="仿宋"/>
          <w:sz w:val="24"/>
          <w:szCs w:val="24"/>
        </w:rPr>
        <w:t>开户银行：                           开户银行：</w:t>
      </w:r>
    </w:p>
    <w:p w14:paraId="28C8CC9F">
      <w:pPr>
        <w:pStyle w:val="85"/>
        <w:spacing w:line="360" w:lineRule="auto"/>
        <w:jc w:val="left"/>
        <w:rPr>
          <w:rFonts w:ascii="仿宋" w:hAnsi="仿宋" w:eastAsia="仿宋" w:cs="仿宋"/>
          <w:sz w:val="24"/>
          <w:szCs w:val="24"/>
        </w:rPr>
      </w:pPr>
      <w:r>
        <w:rPr>
          <w:rFonts w:hint="eastAsia" w:ascii="仿宋" w:hAnsi="仿宋" w:eastAsia="仿宋" w:cs="仿宋"/>
          <w:sz w:val="24"/>
          <w:szCs w:val="24"/>
        </w:rPr>
        <w:t>账号：                               账号：</w:t>
      </w:r>
    </w:p>
    <w:p w14:paraId="0611EBEE">
      <w:pPr>
        <w:pStyle w:val="85"/>
        <w:spacing w:line="360" w:lineRule="auto"/>
        <w:ind w:firstLine="1200" w:firstLineChars="500"/>
        <w:jc w:val="left"/>
        <w:rPr>
          <w:rFonts w:ascii="仿宋" w:hAnsi="仿宋" w:eastAsia="仿宋" w:cs="仿宋"/>
          <w:sz w:val="32"/>
          <w:szCs w:val="32"/>
        </w:rPr>
      </w:pP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                 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bookmarkEnd w:id="105"/>
      <w:bookmarkStart w:id="106" w:name="_Toc407096157"/>
      <w:r>
        <w:rPr>
          <w:rFonts w:hint="eastAsia" w:ascii="仿宋" w:hAnsi="仿宋" w:eastAsia="仿宋" w:cs="仿宋"/>
          <w:sz w:val="24"/>
          <w:szCs w:val="24"/>
        </w:rPr>
        <w:br w:type="page"/>
      </w:r>
      <w:bookmarkStart w:id="107" w:name="_Toc15578"/>
      <w:bookmarkStart w:id="108" w:name="_Toc18616545"/>
      <w:r>
        <w:rPr>
          <w:rFonts w:hint="eastAsia" w:ascii="仿宋" w:hAnsi="仿宋" w:eastAsia="仿宋" w:cs="仿宋"/>
          <w:sz w:val="32"/>
          <w:szCs w:val="32"/>
        </w:rPr>
        <w:t>第七章 投标文件格式</w:t>
      </w:r>
      <w:bookmarkEnd w:id="106"/>
      <w:bookmarkEnd w:id="107"/>
      <w:bookmarkEnd w:id="108"/>
    </w:p>
    <w:p w14:paraId="577A72E0">
      <w:pPr>
        <w:rPr>
          <w:rFonts w:ascii="仿宋" w:hAnsi="仿宋" w:eastAsia="仿宋" w:cs="仿宋"/>
          <w:sz w:val="20"/>
        </w:rPr>
      </w:pPr>
      <w:bookmarkStart w:id="109" w:name="EB9eb6efa8e0d442d8b8ea38afda34ad49"/>
      <w:bookmarkEnd w:id="109"/>
    </w:p>
    <w:p w14:paraId="32A8FDFE">
      <w:pPr>
        <w:pStyle w:val="3"/>
        <w:spacing w:line="360" w:lineRule="auto"/>
        <w:ind w:firstLine="0"/>
        <w:jc w:val="center"/>
        <w:rPr>
          <w:rFonts w:ascii="仿宋" w:hAnsi="仿宋" w:eastAsia="仿宋" w:cs="仿宋"/>
          <w:b/>
          <w:sz w:val="24"/>
          <w:szCs w:val="24"/>
        </w:rPr>
      </w:pPr>
      <w:bookmarkStart w:id="110" w:name="_Toc382508390"/>
      <w:bookmarkStart w:id="111" w:name="_Toc382495054"/>
      <w:r>
        <w:rPr>
          <w:rFonts w:hint="eastAsia" w:ascii="仿宋" w:hAnsi="仿宋" w:eastAsia="仿宋" w:cs="仿宋"/>
          <w:b/>
          <w:sz w:val="24"/>
          <w:szCs w:val="24"/>
        </w:rPr>
        <w:t xml:space="preserve">第一部分 </w:t>
      </w:r>
      <w:bookmarkStart w:id="112" w:name="_Hlk525927776"/>
      <w:bookmarkStart w:id="113" w:name="_Hlk525936033"/>
      <w:r>
        <w:rPr>
          <w:rFonts w:hint="eastAsia" w:ascii="仿宋" w:hAnsi="仿宋" w:eastAsia="仿宋" w:cs="仿宋"/>
          <w:b/>
          <w:sz w:val="24"/>
          <w:szCs w:val="24"/>
        </w:rPr>
        <w:t>商务标投标文件格式</w:t>
      </w:r>
      <w:bookmarkEnd w:id="110"/>
      <w:bookmarkEnd w:id="111"/>
    </w:p>
    <w:p w14:paraId="3AED493F">
      <w:pPr>
        <w:pStyle w:val="23"/>
        <w:adjustRightInd w:val="0"/>
        <w:snapToGrid w:val="0"/>
        <w:spacing w:beforeLines="20" w:afterLines="20" w:line="360" w:lineRule="auto"/>
        <w:ind w:right="-4" w:rightChars="-2"/>
        <w:jc w:val="center"/>
        <w:rPr>
          <w:rFonts w:ascii="仿宋" w:hAnsi="仿宋" w:eastAsia="仿宋" w:cs="仿宋"/>
          <w:sz w:val="24"/>
          <w:szCs w:val="24"/>
        </w:rPr>
      </w:pPr>
    </w:p>
    <w:p w14:paraId="57FAA894">
      <w:pPr>
        <w:pStyle w:val="23"/>
        <w:adjustRightInd w:val="0"/>
        <w:snapToGrid w:val="0"/>
        <w:spacing w:beforeLines="20" w:afterLines="20" w:line="360" w:lineRule="auto"/>
        <w:ind w:right="-4" w:rightChars="-2"/>
        <w:jc w:val="center"/>
        <w:rPr>
          <w:rFonts w:ascii="仿宋" w:hAnsi="仿宋" w:eastAsia="仿宋" w:cs="仿宋"/>
          <w:sz w:val="24"/>
          <w:szCs w:val="24"/>
        </w:rPr>
      </w:pPr>
    </w:p>
    <w:p w14:paraId="21E300DE">
      <w:pPr>
        <w:pStyle w:val="23"/>
        <w:adjustRightInd w:val="0"/>
        <w:snapToGrid w:val="0"/>
        <w:spacing w:beforeLines="20" w:afterLines="20" w:line="360" w:lineRule="auto"/>
        <w:ind w:right="-4" w:rightChars="-2"/>
        <w:jc w:val="center"/>
        <w:rPr>
          <w:rFonts w:ascii="仿宋" w:hAnsi="仿宋" w:eastAsia="仿宋" w:cs="仿宋"/>
          <w:b/>
          <w:sz w:val="44"/>
          <w:szCs w:val="44"/>
        </w:rPr>
      </w:pPr>
      <w:r>
        <w:rPr>
          <w:rFonts w:hint="eastAsia" w:ascii="仿宋" w:hAnsi="仿宋" w:eastAsia="仿宋" w:cs="仿宋"/>
          <w:b/>
          <w:sz w:val="44"/>
          <w:szCs w:val="44"/>
        </w:rPr>
        <w:t>投标文件</w:t>
      </w:r>
    </w:p>
    <w:p w14:paraId="3F8F8F58">
      <w:pPr>
        <w:pStyle w:val="23"/>
        <w:adjustRightInd w:val="0"/>
        <w:snapToGrid w:val="0"/>
        <w:spacing w:beforeLines="20" w:afterLines="20" w:line="360" w:lineRule="auto"/>
        <w:ind w:right="-4" w:rightChars="-2"/>
        <w:jc w:val="center"/>
        <w:rPr>
          <w:rFonts w:ascii="仿宋" w:hAnsi="仿宋" w:eastAsia="仿宋" w:cs="仿宋"/>
          <w:sz w:val="24"/>
          <w:szCs w:val="24"/>
        </w:rPr>
      </w:pPr>
      <w:r>
        <w:rPr>
          <w:rFonts w:hint="eastAsia" w:ascii="仿宋" w:hAnsi="仿宋" w:eastAsia="仿宋" w:cs="仿宋"/>
          <w:sz w:val="24"/>
          <w:szCs w:val="24"/>
        </w:rPr>
        <w:t>招标项目编号：</w:t>
      </w:r>
    </w:p>
    <w:p w14:paraId="777D9CE3">
      <w:pPr>
        <w:pStyle w:val="23"/>
        <w:adjustRightInd w:val="0"/>
        <w:snapToGrid w:val="0"/>
        <w:spacing w:beforeLines="20" w:afterLines="20" w:line="360" w:lineRule="auto"/>
        <w:ind w:right="-4" w:rightChars="-2"/>
        <w:jc w:val="center"/>
        <w:rPr>
          <w:rFonts w:ascii="仿宋" w:hAnsi="仿宋" w:eastAsia="仿宋" w:cs="仿宋"/>
          <w:sz w:val="24"/>
          <w:szCs w:val="24"/>
        </w:rPr>
      </w:pPr>
    </w:p>
    <w:p w14:paraId="4F1C082B">
      <w:pPr>
        <w:pStyle w:val="23"/>
        <w:adjustRightInd w:val="0"/>
        <w:snapToGrid w:val="0"/>
        <w:spacing w:beforeLines="20" w:afterLines="20" w:line="360" w:lineRule="auto"/>
        <w:ind w:right="-4" w:rightChars="-2"/>
        <w:jc w:val="center"/>
        <w:rPr>
          <w:rFonts w:ascii="仿宋" w:hAnsi="仿宋" w:eastAsia="仿宋" w:cs="仿宋"/>
          <w:sz w:val="24"/>
          <w:szCs w:val="24"/>
        </w:rPr>
      </w:pPr>
    </w:p>
    <w:p w14:paraId="62F535EE">
      <w:pPr>
        <w:pStyle w:val="23"/>
        <w:adjustRightInd w:val="0"/>
        <w:snapToGrid w:val="0"/>
        <w:spacing w:beforeLines="20" w:afterLines="20" w:line="360" w:lineRule="auto"/>
        <w:ind w:right="-4" w:rightChars="-2"/>
        <w:jc w:val="center"/>
        <w:rPr>
          <w:rFonts w:ascii="仿宋" w:hAnsi="仿宋" w:eastAsia="仿宋" w:cs="仿宋"/>
          <w:sz w:val="24"/>
          <w:szCs w:val="24"/>
        </w:rPr>
      </w:pPr>
      <w:r>
        <w:rPr>
          <w:rFonts w:hint="eastAsia" w:ascii="仿宋" w:hAnsi="仿宋" w:eastAsia="仿宋" w:cs="仿宋"/>
          <w:sz w:val="24"/>
          <w:szCs w:val="24"/>
        </w:rPr>
        <w:t xml:space="preserve">  </w:t>
      </w:r>
    </w:p>
    <w:p w14:paraId="4E968950">
      <w:pPr>
        <w:pStyle w:val="23"/>
        <w:adjustRightInd w:val="0"/>
        <w:snapToGrid w:val="0"/>
        <w:spacing w:beforeLines="20" w:afterLines="20" w:line="360" w:lineRule="auto"/>
        <w:ind w:right="-4" w:rightChars="-2"/>
        <w:jc w:val="center"/>
        <w:rPr>
          <w:rFonts w:ascii="仿宋" w:hAnsi="仿宋" w:eastAsia="仿宋" w:cs="仿宋"/>
          <w:sz w:val="24"/>
          <w:szCs w:val="24"/>
        </w:rPr>
      </w:pPr>
    </w:p>
    <w:p w14:paraId="464565E1">
      <w:pPr>
        <w:pStyle w:val="24"/>
        <w:rPr>
          <w:rFonts w:ascii="仿宋" w:hAnsi="仿宋" w:eastAsia="仿宋" w:cs="仿宋"/>
          <w:sz w:val="24"/>
        </w:rPr>
      </w:pPr>
    </w:p>
    <w:p w14:paraId="19E5EC45">
      <w:pPr>
        <w:rPr>
          <w:rFonts w:ascii="仿宋" w:hAnsi="仿宋" w:eastAsia="仿宋" w:cs="仿宋"/>
          <w:sz w:val="24"/>
          <w:szCs w:val="24"/>
        </w:rPr>
      </w:pPr>
    </w:p>
    <w:p w14:paraId="1727A3FC">
      <w:pPr>
        <w:pStyle w:val="2"/>
        <w:ind w:firstLine="480"/>
        <w:rPr>
          <w:rFonts w:ascii="仿宋" w:hAnsi="仿宋" w:eastAsia="仿宋" w:cs="仿宋"/>
          <w:sz w:val="24"/>
          <w:szCs w:val="24"/>
        </w:rPr>
      </w:pPr>
    </w:p>
    <w:p w14:paraId="0E0331C5">
      <w:pPr>
        <w:pStyle w:val="2"/>
        <w:ind w:firstLine="480"/>
        <w:rPr>
          <w:rFonts w:ascii="仿宋" w:hAnsi="仿宋" w:eastAsia="仿宋" w:cs="仿宋"/>
          <w:sz w:val="24"/>
          <w:szCs w:val="24"/>
        </w:rPr>
      </w:pPr>
    </w:p>
    <w:p w14:paraId="42F9060B">
      <w:pPr>
        <w:pStyle w:val="2"/>
        <w:ind w:firstLine="480"/>
        <w:rPr>
          <w:rFonts w:ascii="仿宋" w:hAnsi="仿宋" w:eastAsia="仿宋" w:cs="仿宋"/>
          <w:sz w:val="24"/>
          <w:szCs w:val="24"/>
        </w:rPr>
      </w:pPr>
    </w:p>
    <w:p w14:paraId="7E00FB77">
      <w:pPr>
        <w:pStyle w:val="2"/>
        <w:ind w:firstLine="480"/>
        <w:rPr>
          <w:rFonts w:ascii="仿宋" w:hAnsi="仿宋" w:eastAsia="仿宋" w:cs="仿宋"/>
          <w:sz w:val="24"/>
          <w:szCs w:val="24"/>
        </w:rPr>
      </w:pPr>
    </w:p>
    <w:p w14:paraId="69BA9918">
      <w:pPr>
        <w:pStyle w:val="2"/>
        <w:ind w:firstLine="480"/>
        <w:rPr>
          <w:rFonts w:ascii="仿宋" w:hAnsi="仿宋" w:eastAsia="仿宋" w:cs="仿宋"/>
          <w:sz w:val="24"/>
          <w:szCs w:val="24"/>
        </w:rPr>
      </w:pPr>
    </w:p>
    <w:p w14:paraId="750487F0">
      <w:pPr>
        <w:pStyle w:val="2"/>
        <w:ind w:firstLine="480"/>
        <w:rPr>
          <w:rFonts w:ascii="仿宋" w:hAnsi="仿宋" w:eastAsia="仿宋" w:cs="仿宋"/>
          <w:sz w:val="24"/>
          <w:szCs w:val="24"/>
        </w:rPr>
      </w:pPr>
    </w:p>
    <w:p w14:paraId="479C4E82">
      <w:pPr>
        <w:pStyle w:val="25"/>
        <w:adjustRightInd w:val="0"/>
        <w:snapToGrid w:val="0"/>
        <w:spacing w:beforeLines="20" w:afterLines="20" w:line="360" w:lineRule="auto"/>
        <w:ind w:left="143" w:leftChars="68" w:right="-4" w:rightChars="-2" w:firstLine="831" w:firstLineChars="345"/>
        <w:rPr>
          <w:rFonts w:ascii="仿宋" w:hAnsi="仿宋" w:eastAsia="仿宋" w:cs="仿宋"/>
          <w:b/>
          <w:bCs/>
          <w:sz w:val="24"/>
          <w:u w:val="single"/>
        </w:rPr>
      </w:pPr>
      <w:r>
        <w:rPr>
          <w:rFonts w:hint="eastAsia" w:ascii="仿宋" w:hAnsi="仿宋" w:eastAsia="仿宋" w:cs="仿宋"/>
          <w:b/>
          <w:bCs/>
          <w:sz w:val="24"/>
        </w:rPr>
        <w:t>项目名称：</w:t>
      </w:r>
    </w:p>
    <w:p w14:paraId="0053E583">
      <w:pPr>
        <w:pStyle w:val="25"/>
        <w:adjustRightInd w:val="0"/>
        <w:snapToGrid w:val="0"/>
        <w:spacing w:beforeLines="20" w:afterLines="20" w:line="360" w:lineRule="auto"/>
        <w:ind w:left="143" w:leftChars="68" w:right="-4" w:rightChars="-2" w:firstLine="831" w:firstLineChars="345"/>
        <w:rPr>
          <w:rFonts w:ascii="仿宋" w:hAnsi="仿宋" w:eastAsia="仿宋" w:cs="仿宋"/>
          <w:b/>
          <w:bCs/>
          <w:sz w:val="24"/>
        </w:rPr>
      </w:pPr>
      <w:r>
        <w:rPr>
          <w:rFonts w:hint="eastAsia" w:ascii="仿宋" w:hAnsi="仿宋" w:eastAsia="仿宋" w:cs="仿宋"/>
          <w:b/>
          <w:bCs/>
          <w:sz w:val="24"/>
        </w:rPr>
        <w:t>投标文件内容：</w:t>
      </w:r>
      <w:r>
        <w:rPr>
          <w:rFonts w:hint="eastAsia" w:ascii="仿宋" w:hAnsi="仿宋" w:eastAsia="仿宋" w:cs="仿宋"/>
          <w:b/>
          <w:bCs/>
          <w:sz w:val="24"/>
          <w:u w:val="single"/>
        </w:rPr>
        <w:tab/>
      </w:r>
      <w:r>
        <w:rPr>
          <w:rFonts w:hint="eastAsia" w:ascii="仿宋" w:hAnsi="仿宋" w:eastAsia="仿宋" w:cs="仿宋"/>
          <w:b/>
          <w:bCs/>
          <w:sz w:val="24"/>
          <w:u w:val="single"/>
        </w:rPr>
        <w:t xml:space="preserve"> 投标文件商务标</w:t>
      </w:r>
      <w:r>
        <w:rPr>
          <w:rFonts w:hint="eastAsia" w:ascii="仿宋" w:hAnsi="仿宋" w:eastAsia="仿宋" w:cs="仿宋"/>
          <w:b/>
          <w:bCs/>
          <w:sz w:val="24"/>
          <w:u w:val="single"/>
        </w:rPr>
        <w:tab/>
      </w:r>
      <w:r>
        <w:rPr>
          <w:rFonts w:hint="eastAsia" w:ascii="仿宋" w:hAnsi="仿宋" w:eastAsia="仿宋" w:cs="仿宋"/>
          <w:b/>
          <w:bCs/>
          <w:sz w:val="24"/>
          <w:u w:val="single"/>
        </w:rPr>
        <w:tab/>
      </w:r>
    </w:p>
    <w:p w14:paraId="71BB104A">
      <w:pPr>
        <w:pStyle w:val="25"/>
        <w:adjustRightInd w:val="0"/>
        <w:snapToGrid w:val="0"/>
        <w:spacing w:beforeLines="20" w:afterLines="20" w:line="360" w:lineRule="auto"/>
        <w:ind w:left="143" w:leftChars="68" w:right="-4" w:rightChars="-2" w:firstLine="831" w:firstLineChars="345"/>
        <w:rPr>
          <w:rFonts w:ascii="仿宋" w:hAnsi="仿宋" w:eastAsia="仿宋" w:cs="仿宋"/>
          <w:b/>
          <w:bCs/>
          <w:sz w:val="24"/>
          <w:u w:val="single"/>
        </w:rPr>
      </w:pPr>
      <w:r>
        <w:rPr>
          <w:rFonts w:hint="eastAsia" w:ascii="仿宋" w:hAnsi="仿宋" w:eastAsia="仿宋" w:cs="仿宋"/>
          <w:b/>
          <w:bCs/>
          <w:sz w:val="24"/>
        </w:rPr>
        <w:t>供应商：</w:t>
      </w:r>
      <w:r>
        <w:rPr>
          <w:rFonts w:hint="eastAsia" w:ascii="仿宋" w:hAnsi="仿宋" w:eastAsia="仿宋" w:cs="仿宋"/>
          <w:b/>
          <w:bCs/>
          <w:sz w:val="24"/>
          <w:u w:val="single"/>
        </w:rPr>
        <w:t xml:space="preserve">            （盖章）              </w:t>
      </w:r>
    </w:p>
    <w:p w14:paraId="398836D6">
      <w:pPr>
        <w:pStyle w:val="25"/>
        <w:adjustRightInd w:val="0"/>
        <w:snapToGrid w:val="0"/>
        <w:spacing w:beforeLines="20" w:afterLines="20" w:line="360" w:lineRule="auto"/>
        <w:ind w:left="143" w:leftChars="68" w:right="-4" w:rightChars="-2" w:firstLine="831" w:firstLineChars="345"/>
        <w:rPr>
          <w:rFonts w:ascii="仿宋" w:hAnsi="仿宋" w:eastAsia="仿宋" w:cs="仿宋"/>
          <w:b/>
          <w:bCs/>
          <w:sz w:val="24"/>
          <w:u w:val="single"/>
        </w:rPr>
      </w:pPr>
      <w:r>
        <w:rPr>
          <w:rFonts w:hint="eastAsia" w:ascii="仿宋" w:hAnsi="仿宋" w:eastAsia="仿宋" w:cs="仿宋"/>
          <w:b/>
          <w:bCs/>
          <w:sz w:val="24"/>
        </w:rPr>
        <w:t>法定代表人或其委托代理人：</w:t>
      </w:r>
      <w:r>
        <w:rPr>
          <w:rFonts w:hint="eastAsia" w:ascii="仿宋" w:hAnsi="仿宋" w:eastAsia="仿宋" w:cs="仿宋"/>
          <w:b/>
          <w:bCs/>
          <w:sz w:val="24"/>
          <w:u w:val="single"/>
        </w:rPr>
        <w:t xml:space="preserve">   （签字或盖章） </w:t>
      </w:r>
    </w:p>
    <w:p w14:paraId="432DB3F8">
      <w:pPr>
        <w:adjustRightInd w:val="0"/>
        <w:snapToGrid w:val="0"/>
        <w:spacing w:beforeLines="20" w:afterLines="20" w:line="360" w:lineRule="auto"/>
        <w:ind w:right="-4" w:rightChars="-2"/>
        <w:rPr>
          <w:rFonts w:ascii="仿宋" w:hAnsi="仿宋" w:eastAsia="仿宋" w:cs="仿宋"/>
          <w:b/>
          <w:sz w:val="24"/>
          <w:szCs w:val="24"/>
        </w:rPr>
      </w:pPr>
    </w:p>
    <w:p w14:paraId="7E0352C9">
      <w:pPr>
        <w:adjustRightInd w:val="0"/>
        <w:snapToGrid w:val="0"/>
        <w:spacing w:beforeLines="20" w:afterLines="20" w:line="360" w:lineRule="auto"/>
        <w:ind w:right="-4" w:rightChars="-2"/>
        <w:jc w:val="center"/>
        <w:rPr>
          <w:rFonts w:ascii="仿宋" w:hAnsi="仿宋" w:eastAsia="仿宋" w:cs="仿宋"/>
          <w:b/>
          <w:sz w:val="24"/>
          <w:szCs w:val="24"/>
        </w:rPr>
      </w:pPr>
      <w:r>
        <w:rPr>
          <w:rFonts w:hint="eastAsia" w:ascii="仿宋" w:hAnsi="仿宋" w:eastAsia="仿宋" w:cs="仿宋"/>
          <w:b/>
          <w:sz w:val="24"/>
          <w:szCs w:val="24"/>
        </w:rPr>
        <w:t>日  期： 年 月日</w:t>
      </w:r>
    </w:p>
    <w:bookmarkEnd w:id="112"/>
    <w:p w14:paraId="272DD00D">
      <w:pPr>
        <w:spacing w:line="360" w:lineRule="auto"/>
        <w:jc w:val="center"/>
        <w:rPr>
          <w:rFonts w:ascii="仿宋" w:hAnsi="仿宋" w:eastAsia="仿宋" w:cs="仿宋"/>
          <w:b/>
          <w:bCs/>
          <w:sz w:val="24"/>
          <w:szCs w:val="24"/>
        </w:rPr>
      </w:pPr>
    </w:p>
    <w:bookmarkEnd w:id="113"/>
    <w:p w14:paraId="7BB7628B">
      <w:pPr>
        <w:spacing w:line="360" w:lineRule="auto"/>
        <w:ind w:firstLine="645"/>
        <w:jc w:val="center"/>
        <w:rPr>
          <w:rFonts w:ascii="仿宋" w:hAnsi="仿宋" w:eastAsia="仿宋" w:cs="仿宋"/>
          <w:b/>
          <w:bCs/>
          <w:kern w:val="44"/>
          <w:sz w:val="24"/>
          <w:szCs w:val="24"/>
        </w:rPr>
      </w:pPr>
      <w:r>
        <w:rPr>
          <w:rFonts w:hint="eastAsia" w:ascii="仿宋" w:hAnsi="仿宋" w:eastAsia="仿宋" w:cs="仿宋"/>
          <w:sz w:val="24"/>
          <w:szCs w:val="24"/>
        </w:rPr>
        <w:br w:type="page"/>
      </w:r>
      <w:bookmarkStart w:id="114" w:name="_Hlk525933061"/>
      <w:bookmarkStart w:id="115" w:name="_Hlk525927876"/>
      <w:r>
        <w:rPr>
          <w:rFonts w:hint="eastAsia" w:ascii="仿宋" w:hAnsi="仿宋" w:eastAsia="仿宋" w:cs="仿宋"/>
          <w:b/>
          <w:bCs/>
          <w:kern w:val="44"/>
          <w:sz w:val="24"/>
          <w:szCs w:val="24"/>
        </w:rPr>
        <w:t>格式1、投标函</w:t>
      </w:r>
      <w:bookmarkEnd w:id="114"/>
      <w:bookmarkEnd w:id="115"/>
      <w:bookmarkStart w:id="116" w:name="_Toc382508392"/>
      <w:bookmarkStart w:id="117" w:name="_Hlk525928061"/>
      <w:bookmarkStart w:id="118" w:name="_Hlk525936144"/>
      <w:bookmarkStart w:id="119" w:name="_Hlk525933146"/>
    </w:p>
    <w:p w14:paraId="1F6DCE33">
      <w:pPr>
        <w:spacing w:line="360" w:lineRule="auto"/>
        <w:ind w:firstLine="645"/>
        <w:rPr>
          <w:rFonts w:ascii="仿宋" w:hAnsi="仿宋" w:eastAsia="仿宋" w:cs="仿宋"/>
          <w:b/>
          <w:bCs/>
          <w:sz w:val="24"/>
          <w:szCs w:val="24"/>
        </w:rPr>
      </w:pPr>
      <w:r>
        <w:rPr>
          <w:rFonts w:hint="eastAsia" w:ascii="仿宋" w:hAnsi="仿宋" w:eastAsia="仿宋" w:cs="仿宋"/>
          <w:b/>
          <w:bCs/>
          <w:sz w:val="24"/>
          <w:szCs w:val="24"/>
        </w:rPr>
        <w:t>致：</w:t>
      </w:r>
      <w:r>
        <w:rPr>
          <w:rFonts w:hint="eastAsia" w:ascii="仿宋" w:hAnsi="仿宋" w:eastAsia="仿宋" w:cs="仿宋"/>
          <w:b/>
          <w:bCs/>
          <w:sz w:val="24"/>
          <w:szCs w:val="24"/>
          <w:u w:val="single"/>
        </w:rPr>
        <w:t xml:space="preserve">                 （采购人）</w:t>
      </w:r>
      <w:r>
        <w:rPr>
          <w:rFonts w:hint="eastAsia" w:ascii="仿宋" w:hAnsi="仿宋" w:eastAsia="仿宋" w:cs="仿宋"/>
          <w:b/>
          <w:bCs/>
          <w:sz w:val="24"/>
          <w:szCs w:val="24"/>
        </w:rPr>
        <w:t xml:space="preserve"> </w:t>
      </w:r>
    </w:p>
    <w:p w14:paraId="4D4588CA">
      <w:pPr>
        <w:spacing w:line="360" w:lineRule="auto"/>
        <w:ind w:firstLine="645"/>
        <w:rPr>
          <w:rFonts w:ascii="仿宋" w:hAnsi="仿宋" w:eastAsia="仿宋" w:cs="仿宋"/>
          <w:sz w:val="24"/>
          <w:szCs w:val="24"/>
        </w:rPr>
      </w:pPr>
      <w:r>
        <w:rPr>
          <w:rFonts w:hint="eastAsia" w:ascii="仿宋" w:hAnsi="仿宋" w:eastAsia="仿宋" w:cs="仿宋"/>
          <w:sz w:val="24"/>
          <w:szCs w:val="24"/>
        </w:rPr>
        <w:t>1、根据贵单位发布的招标公告和招标项目编号为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的招标文件，我们决定参加你们组织的</w:t>
      </w:r>
      <w:r>
        <w:rPr>
          <w:rFonts w:hint="eastAsia" w:ascii="仿宋" w:hAnsi="仿宋" w:eastAsia="仿宋" w:cs="仿宋"/>
          <w:sz w:val="24"/>
          <w:szCs w:val="24"/>
          <w:u w:val="single"/>
        </w:rPr>
        <w:t>“       ”</w:t>
      </w:r>
      <w:r>
        <w:rPr>
          <w:rFonts w:hint="eastAsia" w:ascii="仿宋" w:hAnsi="仿宋" w:eastAsia="仿宋" w:cs="仿宋"/>
          <w:sz w:val="24"/>
          <w:szCs w:val="24"/>
        </w:rPr>
        <w:t xml:space="preserve"> 项目的招标活动。</w:t>
      </w:r>
    </w:p>
    <w:p w14:paraId="7AC26ABC">
      <w:pPr>
        <w:spacing w:line="360" w:lineRule="auto"/>
        <w:ind w:firstLine="645"/>
        <w:rPr>
          <w:rFonts w:ascii="仿宋" w:hAnsi="仿宋" w:eastAsia="仿宋" w:cs="仿宋"/>
          <w:sz w:val="24"/>
          <w:szCs w:val="24"/>
        </w:rPr>
      </w:pPr>
      <w:r>
        <w:rPr>
          <w:rFonts w:hint="eastAsia" w:ascii="仿宋" w:hAnsi="仿宋" w:eastAsia="仿宋" w:cs="仿宋"/>
          <w:sz w:val="24"/>
          <w:szCs w:val="24"/>
        </w:rPr>
        <w:t>2、我方愿意按照招标文件规定的各项要求，向采购人提供所需的货物与服务，投标总报价为人民币</w:t>
      </w:r>
      <w:r>
        <w:rPr>
          <w:rFonts w:hint="eastAsia" w:ascii="仿宋" w:hAnsi="仿宋" w:eastAsia="仿宋" w:cs="仿宋"/>
          <w:sz w:val="24"/>
          <w:szCs w:val="24"/>
          <w:u w:val="single"/>
        </w:rPr>
        <w:t xml:space="preserve">（大写）       </w:t>
      </w:r>
      <w:r>
        <w:rPr>
          <w:rFonts w:hint="eastAsia" w:ascii="仿宋" w:hAnsi="仿宋" w:eastAsia="仿宋" w:cs="仿宋"/>
          <w:sz w:val="24"/>
          <w:szCs w:val="24"/>
        </w:rPr>
        <w:t>元</w:t>
      </w:r>
      <w:r>
        <w:rPr>
          <w:rFonts w:hint="eastAsia" w:ascii="仿宋" w:hAnsi="仿宋" w:eastAsia="仿宋" w:cs="仿宋"/>
          <w:sz w:val="24"/>
          <w:szCs w:val="24"/>
          <w:u w:val="single"/>
        </w:rPr>
        <w:t xml:space="preserve">（小写）      </w:t>
      </w:r>
      <w:r>
        <w:rPr>
          <w:rFonts w:hint="eastAsia" w:ascii="仿宋" w:hAnsi="仿宋" w:eastAsia="仿宋" w:cs="仿宋"/>
          <w:sz w:val="24"/>
          <w:szCs w:val="24"/>
        </w:rPr>
        <w:t>元，服务期为</w:t>
      </w:r>
      <w:r>
        <w:rPr>
          <w:rFonts w:hint="eastAsia" w:ascii="仿宋" w:hAnsi="仿宋" w:eastAsia="仿宋" w:cs="仿宋"/>
          <w:sz w:val="24"/>
          <w:szCs w:val="24"/>
          <w:u w:val="single"/>
        </w:rPr>
        <w:t xml:space="preserve">      日历天</w:t>
      </w:r>
      <w:r>
        <w:rPr>
          <w:rFonts w:hint="eastAsia" w:ascii="仿宋" w:hAnsi="仿宋" w:eastAsia="仿宋" w:cs="仿宋"/>
          <w:sz w:val="24"/>
          <w:szCs w:val="24"/>
        </w:rPr>
        <w:t>，质量保证期为经相关部门验收合格并交付采购人之日起</w:t>
      </w:r>
      <w:r>
        <w:rPr>
          <w:rFonts w:hint="eastAsia" w:ascii="仿宋" w:hAnsi="仿宋" w:eastAsia="仿宋" w:cs="仿宋"/>
          <w:sz w:val="24"/>
          <w:szCs w:val="24"/>
          <w:u w:val="single"/>
        </w:rPr>
        <w:t xml:space="preserve">      </w:t>
      </w:r>
      <w:r>
        <w:rPr>
          <w:rFonts w:hint="eastAsia" w:ascii="仿宋" w:hAnsi="仿宋" w:eastAsia="仿宋" w:cs="仿宋"/>
          <w:sz w:val="24"/>
          <w:szCs w:val="24"/>
        </w:rPr>
        <w:t>年，工程质量达到</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03E904B0">
      <w:pPr>
        <w:spacing w:line="360" w:lineRule="auto"/>
        <w:ind w:firstLine="645"/>
        <w:rPr>
          <w:rFonts w:ascii="仿宋" w:hAnsi="仿宋" w:eastAsia="仿宋" w:cs="仿宋"/>
          <w:sz w:val="24"/>
          <w:szCs w:val="24"/>
        </w:rPr>
      </w:pPr>
      <w:r>
        <w:rPr>
          <w:rFonts w:hint="eastAsia" w:ascii="仿宋" w:hAnsi="仿宋" w:eastAsia="仿宋" w:cs="仿宋"/>
          <w:sz w:val="24"/>
          <w:szCs w:val="24"/>
        </w:rPr>
        <w:t>3、一旦我方中标，我方将严格履行合同规定的责任和义务，按招标文件要求提交履约保证金，保证于合同签字生效后，按规定的工期完成项目的交货安装并交付采购人验收。</w:t>
      </w:r>
    </w:p>
    <w:p w14:paraId="69D70DD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4、投标有效期为自投标截止之日起</w:t>
      </w:r>
      <w:r>
        <w:rPr>
          <w:rFonts w:hint="eastAsia" w:ascii="仿宋" w:hAnsi="仿宋" w:eastAsia="仿宋" w:cs="仿宋"/>
          <w:sz w:val="24"/>
          <w:szCs w:val="24"/>
          <w:u w:val="single"/>
        </w:rPr>
        <w:t xml:space="preserve">      </w:t>
      </w:r>
      <w:r>
        <w:rPr>
          <w:rFonts w:hint="eastAsia" w:ascii="仿宋" w:hAnsi="仿宋" w:eastAsia="仿宋" w:cs="仿宋"/>
          <w:sz w:val="24"/>
          <w:szCs w:val="24"/>
        </w:rPr>
        <w:t>日历天；投标保证金金额为</w:t>
      </w:r>
      <w:r>
        <w:rPr>
          <w:rFonts w:hint="eastAsia" w:ascii="仿宋" w:hAnsi="仿宋" w:eastAsia="仿宋" w:cs="仿宋"/>
          <w:sz w:val="24"/>
          <w:szCs w:val="24"/>
          <w:u w:val="single"/>
        </w:rPr>
        <w:t xml:space="preserve">  （大写）</w:t>
      </w:r>
      <w:r>
        <w:rPr>
          <w:rFonts w:hint="eastAsia" w:ascii="仿宋" w:hAnsi="仿宋" w:eastAsia="仿宋" w:cs="仿宋"/>
          <w:sz w:val="24"/>
          <w:szCs w:val="24"/>
        </w:rPr>
        <w:t>元人民币。我方承诺完全响应招标文件及补充、澄清、修改文件中的全部内容。</w:t>
      </w:r>
    </w:p>
    <w:p w14:paraId="75C1EB5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5、我方愿意提供采购人可能另外要求的、与投标有关的文件资料，并保证我方已提供和将要提供的文件是真实的、准确的。</w:t>
      </w:r>
    </w:p>
    <w:p w14:paraId="6D955DB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6、我方完全理解你们不一定将合同授予最低报价的供应商。</w:t>
      </w:r>
    </w:p>
    <w:p w14:paraId="27789BB9">
      <w:pPr>
        <w:spacing w:line="360" w:lineRule="auto"/>
        <w:ind w:firstLine="645"/>
        <w:jc w:val="left"/>
        <w:rPr>
          <w:rFonts w:ascii="仿宋" w:hAnsi="仿宋" w:eastAsia="仿宋" w:cs="仿宋"/>
          <w:sz w:val="24"/>
          <w:szCs w:val="24"/>
        </w:rPr>
      </w:pPr>
      <w:r>
        <w:rPr>
          <w:rFonts w:hint="eastAsia" w:ascii="仿宋" w:hAnsi="仿宋" w:eastAsia="仿宋" w:cs="仿宋"/>
          <w:sz w:val="24"/>
          <w:szCs w:val="24"/>
        </w:rPr>
        <w:t xml:space="preserve">供应商名称：        （公    章）                   </w:t>
      </w:r>
    </w:p>
    <w:p w14:paraId="55CA4B58">
      <w:pPr>
        <w:spacing w:line="360" w:lineRule="auto"/>
        <w:ind w:firstLine="645"/>
        <w:jc w:val="left"/>
        <w:rPr>
          <w:rFonts w:ascii="仿宋" w:hAnsi="仿宋" w:eastAsia="仿宋" w:cs="仿宋"/>
          <w:sz w:val="24"/>
          <w:szCs w:val="24"/>
        </w:rPr>
      </w:pPr>
      <w:r>
        <w:rPr>
          <w:rFonts w:hint="eastAsia" w:ascii="仿宋" w:hAnsi="仿宋" w:eastAsia="仿宋" w:cs="仿宋"/>
          <w:sz w:val="24"/>
          <w:szCs w:val="24"/>
        </w:rPr>
        <w:t>法定代表人（签字或盖章）：</w:t>
      </w:r>
    </w:p>
    <w:p w14:paraId="216876A5">
      <w:pPr>
        <w:spacing w:line="360" w:lineRule="auto"/>
        <w:ind w:firstLine="645"/>
        <w:jc w:val="left"/>
        <w:rPr>
          <w:rFonts w:ascii="仿宋" w:hAnsi="仿宋" w:eastAsia="仿宋" w:cs="仿宋"/>
          <w:sz w:val="24"/>
          <w:szCs w:val="24"/>
        </w:rPr>
      </w:pPr>
      <w:r>
        <w:rPr>
          <w:rFonts w:hint="eastAsia" w:ascii="仿宋" w:hAnsi="仿宋" w:eastAsia="仿宋" w:cs="仿宋"/>
          <w:sz w:val="24"/>
          <w:szCs w:val="24"/>
        </w:rPr>
        <w:t>日     期：</w:t>
      </w:r>
    </w:p>
    <w:p w14:paraId="1F5D01BD">
      <w:pPr>
        <w:spacing w:line="360" w:lineRule="auto"/>
        <w:ind w:firstLine="645"/>
        <w:jc w:val="left"/>
        <w:rPr>
          <w:rFonts w:ascii="仿宋" w:hAnsi="仿宋" w:eastAsia="仿宋" w:cs="仿宋"/>
          <w:sz w:val="24"/>
          <w:szCs w:val="24"/>
        </w:rPr>
      </w:pPr>
      <w:r>
        <w:rPr>
          <w:rFonts w:hint="eastAsia" w:ascii="仿宋" w:hAnsi="仿宋" w:eastAsia="仿宋" w:cs="仿宋"/>
          <w:sz w:val="24"/>
          <w:szCs w:val="24"/>
        </w:rPr>
        <w:t>通讯地址：</w:t>
      </w:r>
    </w:p>
    <w:p w14:paraId="1BAA73FD">
      <w:pPr>
        <w:spacing w:line="360" w:lineRule="auto"/>
        <w:ind w:firstLine="645"/>
        <w:jc w:val="left"/>
        <w:rPr>
          <w:rFonts w:ascii="仿宋" w:hAnsi="仿宋" w:eastAsia="仿宋" w:cs="仿宋"/>
          <w:sz w:val="24"/>
          <w:szCs w:val="24"/>
        </w:rPr>
      </w:pPr>
      <w:r>
        <w:rPr>
          <w:rFonts w:hint="eastAsia" w:ascii="仿宋" w:hAnsi="仿宋" w:eastAsia="仿宋" w:cs="仿宋"/>
          <w:sz w:val="24"/>
          <w:szCs w:val="24"/>
        </w:rPr>
        <w:t>邮政编码：     电   话：</w:t>
      </w:r>
    </w:p>
    <w:p w14:paraId="73387B11">
      <w:pPr>
        <w:spacing w:line="360" w:lineRule="auto"/>
        <w:ind w:firstLine="645"/>
        <w:jc w:val="left"/>
        <w:rPr>
          <w:rFonts w:ascii="仿宋" w:hAnsi="仿宋" w:eastAsia="仿宋" w:cs="仿宋"/>
          <w:sz w:val="24"/>
          <w:szCs w:val="24"/>
        </w:rPr>
      </w:pPr>
      <w:r>
        <w:rPr>
          <w:rFonts w:hint="eastAsia" w:ascii="仿宋" w:hAnsi="仿宋" w:eastAsia="仿宋" w:cs="仿宋"/>
          <w:sz w:val="24"/>
          <w:szCs w:val="24"/>
        </w:rPr>
        <w:t>传    真：</w:t>
      </w:r>
    </w:p>
    <w:p w14:paraId="1D63974E">
      <w:pPr>
        <w:widowControl/>
        <w:spacing w:line="360" w:lineRule="auto"/>
        <w:jc w:val="left"/>
        <w:rPr>
          <w:rFonts w:ascii="仿宋" w:hAnsi="仿宋" w:eastAsia="仿宋" w:cs="仿宋"/>
          <w:b/>
          <w:bCs/>
          <w:sz w:val="24"/>
          <w:szCs w:val="24"/>
        </w:rPr>
      </w:pPr>
      <w:r>
        <w:rPr>
          <w:rFonts w:hint="eastAsia" w:ascii="仿宋" w:hAnsi="仿宋" w:eastAsia="仿宋" w:cs="仿宋"/>
          <w:b/>
          <w:bCs/>
          <w:sz w:val="24"/>
          <w:szCs w:val="24"/>
        </w:rPr>
        <w:br w:type="page"/>
      </w:r>
    </w:p>
    <w:p w14:paraId="53B5DE31">
      <w:pPr>
        <w:spacing w:line="360" w:lineRule="auto"/>
        <w:jc w:val="center"/>
        <w:rPr>
          <w:rFonts w:ascii="仿宋" w:hAnsi="仿宋" w:eastAsia="仿宋" w:cs="仿宋"/>
          <w:sz w:val="24"/>
          <w:szCs w:val="24"/>
        </w:rPr>
      </w:pPr>
      <w:r>
        <w:rPr>
          <w:rFonts w:hint="eastAsia" w:ascii="仿宋" w:hAnsi="仿宋" w:eastAsia="仿宋" w:cs="仿宋"/>
          <w:b/>
          <w:bCs/>
          <w:sz w:val="24"/>
          <w:szCs w:val="24"/>
        </w:rPr>
        <w:t>格式2、开标一览表</w:t>
      </w:r>
    </w:p>
    <w:p w14:paraId="3200AD30">
      <w:pPr>
        <w:spacing w:line="360" w:lineRule="auto"/>
        <w:rPr>
          <w:rFonts w:ascii="仿宋" w:hAnsi="仿宋" w:eastAsia="仿宋" w:cs="仿宋"/>
          <w:sz w:val="24"/>
          <w:szCs w:val="24"/>
        </w:rPr>
      </w:pPr>
    </w:p>
    <w:p w14:paraId="3B9DAB25">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 xml:space="preserve">采购项目编号： </w:t>
      </w:r>
    </w:p>
    <w:p w14:paraId="029F76F2">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 xml:space="preserve">采购项目名称： </w:t>
      </w:r>
    </w:p>
    <w:p w14:paraId="27D079C4">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 xml:space="preserve">供应商名称： </w:t>
      </w:r>
    </w:p>
    <w:tbl>
      <w:tblPr>
        <w:tblStyle w:val="5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7"/>
        <w:gridCol w:w="6555"/>
      </w:tblGrid>
      <w:tr w14:paraId="1795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7" w:type="dxa"/>
            <w:vAlign w:val="center"/>
          </w:tcPr>
          <w:p w14:paraId="743065FE">
            <w:pPr>
              <w:spacing w:line="360" w:lineRule="auto"/>
              <w:jc w:val="left"/>
              <w:rPr>
                <w:rFonts w:ascii="仿宋" w:hAnsi="仿宋" w:eastAsia="仿宋" w:cs="仿宋"/>
                <w:sz w:val="24"/>
                <w:szCs w:val="24"/>
              </w:rPr>
            </w:pPr>
            <w:r>
              <w:rPr>
                <w:rFonts w:hint="eastAsia" w:ascii="仿宋" w:hAnsi="仿宋" w:eastAsia="仿宋" w:cs="仿宋"/>
                <w:sz w:val="24"/>
                <w:szCs w:val="24"/>
              </w:rPr>
              <w:t>项目名称</w:t>
            </w:r>
          </w:p>
        </w:tc>
        <w:tc>
          <w:tcPr>
            <w:tcW w:w="6555" w:type="dxa"/>
            <w:vAlign w:val="center"/>
          </w:tcPr>
          <w:p w14:paraId="2A93034E">
            <w:pPr>
              <w:spacing w:line="360" w:lineRule="auto"/>
              <w:jc w:val="left"/>
              <w:rPr>
                <w:rFonts w:ascii="仿宋" w:hAnsi="仿宋" w:eastAsia="仿宋" w:cs="仿宋"/>
                <w:sz w:val="24"/>
                <w:szCs w:val="24"/>
              </w:rPr>
            </w:pPr>
          </w:p>
        </w:tc>
      </w:tr>
      <w:tr w14:paraId="4A2D7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7" w:type="dxa"/>
            <w:vAlign w:val="center"/>
          </w:tcPr>
          <w:p w14:paraId="160906AD">
            <w:pPr>
              <w:spacing w:line="360" w:lineRule="auto"/>
              <w:jc w:val="left"/>
              <w:rPr>
                <w:rFonts w:ascii="仿宋" w:hAnsi="仿宋" w:eastAsia="仿宋" w:cs="仿宋"/>
                <w:sz w:val="24"/>
                <w:szCs w:val="24"/>
              </w:rPr>
            </w:pPr>
            <w:r>
              <w:rPr>
                <w:rFonts w:hint="eastAsia" w:ascii="仿宋" w:hAnsi="仿宋" w:eastAsia="仿宋" w:cs="仿宋"/>
                <w:sz w:val="24"/>
                <w:szCs w:val="24"/>
              </w:rPr>
              <w:t>投标保证金数额：</w:t>
            </w:r>
          </w:p>
        </w:tc>
        <w:tc>
          <w:tcPr>
            <w:tcW w:w="6555" w:type="dxa"/>
            <w:vAlign w:val="center"/>
          </w:tcPr>
          <w:p w14:paraId="6A0C2449">
            <w:pPr>
              <w:spacing w:line="360" w:lineRule="auto"/>
              <w:jc w:val="left"/>
              <w:rPr>
                <w:rFonts w:ascii="仿宋" w:hAnsi="仿宋" w:eastAsia="仿宋" w:cs="仿宋"/>
                <w:sz w:val="24"/>
                <w:szCs w:val="24"/>
              </w:rPr>
            </w:pPr>
            <w:r>
              <w:rPr>
                <w:rFonts w:hint="eastAsia" w:ascii="仿宋" w:hAnsi="仿宋" w:eastAsia="仿宋" w:cs="仿宋"/>
                <w:sz w:val="24"/>
                <w:szCs w:val="24"/>
              </w:rPr>
              <w:t>人民币小写（元）：</w:t>
            </w:r>
          </w:p>
          <w:p w14:paraId="4DAF1E25">
            <w:pPr>
              <w:spacing w:line="360" w:lineRule="auto"/>
              <w:jc w:val="left"/>
              <w:rPr>
                <w:rFonts w:ascii="仿宋" w:hAnsi="仿宋" w:eastAsia="仿宋" w:cs="仿宋"/>
                <w:sz w:val="24"/>
                <w:szCs w:val="24"/>
              </w:rPr>
            </w:pPr>
            <w:r>
              <w:rPr>
                <w:rFonts w:hint="eastAsia" w:ascii="仿宋" w:hAnsi="仿宋" w:eastAsia="仿宋" w:cs="仿宋"/>
                <w:sz w:val="24"/>
                <w:szCs w:val="24"/>
              </w:rPr>
              <w:t>人民币大写（元）：</w:t>
            </w:r>
          </w:p>
        </w:tc>
      </w:tr>
      <w:tr w14:paraId="508F1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7" w:type="dxa"/>
            <w:vAlign w:val="center"/>
          </w:tcPr>
          <w:p w14:paraId="34614139">
            <w:pPr>
              <w:spacing w:line="360" w:lineRule="auto"/>
              <w:jc w:val="left"/>
              <w:rPr>
                <w:rFonts w:ascii="仿宋" w:hAnsi="仿宋" w:eastAsia="仿宋" w:cs="仿宋"/>
                <w:sz w:val="24"/>
                <w:szCs w:val="24"/>
              </w:rPr>
            </w:pPr>
            <w:r>
              <w:rPr>
                <w:rFonts w:hint="eastAsia" w:ascii="仿宋" w:hAnsi="仿宋" w:eastAsia="仿宋" w:cs="仿宋"/>
                <w:sz w:val="24"/>
                <w:szCs w:val="24"/>
              </w:rPr>
              <w:t>投标报价</w:t>
            </w:r>
          </w:p>
        </w:tc>
        <w:tc>
          <w:tcPr>
            <w:tcW w:w="6555" w:type="dxa"/>
            <w:vAlign w:val="center"/>
          </w:tcPr>
          <w:p w14:paraId="10F3B995">
            <w:pPr>
              <w:spacing w:line="360" w:lineRule="auto"/>
              <w:jc w:val="left"/>
              <w:rPr>
                <w:rFonts w:ascii="仿宋" w:hAnsi="仿宋" w:eastAsia="仿宋" w:cs="仿宋"/>
                <w:sz w:val="24"/>
                <w:szCs w:val="24"/>
              </w:rPr>
            </w:pPr>
            <w:r>
              <w:rPr>
                <w:rFonts w:hint="eastAsia" w:ascii="仿宋" w:hAnsi="仿宋" w:eastAsia="仿宋" w:cs="仿宋"/>
                <w:sz w:val="24"/>
                <w:szCs w:val="24"/>
              </w:rPr>
              <w:t>人民币小写（元）：</w:t>
            </w:r>
          </w:p>
          <w:p w14:paraId="78BB7404">
            <w:pPr>
              <w:spacing w:line="360" w:lineRule="auto"/>
              <w:jc w:val="left"/>
              <w:rPr>
                <w:rFonts w:ascii="仿宋" w:hAnsi="仿宋" w:eastAsia="仿宋" w:cs="仿宋"/>
                <w:sz w:val="24"/>
                <w:szCs w:val="24"/>
              </w:rPr>
            </w:pPr>
            <w:r>
              <w:rPr>
                <w:rFonts w:hint="eastAsia" w:ascii="仿宋" w:hAnsi="仿宋" w:eastAsia="仿宋" w:cs="仿宋"/>
                <w:sz w:val="24"/>
                <w:szCs w:val="24"/>
              </w:rPr>
              <w:t>人民币大写（元）：</w:t>
            </w:r>
          </w:p>
        </w:tc>
      </w:tr>
      <w:tr w14:paraId="77E0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7" w:type="dxa"/>
            <w:vAlign w:val="center"/>
          </w:tcPr>
          <w:p w14:paraId="690582EE">
            <w:pPr>
              <w:spacing w:line="360" w:lineRule="auto"/>
              <w:jc w:val="left"/>
              <w:rPr>
                <w:rFonts w:ascii="仿宋" w:hAnsi="仿宋" w:eastAsia="仿宋" w:cs="仿宋"/>
                <w:sz w:val="24"/>
                <w:szCs w:val="24"/>
              </w:rPr>
            </w:pPr>
            <w:r>
              <w:rPr>
                <w:rFonts w:hint="eastAsia" w:ascii="仿宋" w:hAnsi="仿宋" w:eastAsia="仿宋" w:cs="仿宋"/>
                <w:sz w:val="24"/>
                <w:szCs w:val="24"/>
              </w:rPr>
              <w:t>供货期</w:t>
            </w:r>
          </w:p>
        </w:tc>
        <w:tc>
          <w:tcPr>
            <w:tcW w:w="6555" w:type="dxa"/>
            <w:vAlign w:val="center"/>
          </w:tcPr>
          <w:p w14:paraId="3B506C06">
            <w:pPr>
              <w:spacing w:line="360" w:lineRule="auto"/>
              <w:jc w:val="left"/>
              <w:rPr>
                <w:rFonts w:ascii="仿宋" w:hAnsi="仿宋" w:eastAsia="仿宋" w:cs="仿宋"/>
                <w:sz w:val="24"/>
                <w:szCs w:val="24"/>
              </w:rPr>
            </w:pPr>
            <w:r>
              <w:rPr>
                <w:rFonts w:hint="eastAsia" w:ascii="仿宋" w:hAnsi="仿宋" w:eastAsia="仿宋" w:cs="仿宋"/>
                <w:sz w:val="24"/>
                <w:szCs w:val="24"/>
              </w:rPr>
              <w:t>合同签订之日起     日内供货完毕</w:t>
            </w:r>
          </w:p>
        </w:tc>
      </w:tr>
      <w:tr w14:paraId="32C3E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7" w:type="dxa"/>
            <w:vAlign w:val="center"/>
          </w:tcPr>
          <w:p w14:paraId="795C75CA">
            <w:pPr>
              <w:spacing w:line="360" w:lineRule="auto"/>
              <w:jc w:val="left"/>
              <w:rPr>
                <w:rFonts w:ascii="仿宋" w:hAnsi="仿宋" w:eastAsia="仿宋" w:cs="仿宋"/>
                <w:sz w:val="24"/>
                <w:szCs w:val="24"/>
              </w:rPr>
            </w:pPr>
            <w:r>
              <w:rPr>
                <w:rFonts w:hint="eastAsia" w:ascii="仿宋" w:hAnsi="仿宋" w:eastAsia="仿宋" w:cs="仿宋"/>
                <w:sz w:val="24"/>
                <w:szCs w:val="24"/>
              </w:rPr>
              <w:t>备注</w:t>
            </w:r>
          </w:p>
        </w:tc>
        <w:tc>
          <w:tcPr>
            <w:tcW w:w="6555" w:type="dxa"/>
            <w:vAlign w:val="center"/>
          </w:tcPr>
          <w:p w14:paraId="7258E28B">
            <w:pPr>
              <w:spacing w:line="360" w:lineRule="auto"/>
              <w:jc w:val="left"/>
              <w:rPr>
                <w:rFonts w:ascii="仿宋" w:hAnsi="仿宋" w:eastAsia="仿宋" w:cs="仿宋"/>
                <w:sz w:val="24"/>
                <w:szCs w:val="24"/>
              </w:rPr>
            </w:pPr>
          </w:p>
        </w:tc>
      </w:tr>
    </w:tbl>
    <w:p w14:paraId="30829258">
      <w:pPr>
        <w:spacing w:line="360" w:lineRule="auto"/>
        <w:jc w:val="left"/>
        <w:rPr>
          <w:rFonts w:ascii="仿宋" w:hAnsi="仿宋" w:eastAsia="仿宋" w:cs="仿宋"/>
          <w:sz w:val="24"/>
          <w:szCs w:val="24"/>
        </w:rPr>
      </w:pPr>
    </w:p>
    <w:p w14:paraId="11E62450">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注：表中投标报价即为包括采购、运输、人工、安装、调试、售后服务、税费等所有费用。</w:t>
      </w:r>
    </w:p>
    <w:p w14:paraId="28A09438">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 xml:space="preserve">供应商名称： </w:t>
      </w:r>
      <w:r>
        <w:rPr>
          <w:rFonts w:hint="eastAsia" w:ascii="仿宋" w:hAnsi="仿宋" w:eastAsia="仿宋" w:cs="仿宋"/>
          <w:sz w:val="24"/>
          <w:szCs w:val="24"/>
          <w:u w:val="single"/>
        </w:rPr>
        <w:t xml:space="preserve">  （加盖供应商公章）   </w:t>
      </w:r>
    </w:p>
    <w:p w14:paraId="00B99BA5">
      <w:pPr>
        <w:spacing w:line="360" w:lineRule="auto"/>
        <w:ind w:firstLine="480" w:firstLineChars="200"/>
        <w:jc w:val="left"/>
        <w:rPr>
          <w:rFonts w:ascii="仿宋" w:hAnsi="仿宋" w:eastAsia="仿宋" w:cs="仿宋"/>
          <w:sz w:val="24"/>
          <w:szCs w:val="24"/>
          <w:u w:val="single"/>
        </w:rPr>
      </w:pPr>
      <w:r>
        <w:rPr>
          <w:rFonts w:hint="eastAsia" w:ascii="仿宋" w:hAnsi="仿宋" w:eastAsia="仿宋" w:cs="仿宋"/>
          <w:sz w:val="24"/>
          <w:szCs w:val="24"/>
        </w:rPr>
        <w:t>授权委托人（或法定代表人）签名或盖章：</w:t>
      </w:r>
    </w:p>
    <w:p w14:paraId="4425B20D">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日期：</w:t>
      </w:r>
    </w:p>
    <w:p w14:paraId="49125355">
      <w:pPr>
        <w:spacing w:line="360" w:lineRule="auto"/>
        <w:rPr>
          <w:rFonts w:ascii="仿宋" w:hAnsi="仿宋" w:eastAsia="仿宋" w:cs="仿宋"/>
          <w:sz w:val="24"/>
          <w:szCs w:val="24"/>
        </w:rPr>
      </w:pPr>
    </w:p>
    <w:p w14:paraId="14E6E097">
      <w:pPr>
        <w:widowControl/>
        <w:spacing w:line="360" w:lineRule="auto"/>
        <w:jc w:val="left"/>
        <w:rPr>
          <w:rFonts w:ascii="仿宋" w:hAnsi="仿宋" w:eastAsia="仿宋" w:cs="仿宋"/>
          <w:b/>
          <w:sz w:val="24"/>
          <w:szCs w:val="24"/>
        </w:rPr>
      </w:pPr>
      <w:r>
        <w:rPr>
          <w:rFonts w:hint="eastAsia" w:ascii="仿宋" w:hAnsi="仿宋" w:eastAsia="仿宋" w:cs="仿宋"/>
          <w:b/>
          <w:sz w:val="24"/>
          <w:szCs w:val="24"/>
        </w:rPr>
        <w:br w:type="page"/>
      </w:r>
    </w:p>
    <w:p w14:paraId="332E064A">
      <w:pPr>
        <w:spacing w:line="360" w:lineRule="auto"/>
        <w:jc w:val="center"/>
        <w:rPr>
          <w:rFonts w:ascii="仿宋" w:hAnsi="仿宋" w:eastAsia="仿宋" w:cs="仿宋"/>
          <w:sz w:val="24"/>
          <w:szCs w:val="24"/>
        </w:rPr>
      </w:pPr>
      <w:r>
        <w:rPr>
          <w:rFonts w:hint="eastAsia" w:ascii="仿宋" w:hAnsi="仿宋" w:eastAsia="仿宋" w:cs="仿宋"/>
          <w:b/>
          <w:sz w:val="24"/>
          <w:szCs w:val="24"/>
        </w:rPr>
        <w:t>格式3、法定代表人授权书</w:t>
      </w:r>
      <w:bookmarkEnd w:id="116"/>
    </w:p>
    <w:p w14:paraId="0A48E87B">
      <w:pPr>
        <w:spacing w:line="360" w:lineRule="auto"/>
        <w:rPr>
          <w:rFonts w:ascii="仿宋" w:hAnsi="仿宋" w:eastAsia="仿宋" w:cs="仿宋"/>
          <w:b/>
          <w:sz w:val="24"/>
          <w:szCs w:val="24"/>
        </w:rPr>
      </w:pPr>
      <w:r>
        <w:rPr>
          <w:rFonts w:hint="eastAsia" w:ascii="仿宋" w:hAnsi="仿宋" w:eastAsia="仿宋" w:cs="仿宋"/>
          <w:b/>
          <w:sz w:val="24"/>
          <w:szCs w:val="24"/>
        </w:rPr>
        <w:t>（采购人）：</w:t>
      </w:r>
    </w:p>
    <w:p w14:paraId="203D1DCF">
      <w:pPr>
        <w:spacing w:line="360" w:lineRule="auto"/>
        <w:rPr>
          <w:rFonts w:ascii="仿宋" w:hAnsi="仿宋" w:eastAsia="仿宋" w:cs="仿宋"/>
          <w:sz w:val="24"/>
          <w:szCs w:val="24"/>
        </w:rPr>
      </w:pPr>
      <w:r>
        <w:rPr>
          <w:rFonts w:hint="eastAsia" w:ascii="仿宋" w:hAnsi="仿宋" w:eastAsia="仿宋" w:cs="仿宋"/>
          <w:sz w:val="24"/>
          <w:szCs w:val="24"/>
          <w:u w:val="single"/>
        </w:rPr>
        <w:t>（供应商全称）</w:t>
      </w:r>
      <w:r>
        <w:rPr>
          <w:rFonts w:hint="eastAsia" w:ascii="仿宋" w:hAnsi="仿宋" w:eastAsia="仿宋" w:cs="仿宋"/>
          <w:sz w:val="24"/>
          <w:szCs w:val="24"/>
        </w:rPr>
        <w:t>法定代表人授权</w:t>
      </w:r>
      <w:r>
        <w:rPr>
          <w:rFonts w:hint="eastAsia" w:ascii="仿宋" w:hAnsi="仿宋" w:eastAsia="仿宋" w:cs="仿宋"/>
          <w:sz w:val="24"/>
          <w:szCs w:val="24"/>
          <w:u w:val="single"/>
        </w:rPr>
        <w:t>（供应商代表姓名）</w:t>
      </w:r>
      <w:r>
        <w:rPr>
          <w:rFonts w:hint="eastAsia" w:ascii="仿宋" w:hAnsi="仿宋" w:eastAsia="仿宋" w:cs="仿宋"/>
          <w:sz w:val="24"/>
          <w:szCs w:val="24"/>
        </w:rPr>
        <w:t>为供应商代表，参加贵单位组织的</w:t>
      </w:r>
      <w:r>
        <w:rPr>
          <w:rFonts w:hint="eastAsia" w:ascii="仿宋" w:hAnsi="仿宋" w:eastAsia="仿宋" w:cs="仿宋"/>
          <w:sz w:val="24"/>
          <w:szCs w:val="24"/>
          <w:u w:val="single"/>
        </w:rPr>
        <w:t>（项目名称）</w:t>
      </w:r>
      <w:r>
        <w:rPr>
          <w:rFonts w:hint="eastAsia" w:ascii="仿宋" w:hAnsi="仿宋" w:eastAsia="仿宋" w:cs="仿宋"/>
          <w:sz w:val="24"/>
          <w:szCs w:val="24"/>
        </w:rPr>
        <w:t>项目</w:t>
      </w:r>
      <w:r>
        <w:rPr>
          <w:rFonts w:hint="eastAsia" w:ascii="仿宋" w:hAnsi="仿宋" w:eastAsia="仿宋" w:cs="仿宋"/>
          <w:sz w:val="24"/>
          <w:szCs w:val="24"/>
          <w:u w:val="single"/>
        </w:rPr>
        <w:t>（招标项目编号）</w:t>
      </w:r>
      <w:r>
        <w:rPr>
          <w:rFonts w:hint="eastAsia" w:ascii="仿宋" w:hAnsi="仿宋" w:eastAsia="仿宋" w:cs="仿宋"/>
          <w:sz w:val="24"/>
          <w:szCs w:val="24"/>
        </w:rPr>
        <w:t>招标活动，全权代表我方处理招标活动的一切事宜。</w:t>
      </w:r>
    </w:p>
    <w:p w14:paraId="2E5AAA6F">
      <w:pPr>
        <w:spacing w:line="360" w:lineRule="auto"/>
        <w:rPr>
          <w:rFonts w:ascii="仿宋" w:hAnsi="仿宋" w:eastAsia="仿宋" w:cs="仿宋"/>
          <w:sz w:val="24"/>
          <w:szCs w:val="24"/>
        </w:rPr>
      </w:pPr>
    </w:p>
    <w:p w14:paraId="72DE7831">
      <w:pPr>
        <w:spacing w:line="360" w:lineRule="auto"/>
        <w:rPr>
          <w:rFonts w:ascii="仿宋" w:hAnsi="仿宋" w:eastAsia="仿宋" w:cs="仿宋"/>
          <w:sz w:val="24"/>
          <w:szCs w:val="24"/>
        </w:rPr>
      </w:pPr>
      <w:r>
        <w:rPr>
          <w:rFonts w:hint="eastAsia" w:ascii="仿宋" w:hAnsi="仿宋" w:eastAsia="仿宋" w:cs="仿宋"/>
          <w:sz w:val="24"/>
          <w:szCs w:val="24"/>
        </w:rPr>
        <w:t xml:space="preserve">                                 法定代表人（签字或盖章）：</w:t>
      </w:r>
    </w:p>
    <w:p w14:paraId="4BFCD942">
      <w:pPr>
        <w:spacing w:line="360" w:lineRule="auto"/>
        <w:rPr>
          <w:rFonts w:ascii="仿宋" w:hAnsi="仿宋" w:eastAsia="仿宋" w:cs="仿宋"/>
          <w:sz w:val="24"/>
          <w:szCs w:val="24"/>
        </w:rPr>
      </w:pPr>
      <w:r>
        <w:rPr>
          <w:rFonts w:hint="eastAsia" w:ascii="仿宋" w:hAnsi="仿宋" w:eastAsia="仿宋" w:cs="仿宋"/>
          <w:sz w:val="24"/>
          <w:szCs w:val="24"/>
        </w:rPr>
        <w:t xml:space="preserve">                                 供应商名称（公章）：</w:t>
      </w:r>
    </w:p>
    <w:p w14:paraId="5D705994">
      <w:pPr>
        <w:spacing w:line="360" w:lineRule="auto"/>
        <w:rPr>
          <w:rFonts w:ascii="仿宋" w:hAnsi="仿宋" w:eastAsia="仿宋" w:cs="仿宋"/>
          <w:sz w:val="24"/>
          <w:szCs w:val="24"/>
        </w:rPr>
      </w:pPr>
      <w:r>
        <w:rPr>
          <w:rFonts w:hint="eastAsia" w:ascii="仿宋" w:hAnsi="仿宋" w:eastAsia="仿宋" w:cs="仿宋"/>
          <w:sz w:val="24"/>
          <w:szCs w:val="24"/>
        </w:rPr>
        <w:t xml:space="preserve">                                  日期：</w:t>
      </w:r>
    </w:p>
    <w:p w14:paraId="525FBE97">
      <w:pPr>
        <w:spacing w:line="360" w:lineRule="auto"/>
        <w:rPr>
          <w:rFonts w:ascii="仿宋" w:hAnsi="仿宋" w:eastAsia="仿宋" w:cs="仿宋"/>
          <w:spacing w:val="20"/>
          <w:sz w:val="24"/>
          <w:szCs w:val="24"/>
        </w:rPr>
      </w:pPr>
    </w:p>
    <w:p w14:paraId="20DC6513">
      <w:pPr>
        <w:spacing w:line="360" w:lineRule="auto"/>
        <w:rPr>
          <w:rFonts w:ascii="仿宋" w:hAnsi="仿宋" w:eastAsia="仿宋" w:cs="仿宋"/>
          <w:sz w:val="24"/>
          <w:szCs w:val="24"/>
        </w:rPr>
      </w:pPr>
      <w:r>
        <w:rPr>
          <w:rFonts w:hint="eastAsia" w:ascii="仿宋" w:hAnsi="仿宋" w:eastAsia="仿宋" w:cs="仿宋"/>
          <w:sz w:val="24"/>
          <w:szCs w:val="24"/>
        </w:rPr>
        <w:t>附：</w:t>
      </w:r>
    </w:p>
    <w:p w14:paraId="2ECFBAD2">
      <w:pPr>
        <w:spacing w:line="360" w:lineRule="auto"/>
        <w:ind w:firstLine="482"/>
        <w:rPr>
          <w:rFonts w:ascii="仿宋" w:hAnsi="仿宋" w:eastAsia="仿宋" w:cs="仿宋"/>
          <w:sz w:val="24"/>
          <w:szCs w:val="24"/>
        </w:rPr>
      </w:pPr>
      <w:r>
        <w:rPr>
          <w:rFonts w:hint="eastAsia" w:ascii="仿宋" w:hAnsi="仿宋" w:eastAsia="仿宋" w:cs="仿宋"/>
          <w:sz w:val="24"/>
          <w:szCs w:val="24"/>
        </w:rPr>
        <w:t>委托代理人姓名： （姓名）</w:t>
      </w:r>
    </w:p>
    <w:p w14:paraId="5D877EA9">
      <w:pPr>
        <w:spacing w:line="360" w:lineRule="auto"/>
        <w:ind w:firstLine="482"/>
        <w:rPr>
          <w:rFonts w:ascii="仿宋" w:hAnsi="仿宋" w:eastAsia="仿宋" w:cs="仿宋"/>
          <w:sz w:val="24"/>
          <w:szCs w:val="24"/>
        </w:rPr>
      </w:pPr>
      <w:r>
        <w:rPr>
          <w:rFonts w:hint="eastAsia" w:ascii="仿宋" w:hAnsi="仿宋" w:eastAsia="仿宋" w:cs="仿宋"/>
          <w:sz w:val="24"/>
          <w:szCs w:val="24"/>
        </w:rPr>
        <w:t>委托代理人联系方式：</w:t>
      </w:r>
    </w:p>
    <w:p w14:paraId="0894D27A">
      <w:pPr>
        <w:spacing w:line="360" w:lineRule="auto"/>
        <w:ind w:firstLine="482"/>
        <w:rPr>
          <w:rFonts w:ascii="仿宋" w:hAnsi="仿宋" w:eastAsia="仿宋" w:cs="仿宋"/>
          <w:sz w:val="24"/>
          <w:szCs w:val="24"/>
        </w:rPr>
      </w:pPr>
      <w:r>
        <w:rPr>
          <w:rFonts w:hint="eastAsia" w:ascii="仿宋" w:hAnsi="仿宋" w:eastAsia="仿宋" w:cs="仿宋"/>
          <w:sz w:val="24"/>
          <w:szCs w:val="24"/>
        </w:rPr>
        <w:t>职          务：</w:t>
      </w:r>
    </w:p>
    <w:p w14:paraId="707D77A5">
      <w:pPr>
        <w:spacing w:line="360" w:lineRule="auto"/>
        <w:ind w:firstLine="482"/>
        <w:rPr>
          <w:rFonts w:ascii="仿宋" w:hAnsi="仿宋" w:eastAsia="仿宋" w:cs="仿宋"/>
          <w:sz w:val="24"/>
          <w:szCs w:val="24"/>
          <w:u w:val="single"/>
        </w:rPr>
      </w:pPr>
      <w:r>
        <w:rPr>
          <w:rFonts w:hint="eastAsia" w:ascii="仿宋" w:hAnsi="仿宋" w:eastAsia="仿宋" w:cs="仿宋"/>
          <w:sz w:val="24"/>
          <w:szCs w:val="24"/>
        </w:rPr>
        <w:t>电          话：</w:t>
      </w:r>
    </w:p>
    <w:p w14:paraId="32A83123">
      <w:pPr>
        <w:spacing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电  子  信  箱：</w:t>
      </w:r>
      <w:bookmarkEnd w:id="117"/>
    </w:p>
    <w:p w14:paraId="54134897">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委托代理人身份证复印件：</w:t>
      </w:r>
      <w:r>
        <w:rPr>
          <w:rFonts w:hint="eastAsia" w:ascii="仿宋" w:hAnsi="仿宋" w:eastAsia="仿宋" w:cs="仿宋"/>
          <w:b/>
          <w:bCs/>
          <w:sz w:val="24"/>
          <w:szCs w:val="24"/>
        </w:rPr>
        <w:br w:type="page"/>
      </w:r>
      <w:bookmarkStart w:id="120" w:name="_Hlk525928072"/>
      <w:r>
        <w:rPr>
          <w:rFonts w:hint="eastAsia" w:ascii="仿宋" w:hAnsi="仿宋" w:eastAsia="仿宋" w:cs="仿宋"/>
          <w:sz w:val="24"/>
          <w:szCs w:val="24"/>
        </w:rPr>
        <w:t>附：法定代表人身份证明</w:t>
      </w:r>
    </w:p>
    <w:p w14:paraId="3AE9A7F7">
      <w:pPr>
        <w:spacing w:line="360" w:lineRule="auto"/>
        <w:jc w:val="center"/>
        <w:rPr>
          <w:rFonts w:ascii="仿宋" w:hAnsi="仿宋" w:eastAsia="仿宋" w:cs="仿宋"/>
          <w:sz w:val="24"/>
          <w:szCs w:val="24"/>
        </w:rPr>
      </w:pPr>
      <w:r>
        <w:rPr>
          <w:rFonts w:hint="eastAsia" w:ascii="仿宋" w:hAnsi="仿宋" w:eastAsia="仿宋" w:cs="仿宋"/>
          <w:b/>
          <w:sz w:val="24"/>
          <w:szCs w:val="24"/>
        </w:rPr>
        <w:t>法定代表人身份证明</w:t>
      </w:r>
    </w:p>
    <w:p w14:paraId="21A5AEED">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单位名称：</w:t>
      </w:r>
    </w:p>
    <w:p w14:paraId="6C5CC3BC">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单位性质：</w:t>
      </w:r>
    </w:p>
    <w:p w14:paraId="4F9D3BA4">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地    址：</w:t>
      </w:r>
    </w:p>
    <w:p w14:paraId="59E8076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成立时间： 年 月   日</w:t>
      </w:r>
    </w:p>
    <w:p w14:paraId="74C82554">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经营期限：</w:t>
      </w:r>
    </w:p>
    <w:p w14:paraId="74930CE0">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 xml:space="preserve">姓    名：       性别： </w:t>
      </w:r>
    </w:p>
    <w:p w14:paraId="18BEEE9E">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 xml:space="preserve">年    龄：       职务： </w:t>
      </w:r>
    </w:p>
    <w:p w14:paraId="3C4BA8D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（供应商单位名称）             </w:t>
      </w:r>
      <w:r>
        <w:rPr>
          <w:rFonts w:hint="eastAsia" w:ascii="仿宋" w:hAnsi="仿宋" w:eastAsia="仿宋" w:cs="仿宋"/>
          <w:sz w:val="24"/>
          <w:szCs w:val="24"/>
        </w:rPr>
        <w:t>的法定代表人。</w:t>
      </w:r>
    </w:p>
    <w:p w14:paraId="4D751FE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特此证明。</w:t>
      </w:r>
    </w:p>
    <w:p w14:paraId="79EE91E5">
      <w:pPr>
        <w:spacing w:line="360" w:lineRule="auto"/>
        <w:rPr>
          <w:rFonts w:ascii="仿宋" w:hAnsi="仿宋" w:eastAsia="仿宋" w:cs="仿宋"/>
          <w:sz w:val="24"/>
          <w:szCs w:val="24"/>
        </w:rPr>
      </w:pPr>
    </w:p>
    <w:p w14:paraId="06B933B0">
      <w:pPr>
        <w:spacing w:line="360" w:lineRule="auto"/>
        <w:ind w:right="480"/>
        <w:jc w:val="center"/>
        <w:rPr>
          <w:rFonts w:ascii="仿宋" w:hAnsi="仿宋" w:eastAsia="仿宋" w:cs="仿宋"/>
          <w:sz w:val="24"/>
          <w:szCs w:val="24"/>
        </w:rPr>
      </w:pPr>
      <w:r>
        <w:rPr>
          <w:rFonts w:hint="eastAsia" w:ascii="仿宋" w:hAnsi="仿宋" w:eastAsia="仿宋" w:cs="仿宋"/>
          <w:sz w:val="24"/>
          <w:szCs w:val="24"/>
        </w:rPr>
        <w:t xml:space="preserve">               供应商：</w:t>
      </w:r>
      <w:r>
        <w:rPr>
          <w:rFonts w:hint="eastAsia" w:ascii="仿宋" w:hAnsi="仿宋" w:eastAsia="仿宋" w:cs="仿宋"/>
          <w:sz w:val="24"/>
          <w:szCs w:val="24"/>
          <w:u w:val="single"/>
        </w:rPr>
        <w:t xml:space="preserve">             （盖公章）</w:t>
      </w:r>
    </w:p>
    <w:p w14:paraId="023505B5">
      <w:pPr>
        <w:spacing w:line="360" w:lineRule="auto"/>
        <w:jc w:val="center"/>
        <w:rPr>
          <w:rFonts w:ascii="仿宋" w:hAnsi="仿宋" w:eastAsia="仿宋" w:cs="仿宋"/>
          <w:sz w:val="24"/>
          <w:szCs w:val="24"/>
        </w:rPr>
      </w:pPr>
      <w:r>
        <w:rPr>
          <w:rFonts w:hint="eastAsia" w:ascii="仿宋" w:hAnsi="仿宋" w:eastAsia="仿宋" w:cs="仿宋"/>
          <w:sz w:val="24"/>
          <w:szCs w:val="24"/>
        </w:rPr>
        <w:t xml:space="preserve">            日  期：年月日</w:t>
      </w:r>
    </w:p>
    <w:bookmarkEnd w:id="118"/>
    <w:bookmarkEnd w:id="120"/>
    <w:p w14:paraId="7B2984A1">
      <w:pPr>
        <w:spacing w:line="360" w:lineRule="auto"/>
        <w:jc w:val="center"/>
        <w:rPr>
          <w:rFonts w:ascii="仿宋" w:hAnsi="仿宋" w:eastAsia="仿宋" w:cs="仿宋"/>
          <w:b/>
          <w:bCs/>
          <w:sz w:val="24"/>
          <w:szCs w:val="24"/>
        </w:rPr>
      </w:pPr>
    </w:p>
    <w:bookmarkEnd w:id="119"/>
    <w:p w14:paraId="411C9DC8">
      <w:pPr>
        <w:spacing w:line="360" w:lineRule="auto"/>
        <w:rPr>
          <w:rFonts w:ascii="仿宋" w:hAnsi="仿宋" w:eastAsia="仿宋" w:cs="仿宋"/>
          <w:b/>
          <w:sz w:val="24"/>
          <w:szCs w:val="24"/>
        </w:rPr>
      </w:pPr>
      <w:bookmarkStart w:id="121" w:name="_Toc382508393"/>
      <w:r>
        <w:rPr>
          <w:rFonts w:hint="eastAsia" w:ascii="仿宋" w:hAnsi="仿宋" w:eastAsia="仿宋" w:cs="仿宋"/>
          <w:sz w:val="24"/>
          <w:szCs w:val="24"/>
        </w:rPr>
        <w:t>附：</w:t>
      </w:r>
      <w:r>
        <w:rPr>
          <w:rFonts w:hint="eastAsia" w:ascii="仿宋" w:hAnsi="仿宋" w:eastAsia="仿宋" w:cs="仿宋"/>
          <w:b/>
          <w:bCs/>
          <w:sz w:val="24"/>
          <w:szCs w:val="24"/>
        </w:rPr>
        <w:t>法定代表人身份证复印件：</w:t>
      </w:r>
      <w:r>
        <w:rPr>
          <w:rFonts w:hint="eastAsia" w:ascii="仿宋" w:hAnsi="仿宋" w:eastAsia="仿宋" w:cs="仿宋"/>
          <w:sz w:val="24"/>
          <w:szCs w:val="24"/>
        </w:rPr>
        <w:br w:type="page"/>
      </w:r>
      <w:bookmarkStart w:id="122" w:name="_Hlk525935221"/>
      <w:bookmarkStart w:id="123" w:name="_Hlk525928143"/>
      <w:r>
        <w:rPr>
          <w:rFonts w:hint="eastAsia" w:ascii="仿宋" w:hAnsi="仿宋" w:eastAsia="仿宋" w:cs="仿宋"/>
          <w:b/>
          <w:sz w:val="24"/>
          <w:szCs w:val="24"/>
        </w:rPr>
        <w:t>格式4、投标</w:t>
      </w:r>
      <w:bookmarkEnd w:id="121"/>
      <w:r>
        <w:rPr>
          <w:rFonts w:hint="eastAsia" w:ascii="仿宋" w:hAnsi="仿宋" w:eastAsia="仿宋" w:cs="仿宋"/>
          <w:b/>
          <w:sz w:val="24"/>
          <w:szCs w:val="24"/>
        </w:rPr>
        <w:t>报价汇总表</w:t>
      </w:r>
    </w:p>
    <w:bookmarkEnd w:id="122"/>
    <w:bookmarkEnd w:id="123"/>
    <w:p w14:paraId="7C8B577A">
      <w:pPr>
        <w:spacing w:before="40" w:after="40" w:line="360" w:lineRule="auto"/>
        <w:ind w:firstLine="720" w:firstLineChars="300"/>
        <w:rPr>
          <w:rFonts w:ascii="仿宋" w:hAnsi="仿宋" w:eastAsia="仿宋" w:cs="仿宋"/>
          <w:sz w:val="24"/>
          <w:szCs w:val="24"/>
        </w:rPr>
      </w:pPr>
      <w:r>
        <w:rPr>
          <w:rFonts w:hint="eastAsia" w:ascii="仿宋" w:hAnsi="仿宋" w:eastAsia="仿宋" w:cs="仿宋"/>
          <w:sz w:val="24"/>
          <w:szCs w:val="24"/>
        </w:rPr>
        <w:t>项目编号：    货币单位：</w:t>
      </w:r>
      <w:r>
        <w:rPr>
          <w:rFonts w:hint="eastAsia" w:ascii="仿宋" w:hAnsi="仿宋" w:eastAsia="仿宋" w:cs="仿宋"/>
          <w:sz w:val="24"/>
          <w:szCs w:val="24"/>
          <w:u w:val="single"/>
        </w:rPr>
        <w:t xml:space="preserve">    人民币元  </w:t>
      </w:r>
      <w:r>
        <w:rPr>
          <w:rFonts w:hint="eastAsia" w:ascii="仿宋" w:hAnsi="仿宋" w:eastAsia="仿宋" w:cs="仿宋"/>
          <w:sz w:val="24"/>
          <w:szCs w:val="24"/>
        </w:rPr>
        <w:t>包号：</w:t>
      </w:r>
      <w:r>
        <w:rPr>
          <w:rFonts w:hint="eastAsia" w:ascii="仿宋" w:hAnsi="仿宋" w:eastAsia="仿宋" w:cs="仿宋"/>
          <w:sz w:val="24"/>
          <w:szCs w:val="24"/>
          <w:u w:val="single"/>
        </w:rPr>
        <w:t>/</w:t>
      </w:r>
    </w:p>
    <w:tbl>
      <w:tblPr>
        <w:tblStyle w:val="53"/>
        <w:tblW w:w="954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57"/>
        <w:gridCol w:w="2426"/>
        <w:gridCol w:w="697"/>
        <w:gridCol w:w="1118"/>
        <w:gridCol w:w="1020"/>
        <w:gridCol w:w="1070"/>
        <w:gridCol w:w="1600"/>
        <w:gridCol w:w="855"/>
      </w:tblGrid>
      <w:tr w14:paraId="5D3525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70" w:hRule="atLeast"/>
          <w:jc w:val="center"/>
        </w:trPr>
        <w:tc>
          <w:tcPr>
            <w:tcW w:w="757" w:type="dxa"/>
            <w:shd w:val="clear" w:color="auto" w:fill="D7D7D7"/>
            <w:vAlign w:val="center"/>
          </w:tcPr>
          <w:p w14:paraId="525200BB">
            <w:pPr>
              <w:spacing w:line="3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2426" w:type="dxa"/>
            <w:tcBorders>
              <w:right w:val="single" w:color="auto" w:sz="4" w:space="0"/>
            </w:tcBorders>
            <w:shd w:val="clear" w:color="auto" w:fill="D7D7D7"/>
            <w:vAlign w:val="center"/>
          </w:tcPr>
          <w:p w14:paraId="3F95A99E">
            <w:pPr>
              <w:spacing w:line="360" w:lineRule="auto"/>
              <w:jc w:val="center"/>
              <w:rPr>
                <w:rFonts w:ascii="仿宋" w:hAnsi="仿宋" w:eastAsia="仿宋" w:cs="仿宋"/>
                <w:sz w:val="24"/>
                <w:szCs w:val="24"/>
              </w:rPr>
            </w:pPr>
            <w:r>
              <w:rPr>
                <w:rFonts w:hint="eastAsia" w:ascii="仿宋" w:hAnsi="仿宋" w:eastAsia="仿宋" w:cs="仿宋"/>
                <w:sz w:val="24"/>
                <w:szCs w:val="24"/>
              </w:rPr>
              <w:t>名称</w:t>
            </w:r>
          </w:p>
        </w:tc>
        <w:tc>
          <w:tcPr>
            <w:tcW w:w="697" w:type="dxa"/>
            <w:tcBorders>
              <w:left w:val="single" w:color="auto" w:sz="4" w:space="0"/>
            </w:tcBorders>
            <w:shd w:val="clear" w:color="auto" w:fill="D7D7D7"/>
            <w:vAlign w:val="center"/>
          </w:tcPr>
          <w:p w14:paraId="24C21149">
            <w:pPr>
              <w:spacing w:line="360" w:lineRule="auto"/>
              <w:jc w:val="center"/>
              <w:rPr>
                <w:rFonts w:ascii="仿宋" w:hAnsi="仿宋" w:eastAsia="仿宋" w:cs="仿宋"/>
                <w:sz w:val="24"/>
                <w:szCs w:val="24"/>
              </w:rPr>
            </w:pPr>
            <w:r>
              <w:rPr>
                <w:rFonts w:hint="eastAsia" w:ascii="仿宋" w:hAnsi="仿宋" w:eastAsia="仿宋" w:cs="仿宋"/>
                <w:sz w:val="24"/>
                <w:szCs w:val="24"/>
              </w:rPr>
              <w:t>数量</w:t>
            </w:r>
          </w:p>
        </w:tc>
        <w:tc>
          <w:tcPr>
            <w:tcW w:w="1118" w:type="dxa"/>
            <w:shd w:val="clear" w:color="auto" w:fill="D7D7D7"/>
            <w:vAlign w:val="center"/>
          </w:tcPr>
          <w:p w14:paraId="4FD764D3">
            <w:pPr>
              <w:spacing w:line="360" w:lineRule="auto"/>
              <w:jc w:val="center"/>
              <w:rPr>
                <w:rFonts w:ascii="仿宋" w:hAnsi="仿宋" w:eastAsia="仿宋" w:cs="仿宋"/>
                <w:sz w:val="24"/>
                <w:szCs w:val="24"/>
              </w:rPr>
            </w:pPr>
            <w:r>
              <w:rPr>
                <w:rFonts w:hint="eastAsia" w:ascii="仿宋" w:hAnsi="仿宋" w:eastAsia="仿宋" w:cs="仿宋"/>
                <w:sz w:val="24"/>
                <w:szCs w:val="24"/>
              </w:rPr>
              <w:t>制造商/品牌</w:t>
            </w:r>
          </w:p>
        </w:tc>
        <w:tc>
          <w:tcPr>
            <w:tcW w:w="1020" w:type="dxa"/>
            <w:shd w:val="clear" w:color="auto" w:fill="D7D7D7"/>
            <w:vAlign w:val="center"/>
          </w:tcPr>
          <w:p w14:paraId="7486C3AF">
            <w:pPr>
              <w:spacing w:line="360" w:lineRule="auto"/>
              <w:jc w:val="center"/>
              <w:rPr>
                <w:rFonts w:ascii="仿宋" w:hAnsi="仿宋" w:eastAsia="仿宋" w:cs="仿宋"/>
                <w:sz w:val="24"/>
                <w:szCs w:val="24"/>
              </w:rPr>
            </w:pPr>
            <w:r>
              <w:rPr>
                <w:rFonts w:hint="eastAsia" w:ascii="仿宋" w:hAnsi="仿宋" w:eastAsia="仿宋" w:cs="仿宋"/>
                <w:sz w:val="24"/>
                <w:szCs w:val="24"/>
              </w:rPr>
              <w:t>型号</w:t>
            </w:r>
          </w:p>
        </w:tc>
        <w:tc>
          <w:tcPr>
            <w:tcW w:w="1070" w:type="dxa"/>
            <w:shd w:val="clear" w:color="auto" w:fill="D7D7D7"/>
            <w:vAlign w:val="center"/>
          </w:tcPr>
          <w:p w14:paraId="5A0B50E8">
            <w:pPr>
              <w:spacing w:line="360" w:lineRule="auto"/>
              <w:jc w:val="center"/>
              <w:rPr>
                <w:rFonts w:ascii="仿宋" w:hAnsi="仿宋" w:eastAsia="仿宋" w:cs="仿宋"/>
                <w:sz w:val="24"/>
                <w:szCs w:val="24"/>
              </w:rPr>
            </w:pPr>
            <w:r>
              <w:rPr>
                <w:rFonts w:hint="eastAsia" w:ascii="仿宋" w:hAnsi="仿宋" w:eastAsia="仿宋" w:cs="仿宋"/>
                <w:sz w:val="24"/>
                <w:szCs w:val="24"/>
              </w:rPr>
              <w:t>投标报价</w:t>
            </w:r>
          </w:p>
        </w:tc>
        <w:tc>
          <w:tcPr>
            <w:tcW w:w="1600" w:type="dxa"/>
            <w:shd w:val="clear" w:color="auto" w:fill="D7D7D7"/>
            <w:vAlign w:val="center"/>
          </w:tcPr>
          <w:p w14:paraId="6846D891">
            <w:pPr>
              <w:spacing w:line="360" w:lineRule="auto"/>
              <w:jc w:val="center"/>
              <w:rPr>
                <w:rFonts w:ascii="仿宋" w:hAnsi="仿宋" w:eastAsia="仿宋" w:cs="仿宋"/>
                <w:sz w:val="24"/>
                <w:szCs w:val="24"/>
              </w:rPr>
            </w:pPr>
            <w:r>
              <w:rPr>
                <w:rFonts w:hint="eastAsia" w:ascii="仿宋" w:hAnsi="仿宋" w:eastAsia="仿宋" w:cs="仿宋"/>
                <w:b/>
                <w:bCs/>
                <w:sz w:val="24"/>
                <w:szCs w:val="24"/>
              </w:rPr>
              <w:t>享受政府采购价格折算后的投标报价</w:t>
            </w:r>
          </w:p>
        </w:tc>
        <w:tc>
          <w:tcPr>
            <w:tcW w:w="855" w:type="dxa"/>
            <w:shd w:val="clear" w:color="auto" w:fill="D7D7D7"/>
            <w:vAlign w:val="center"/>
          </w:tcPr>
          <w:p w14:paraId="0288085E">
            <w:pPr>
              <w:spacing w:line="360" w:lineRule="auto"/>
              <w:jc w:val="center"/>
              <w:rPr>
                <w:rFonts w:ascii="仿宋" w:hAnsi="仿宋" w:eastAsia="仿宋" w:cs="仿宋"/>
                <w:sz w:val="24"/>
                <w:szCs w:val="24"/>
              </w:rPr>
            </w:pPr>
            <w:r>
              <w:rPr>
                <w:rFonts w:hint="eastAsia" w:ascii="仿宋" w:hAnsi="仿宋" w:eastAsia="仿宋" w:cs="仿宋"/>
                <w:sz w:val="24"/>
                <w:szCs w:val="24"/>
              </w:rPr>
              <w:t>备注</w:t>
            </w:r>
          </w:p>
        </w:tc>
      </w:tr>
      <w:tr w14:paraId="0F7B4B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757" w:type="dxa"/>
            <w:tcBorders>
              <w:bottom w:val="single" w:color="auto" w:sz="4" w:space="0"/>
            </w:tcBorders>
            <w:vAlign w:val="center"/>
          </w:tcPr>
          <w:p w14:paraId="68538782">
            <w:pPr>
              <w:spacing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2426" w:type="dxa"/>
            <w:tcBorders>
              <w:bottom w:val="single" w:color="auto" w:sz="4" w:space="0"/>
              <w:right w:val="single" w:color="auto" w:sz="4" w:space="0"/>
            </w:tcBorders>
            <w:vAlign w:val="center"/>
          </w:tcPr>
          <w:p w14:paraId="763B3978">
            <w:pPr>
              <w:adjustRightInd w:val="0"/>
              <w:snapToGrid w:val="0"/>
              <w:spacing w:line="360" w:lineRule="auto"/>
              <w:jc w:val="center"/>
              <w:rPr>
                <w:rFonts w:ascii="仿宋" w:hAnsi="仿宋" w:eastAsia="仿宋" w:cs="仿宋"/>
                <w:sz w:val="24"/>
                <w:szCs w:val="24"/>
              </w:rPr>
            </w:pPr>
          </w:p>
        </w:tc>
        <w:tc>
          <w:tcPr>
            <w:tcW w:w="697" w:type="dxa"/>
            <w:tcBorders>
              <w:left w:val="single" w:color="auto" w:sz="4" w:space="0"/>
            </w:tcBorders>
            <w:vAlign w:val="center"/>
          </w:tcPr>
          <w:p w14:paraId="0A312B0B">
            <w:pPr>
              <w:adjustRightInd w:val="0"/>
              <w:snapToGrid w:val="0"/>
              <w:spacing w:line="360" w:lineRule="auto"/>
              <w:jc w:val="center"/>
              <w:rPr>
                <w:rFonts w:ascii="仿宋" w:hAnsi="仿宋" w:eastAsia="仿宋" w:cs="仿宋"/>
                <w:sz w:val="24"/>
                <w:szCs w:val="24"/>
              </w:rPr>
            </w:pPr>
          </w:p>
        </w:tc>
        <w:tc>
          <w:tcPr>
            <w:tcW w:w="1118" w:type="dxa"/>
            <w:vAlign w:val="center"/>
          </w:tcPr>
          <w:p w14:paraId="2945B8C7">
            <w:pPr>
              <w:adjustRightInd w:val="0"/>
              <w:snapToGrid w:val="0"/>
              <w:spacing w:line="360" w:lineRule="auto"/>
              <w:jc w:val="center"/>
              <w:rPr>
                <w:rFonts w:ascii="仿宋" w:hAnsi="仿宋" w:eastAsia="仿宋" w:cs="仿宋"/>
                <w:sz w:val="24"/>
                <w:szCs w:val="24"/>
              </w:rPr>
            </w:pPr>
          </w:p>
        </w:tc>
        <w:tc>
          <w:tcPr>
            <w:tcW w:w="1020" w:type="dxa"/>
            <w:vAlign w:val="center"/>
          </w:tcPr>
          <w:p w14:paraId="7FC2417E">
            <w:pPr>
              <w:adjustRightInd w:val="0"/>
              <w:snapToGrid w:val="0"/>
              <w:spacing w:line="360" w:lineRule="auto"/>
              <w:jc w:val="center"/>
              <w:rPr>
                <w:rFonts w:ascii="仿宋" w:hAnsi="仿宋" w:eastAsia="仿宋" w:cs="仿宋"/>
                <w:sz w:val="24"/>
                <w:szCs w:val="24"/>
              </w:rPr>
            </w:pPr>
          </w:p>
        </w:tc>
        <w:tc>
          <w:tcPr>
            <w:tcW w:w="1070" w:type="dxa"/>
            <w:vAlign w:val="center"/>
          </w:tcPr>
          <w:p w14:paraId="52BEF017">
            <w:pPr>
              <w:adjustRightInd w:val="0"/>
              <w:snapToGrid w:val="0"/>
              <w:spacing w:line="360" w:lineRule="auto"/>
              <w:jc w:val="center"/>
              <w:rPr>
                <w:rFonts w:ascii="仿宋" w:hAnsi="仿宋" w:eastAsia="仿宋" w:cs="仿宋"/>
                <w:sz w:val="24"/>
                <w:szCs w:val="24"/>
              </w:rPr>
            </w:pPr>
          </w:p>
        </w:tc>
        <w:tc>
          <w:tcPr>
            <w:tcW w:w="1600" w:type="dxa"/>
            <w:vAlign w:val="center"/>
          </w:tcPr>
          <w:p w14:paraId="50940C7C">
            <w:pPr>
              <w:adjustRightInd w:val="0"/>
              <w:snapToGrid w:val="0"/>
              <w:spacing w:line="360" w:lineRule="auto"/>
              <w:jc w:val="center"/>
              <w:rPr>
                <w:rFonts w:ascii="仿宋" w:hAnsi="仿宋" w:eastAsia="仿宋" w:cs="仿宋"/>
                <w:sz w:val="24"/>
                <w:szCs w:val="24"/>
              </w:rPr>
            </w:pPr>
          </w:p>
        </w:tc>
        <w:tc>
          <w:tcPr>
            <w:tcW w:w="855" w:type="dxa"/>
            <w:vAlign w:val="center"/>
          </w:tcPr>
          <w:p w14:paraId="202EE519">
            <w:pPr>
              <w:adjustRightInd w:val="0"/>
              <w:snapToGrid w:val="0"/>
              <w:spacing w:line="360" w:lineRule="auto"/>
              <w:jc w:val="center"/>
              <w:rPr>
                <w:rFonts w:ascii="仿宋" w:hAnsi="仿宋" w:eastAsia="仿宋" w:cs="仿宋"/>
                <w:sz w:val="24"/>
                <w:szCs w:val="24"/>
              </w:rPr>
            </w:pPr>
          </w:p>
        </w:tc>
      </w:tr>
      <w:tr w14:paraId="19C99E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757" w:type="dxa"/>
            <w:tcBorders>
              <w:top w:val="single" w:color="auto" w:sz="4" w:space="0"/>
              <w:bottom w:val="single" w:color="auto" w:sz="4" w:space="0"/>
            </w:tcBorders>
            <w:vAlign w:val="center"/>
          </w:tcPr>
          <w:p w14:paraId="4E7BC172">
            <w:pPr>
              <w:spacing w:line="360" w:lineRule="auto"/>
              <w:jc w:val="center"/>
              <w:rPr>
                <w:rFonts w:ascii="仿宋" w:hAnsi="仿宋" w:eastAsia="仿宋" w:cs="仿宋"/>
                <w:sz w:val="24"/>
                <w:szCs w:val="24"/>
              </w:rPr>
            </w:pPr>
            <w:r>
              <w:rPr>
                <w:rFonts w:hint="eastAsia" w:ascii="仿宋" w:hAnsi="仿宋" w:eastAsia="仿宋" w:cs="仿宋"/>
                <w:sz w:val="24"/>
                <w:szCs w:val="24"/>
              </w:rPr>
              <w:t>2</w:t>
            </w:r>
          </w:p>
        </w:tc>
        <w:tc>
          <w:tcPr>
            <w:tcW w:w="2426" w:type="dxa"/>
            <w:tcBorders>
              <w:top w:val="single" w:color="auto" w:sz="4" w:space="0"/>
              <w:bottom w:val="single" w:color="auto" w:sz="4" w:space="0"/>
              <w:right w:val="single" w:color="auto" w:sz="4" w:space="0"/>
            </w:tcBorders>
            <w:vAlign w:val="center"/>
          </w:tcPr>
          <w:p w14:paraId="4973B650">
            <w:pPr>
              <w:adjustRightInd w:val="0"/>
              <w:snapToGrid w:val="0"/>
              <w:spacing w:line="360" w:lineRule="auto"/>
              <w:jc w:val="center"/>
              <w:rPr>
                <w:rFonts w:ascii="仿宋" w:hAnsi="仿宋" w:eastAsia="仿宋" w:cs="仿宋"/>
                <w:sz w:val="24"/>
                <w:szCs w:val="24"/>
              </w:rPr>
            </w:pPr>
          </w:p>
        </w:tc>
        <w:tc>
          <w:tcPr>
            <w:tcW w:w="697" w:type="dxa"/>
            <w:tcBorders>
              <w:left w:val="single" w:color="auto" w:sz="4" w:space="0"/>
            </w:tcBorders>
            <w:vAlign w:val="center"/>
          </w:tcPr>
          <w:p w14:paraId="00F77A6E">
            <w:pPr>
              <w:adjustRightInd w:val="0"/>
              <w:snapToGrid w:val="0"/>
              <w:spacing w:line="360" w:lineRule="auto"/>
              <w:jc w:val="center"/>
              <w:rPr>
                <w:rFonts w:ascii="仿宋" w:hAnsi="仿宋" w:eastAsia="仿宋" w:cs="仿宋"/>
                <w:sz w:val="24"/>
                <w:szCs w:val="24"/>
              </w:rPr>
            </w:pPr>
          </w:p>
        </w:tc>
        <w:tc>
          <w:tcPr>
            <w:tcW w:w="1118" w:type="dxa"/>
            <w:vAlign w:val="center"/>
          </w:tcPr>
          <w:p w14:paraId="550B020F">
            <w:pPr>
              <w:adjustRightInd w:val="0"/>
              <w:snapToGrid w:val="0"/>
              <w:spacing w:line="360" w:lineRule="auto"/>
              <w:jc w:val="center"/>
              <w:rPr>
                <w:rFonts w:ascii="仿宋" w:hAnsi="仿宋" w:eastAsia="仿宋" w:cs="仿宋"/>
                <w:sz w:val="24"/>
                <w:szCs w:val="24"/>
              </w:rPr>
            </w:pPr>
          </w:p>
        </w:tc>
        <w:tc>
          <w:tcPr>
            <w:tcW w:w="1020" w:type="dxa"/>
            <w:vAlign w:val="center"/>
          </w:tcPr>
          <w:p w14:paraId="6B35734C">
            <w:pPr>
              <w:adjustRightInd w:val="0"/>
              <w:snapToGrid w:val="0"/>
              <w:spacing w:line="360" w:lineRule="auto"/>
              <w:jc w:val="center"/>
              <w:rPr>
                <w:rFonts w:ascii="仿宋" w:hAnsi="仿宋" w:eastAsia="仿宋" w:cs="仿宋"/>
                <w:sz w:val="24"/>
                <w:szCs w:val="24"/>
              </w:rPr>
            </w:pPr>
          </w:p>
        </w:tc>
        <w:tc>
          <w:tcPr>
            <w:tcW w:w="1070" w:type="dxa"/>
            <w:vAlign w:val="center"/>
          </w:tcPr>
          <w:p w14:paraId="1F82E038">
            <w:pPr>
              <w:adjustRightInd w:val="0"/>
              <w:snapToGrid w:val="0"/>
              <w:spacing w:line="360" w:lineRule="auto"/>
              <w:jc w:val="center"/>
              <w:rPr>
                <w:rFonts w:ascii="仿宋" w:hAnsi="仿宋" w:eastAsia="仿宋" w:cs="仿宋"/>
                <w:sz w:val="24"/>
                <w:szCs w:val="24"/>
              </w:rPr>
            </w:pPr>
          </w:p>
        </w:tc>
        <w:tc>
          <w:tcPr>
            <w:tcW w:w="1600" w:type="dxa"/>
            <w:vAlign w:val="center"/>
          </w:tcPr>
          <w:p w14:paraId="0505324B">
            <w:pPr>
              <w:adjustRightInd w:val="0"/>
              <w:snapToGrid w:val="0"/>
              <w:spacing w:line="360" w:lineRule="auto"/>
              <w:jc w:val="center"/>
              <w:rPr>
                <w:rFonts w:ascii="仿宋" w:hAnsi="仿宋" w:eastAsia="仿宋" w:cs="仿宋"/>
                <w:sz w:val="24"/>
                <w:szCs w:val="24"/>
              </w:rPr>
            </w:pPr>
          </w:p>
        </w:tc>
        <w:tc>
          <w:tcPr>
            <w:tcW w:w="855" w:type="dxa"/>
            <w:vAlign w:val="center"/>
          </w:tcPr>
          <w:p w14:paraId="109025F6">
            <w:pPr>
              <w:adjustRightInd w:val="0"/>
              <w:snapToGrid w:val="0"/>
              <w:spacing w:line="360" w:lineRule="auto"/>
              <w:jc w:val="center"/>
              <w:rPr>
                <w:rFonts w:ascii="仿宋" w:hAnsi="仿宋" w:eastAsia="仿宋" w:cs="仿宋"/>
                <w:sz w:val="24"/>
                <w:szCs w:val="24"/>
              </w:rPr>
            </w:pPr>
          </w:p>
        </w:tc>
      </w:tr>
      <w:tr w14:paraId="77F1C8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757" w:type="dxa"/>
            <w:tcBorders>
              <w:top w:val="single" w:color="auto" w:sz="4" w:space="0"/>
              <w:bottom w:val="single" w:color="auto" w:sz="4" w:space="0"/>
            </w:tcBorders>
            <w:vAlign w:val="center"/>
          </w:tcPr>
          <w:p w14:paraId="4F432F26">
            <w:pPr>
              <w:spacing w:line="360" w:lineRule="auto"/>
              <w:jc w:val="center"/>
              <w:rPr>
                <w:rFonts w:ascii="仿宋" w:hAnsi="仿宋" w:eastAsia="仿宋" w:cs="仿宋"/>
                <w:sz w:val="24"/>
                <w:szCs w:val="24"/>
              </w:rPr>
            </w:pPr>
            <w:r>
              <w:rPr>
                <w:rFonts w:hint="eastAsia" w:ascii="仿宋" w:hAnsi="仿宋" w:eastAsia="仿宋" w:cs="仿宋"/>
                <w:sz w:val="24"/>
                <w:szCs w:val="24"/>
              </w:rPr>
              <w:t>3</w:t>
            </w:r>
          </w:p>
        </w:tc>
        <w:tc>
          <w:tcPr>
            <w:tcW w:w="2426" w:type="dxa"/>
            <w:tcBorders>
              <w:top w:val="single" w:color="auto" w:sz="4" w:space="0"/>
              <w:right w:val="single" w:color="auto" w:sz="4" w:space="0"/>
            </w:tcBorders>
            <w:vAlign w:val="center"/>
          </w:tcPr>
          <w:p w14:paraId="1569BF9E">
            <w:pPr>
              <w:adjustRightInd w:val="0"/>
              <w:snapToGrid w:val="0"/>
              <w:spacing w:line="360" w:lineRule="auto"/>
              <w:jc w:val="center"/>
              <w:rPr>
                <w:rFonts w:ascii="仿宋" w:hAnsi="仿宋" w:eastAsia="仿宋" w:cs="仿宋"/>
                <w:sz w:val="24"/>
                <w:szCs w:val="24"/>
              </w:rPr>
            </w:pPr>
          </w:p>
        </w:tc>
        <w:tc>
          <w:tcPr>
            <w:tcW w:w="697" w:type="dxa"/>
            <w:tcBorders>
              <w:left w:val="single" w:color="auto" w:sz="4" w:space="0"/>
            </w:tcBorders>
            <w:vAlign w:val="center"/>
          </w:tcPr>
          <w:p w14:paraId="055891C4">
            <w:pPr>
              <w:adjustRightInd w:val="0"/>
              <w:snapToGrid w:val="0"/>
              <w:spacing w:line="360" w:lineRule="auto"/>
              <w:jc w:val="center"/>
              <w:rPr>
                <w:rFonts w:ascii="仿宋" w:hAnsi="仿宋" w:eastAsia="仿宋" w:cs="仿宋"/>
                <w:sz w:val="24"/>
                <w:szCs w:val="24"/>
              </w:rPr>
            </w:pPr>
          </w:p>
        </w:tc>
        <w:tc>
          <w:tcPr>
            <w:tcW w:w="1118" w:type="dxa"/>
            <w:vAlign w:val="center"/>
          </w:tcPr>
          <w:p w14:paraId="67A26C12">
            <w:pPr>
              <w:adjustRightInd w:val="0"/>
              <w:snapToGrid w:val="0"/>
              <w:spacing w:line="360" w:lineRule="auto"/>
              <w:jc w:val="center"/>
              <w:rPr>
                <w:rFonts w:ascii="仿宋" w:hAnsi="仿宋" w:eastAsia="仿宋" w:cs="仿宋"/>
                <w:sz w:val="24"/>
                <w:szCs w:val="24"/>
              </w:rPr>
            </w:pPr>
          </w:p>
        </w:tc>
        <w:tc>
          <w:tcPr>
            <w:tcW w:w="1020" w:type="dxa"/>
            <w:vAlign w:val="center"/>
          </w:tcPr>
          <w:p w14:paraId="3B2A35B8">
            <w:pPr>
              <w:adjustRightInd w:val="0"/>
              <w:snapToGrid w:val="0"/>
              <w:spacing w:line="360" w:lineRule="auto"/>
              <w:jc w:val="center"/>
              <w:rPr>
                <w:rFonts w:ascii="仿宋" w:hAnsi="仿宋" w:eastAsia="仿宋" w:cs="仿宋"/>
                <w:sz w:val="24"/>
                <w:szCs w:val="24"/>
              </w:rPr>
            </w:pPr>
          </w:p>
        </w:tc>
        <w:tc>
          <w:tcPr>
            <w:tcW w:w="1070" w:type="dxa"/>
            <w:vAlign w:val="center"/>
          </w:tcPr>
          <w:p w14:paraId="683BA96B">
            <w:pPr>
              <w:adjustRightInd w:val="0"/>
              <w:snapToGrid w:val="0"/>
              <w:spacing w:line="360" w:lineRule="auto"/>
              <w:jc w:val="center"/>
              <w:rPr>
                <w:rFonts w:ascii="仿宋" w:hAnsi="仿宋" w:eastAsia="仿宋" w:cs="仿宋"/>
                <w:sz w:val="24"/>
                <w:szCs w:val="24"/>
              </w:rPr>
            </w:pPr>
          </w:p>
        </w:tc>
        <w:tc>
          <w:tcPr>
            <w:tcW w:w="1600" w:type="dxa"/>
            <w:vAlign w:val="center"/>
          </w:tcPr>
          <w:p w14:paraId="6C5E9FE9">
            <w:pPr>
              <w:adjustRightInd w:val="0"/>
              <w:snapToGrid w:val="0"/>
              <w:spacing w:line="360" w:lineRule="auto"/>
              <w:jc w:val="center"/>
              <w:rPr>
                <w:rFonts w:ascii="仿宋" w:hAnsi="仿宋" w:eastAsia="仿宋" w:cs="仿宋"/>
                <w:sz w:val="24"/>
                <w:szCs w:val="24"/>
              </w:rPr>
            </w:pPr>
          </w:p>
        </w:tc>
        <w:tc>
          <w:tcPr>
            <w:tcW w:w="855" w:type="dxa"/>
            <w:vAlign w:val="center"/>
          </w:tcPr>
          <w:p w14:paraId="5D77EEA6">
            <w:pPr>
              <w:adjustRightInd w:val="0"/>
              <w:snapToGrid w:val="0"/>
              <w:spacing w:line="360" w:lineRule="auto"/>
              <w:jc w:val="center"/>
              <w:rPr>
                <w:rFonts w:ascii="仿宋" w:hAnsi="仿宋" w:eastAsia="仿宋" w:cs="仿宋"/>
                <w:sz w:val="24"/>
                <w:szCs w:val="24"/>
              </w:rPr>
            </w:pPr>
          </w:p>
        </w:tc>
      </w:tr>
      <w:tr w14:paraId="36C45F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757" w:type="dxa"/>
            <w:tcBorders>
              <w:top w:val="single" w:color="auto" w:sz="4" w:space="0"/>
              <w:bottom w:val="single" w:color="auto" w:sz="4" w:space="0"/>
            </w:tcBorders>
            <w:vAlign w:val="center"/>
          </w:tcPr>
          <w:p w14:paraId="0402671A">
            <w:pPr>
              <w:spacing w:line="360" w:lineRule="auto"/>
              <w:jc w:val="center"/>
              <w:rPr>
                <w:rFonts w:ascii="仿宋" w:hAnsi="仿宋" w:eastAsia="仿宋" w:cs="仿宋"/>
                <w:sz w:val="24"/>
                <w:szCs w:val="24"/>
              </w:rPr>
            </w:pPr>
            <w:r>
              <w:rPr>
                <w:rFonts w:hint="eastAsia" w:ascii="仿宋" w:hAnsi="仿宋" w:eastAsia="仿宋" w:cs="仿宋"/>
                <w:sz w:val="24"/>
                <w:szCs w:val="24"/>
              </w:rPr>
              <w:t>4</w:t>
            </w:r>
          </w:p>
        </w:tc>
        <w:tc>
          <w:tcPr>
            <w:tcW w:w="2426" w:type="dxa"/>
            <w:tcBorders>
              <w:right w:val="single" w:color="auto" w:sz="4" w:space="0"/>
            </w:tcBorders>
            <w:vAlign w:val="center"/>
          </w:tcPr>
          <w:p w14:paraId="579ECC04">
            <w:pPr>
              <w:adjustRightInd w:val="0"/>
              <w:snapToGrid w:val="0"/>
              <w:spacing w:line="360" w:lineRule="auto"/>
              <w:jc w:val="center"/>
              <w:rPr>
                <w:rFonts w:ascii="仿宋" w:hAnsi="仿宋" w:eastAsia="仿宋" w:cs="仿宋"/>
                <w:sz w:val="24"/>
                <w:szCs w:val="24"/>
              </w:rPr>
            </w:pPr>
          </w:p>
        </w:tc>
        <w:tc>
          <w:tcPr>
            <w:tcW w:w="697" w:type="dxa"/>
            <w:tcBorders>
              <w:left w:val="single" w:color="auto" w:sz="4" w:space="0"/>
            </w:tcBorders>
            <w:vAlign w:val="center"/>
          </w:tcPr>
          <w:p w14:paraId="3BA6C489">
            <w:pPr>
              <w:adjustRightInd w:val="0"/>
              <w:snapToGrid w:val="0"/>
              <w:spacing w:line="360" w:lineRule="auto"/>
              <w:jc w:val="center"/>
              <w:rPr>
                <w:rFonts w:ascii="仿宋" w:hAnsi="仿宋" w:eastAsia="仿宋" w:cs="仿宋"/>
                <w:sz w:val="24"/>
                <w:szCs w:val="24"/>
              </w:rPr>
            </w:pPr>
          </w:p>
        </w:tc>
        <w:tc>
          <w:tcPr>
            <w:tcW w:w="1118" w:type="dxa"/>
            <w:vAlign w:val="center"/>
          </w:tcPr>
          <w:p w14:paraId="5781CCDB">
            <w:pPr>
              <w:adjustRightInd w:val="0"/>
              <w:snapToGrid w:val="0"/>
              <w:spacing w:line="360" w:lineRule="auto"/>
              <w:jc w:val="center"/>
              <w:rPr>
                <w:rFonts w:ascii="仿宋" w:hAnsi="仿宋" w:eastAsia="仿宋" w:cs="仿宋"/>
                <w:sz w:val="24"/>
                <w:szCs w:val="24"/>
              </w:rPr>
            </w:pPr>
          </w:p>
        </w:tc>
        <w:tc>
          <w:tcPr>
            <w:tcW w:w="1020" w:type="dxa"/>
            <w:vAlign w:val="center"/>
          </w:tcPr>
          <w:p w14:paraId="5516A112">
            <w:pPr>
              <w:adjustRightInd w:val="0"/>
              <w:snapToGrid w:val="0"/>
              <w:spacing w:line="360" w:lineRule="auto"/>
              <w:jc w:val="center"/>
              <w:rPr>
                <w:rFonts w:ascii="仿宋" w:hAnsi="仿宋" w:eastAsia="仿宋" w:cs="仿宋"/>
                <w:sz w:val="24"/>
                <w:szCs w:val="24"/>
              </w:rPr>
            </w:pPr>
          </w:p>
        </w:tc>
        <w:tc>
          <w:tcPr>
            <w:tcW w:w="1070" w:type="dxa"/>
            <w:vAlign w:val="center"/>
          </w:tcPr>
          <w:p w14:paraId="393CE6E6">
            <w:pPr>
              <w:adjustRightInd w:val="0"/>
              <w:snapToGrid w:val="0"/>
              <w:spacing w:line="360" w:lineRule="auto"/>
              <w:jc w:val="center"/>
              <w:rPr>
                <w:rFonts w:ascii="仿宋" w:hAnsi="仿宋" w:eastAsia="仿宋" w:cs="仿宋"/>
                <w:sz w:val="24"/>
                <w:szCs w:val="24"/>
              </w:rPr>
            </w:pPr>
          </w:p>
        </w:tc>
        <w:tc>
          <w:tcPr>
            <w:tcW w:w="1600" w:type="dxa"/>
            <w:vAlign w:val="center"/>
          </w:tcPr>
          <w:p w14:paraId="2B4391BD">
            <w:pPr>
              <w:adjustRightInd w:val="0"/>
              <w:snapToGrid w:val="0"/>
              <w:spacing w:line="360" w:lineRule="auto"/>
              <w:jc w:val="center"/>
              <w:rPr>
                <w:rFonts w:ascii="仿宋" w:hAnsi="仿宋" w:eastAsia="仿宋" w:cs="仿宋"/>
                <w:sz w:val="24"/>
                <w:szCs w:val="24"/>
              </w:rPr>
            </w:pPr>
          </w:p>
        </w:tc>
        <w:tc>
          <w:tcPr>
            <w:tcW w:w="855" w:type="dxa"/>
            <w:vAlign w:val="center"/>
          </w:tcPr>
          <w:p w14:paraId="0AD6FB0F">
            <w:pPr>
              <w:adjustRightInd w:val="0"/>
              <w:snapToGrid w:val="0"/>
              <w:spacing w:line="360" w:lineRule="auto"/>
              <w:jc w:val="center"/>
              <w:rPr>
                <w:rFonts w:ascii="仿宋" w:hAnsi="仿宋" w:eastAsia="仿宋" w:cs="仿宋"/>
                <w:sz w:val="24"/>
                <w:szCs w:val="24"/>
              </w:rPr>
            </w:pPr>
          </w:p>
        </w:tc>
      </w:tr>
      <w:tr w14:paraId="4687AF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757" w:type="dxa"/>
            <w:tcBorders>
              <w:top w:val="single" w:color="auto" w:sz="4" w:space="0"/>
            </w:tcBorders>
            <w:vAlign w:val="center"/>
          </w:tcPr>
          <w:p w14:paraId="38970A4F">
            <w:pPr>
              <w:spacing w:line="360" w:lineRule="auto"/>
              <w:jc w:val="center"/>
              <w:rPr>
                <w:rFonts w:ascii="仿宋" w:hAnsi="仿宋" w:eastAsia="仿宋" w:cs="仿宋"/>
                <w:sz w:val="24"/>
                <w:szCs w:val="24"/>
              </w:rPr>
            </w:pPr>
            <w:r>
              <w:rPr>
                <w:rFonts w:hint="eastAsia" w:ascii="仿宋" w:hAnsi="仿宋" w:eastAsia="仿宋" w:cs="仿宋"/>
                <w:sz w:val="24"/>
                <w:szCs w:val="24"/>
              </w:rPr>
              <w:t xml:space="preserve">...... </w:t>
            </w:r>
          </w:p>
        </w:tc>
        <w:tc>
          <w:tcPr>
            <w:tcW w:w="2426" w:type="dxa"/>
            <w:tcBorders>
              <w:right w:val="single" w:color="auto" w:sz="4" w:space="0"/>
            </w:tcBorders>
            <w:vAlign w:val="center"/>
          </w:tcPr>
          <w:p w14:paraId="00B9139D">
            <w:pPr>
              <w:adjustRightInd w:val="0"/>
              <w:snapToGrid w:val="0"/>
              <w:spacing w:line="360" w:lineRule="auto"/>
              <w:jc w:val="center"/>
              <w:rPr>
                <w:rFonts w:ascii="仿宋" w:hAnsi="仿宋" w:eastAsia="仿宋" w:cs="仿宋"/>
                <w:sz w:val="24"/>
                <w:szCs w:val="24"/>
              </w:rPr>
            </w:pPr>
          </w:p>
        </w:tc>
        <w:tc>
          <w:tcPr>
            <w:tcW w:w="697" w:type="dxa"/>
            <w:tcBorders>
              <w:left w:val="single" w:color="auto" w:sz="4" w:space="0"/>
            </w:tcBorders>
            <w:vAlign w:val="center"/>
          </w:tcPr>
          <w:p w14:paraId="6C085BB1">
            <w:pPr>
              <w:adjustRightInd w:val="0"/>
              <w:snapToGrid w:val="0"/>
              <w:spacing w:line="360" w:lineRule="auto"/>
              <w:jc w:val="center"/>
              <w:rPr>
                <w:rFonts w:ascii="仿宋" w:hAnsi="仿宋" w:eastAsia="仿宋" w:cs="仿宋"/>
                <w:sz w:val="24"/>
                <w:szCs w:val="24"/>
              </w:rPr>
            </w:pPr>
          </w:p>
        </w:tc>
        <w:tc>
          <w:tcPr>
            <w:tcW w:w="1118" w:type="dxa"/>
            <w:vAlign w:val="center"/>
          </w:tcPr>
          <w:p w14:paraId="225A04B8">
            <w:pPr>
              <w:spacing w:line="360" w:lineRule="auto"/>
              <w:jc w:val="center"/>
              <w:rPr>
                <w:rFonts w:ascii="仿宋" w:hAnsi="仿宋" w:eastAsia="仿宋" w:cs="仿宋"/>
                <w:sz w:val="24"/>
                <w:szCs w:val="24"/>
              </w:rPr>
            </w:pPr>
          </w:p>
        </w:tc>
        <w:tc>
          <w:tcPr>
            <w:tcW w:w="1020" w:type="dxa"/>
            <w:vAlign w:val="center"/>
          </w:tcPr>
          <w:p w14:paraId="30CD4A67">
            <w:pPr>
              <w:adjustRightInd w:val="0"/>
              <w:snapToGrid w:val="0"/>
              <w:spacing w:line="360" w:lineRule="auto"/>
              <w:jc w:val="center"/>
              <w:rPr>
                <w:rFonts w:ascii="仿宋" w:hAnsi="仿宋" w:eastAsia="仿宋" w:cs="仿宋"/>
                <w:sz w:val="24"/>
                <w:szCs w:val="24"/>
              </w:rPr>
            </w:pPr>
          </w:p>
        </w:tc>
        <w:tc>
          <w:tcPr>
            <w:tcW w:w="1070" w:type="dxa"/>
            <w:vAlign w:val="center"/>
          </w:tcPr>
          <w:p w14:paraId="0BB6C6A8">
            <w:pPr>
              <w:adjustRightInd w:val="0"/>
              <w:snapToGrid w:val="0"/>
              <w:spacing w:line="360" w:lineRule="auto"/>
              <w:jc w:val="center"/>
              <w:rPr>
                <w:rFonts w:ascii="仿宋" w:hAnsi="仿宋" w:eastAsia="仿宋" w:cs="仿宋"/>
                <w:sz w:val="24"/>
                <w:szCs w:val="24"/>
              </w:rPr>
            </w:pPr>
          </w:p>
        </w:tc>
        <w:tc>
          <w:tcPr>
            <w:tcW w:w="1600" w:type="dxa"/>
            <w:vAlign w:val="center"/>
          </w:tcPr>
          <w:p w14:paraId="02D87CE9">
            <w:pPr>
              <w:adjustRightInd w:val="0"/>
              <w:snapToGrid w:val="0"/>
              <w:spacing w:line="360" w:lineRule="auto"/>
              <w:jc w:val="center"/>
              <w:rPr>
                <w:rFonts w:ascii="仿宋" w:hAnsi="仿宋" w:eastAsia="仿宋" w:cs="仿宋"/>
                <w:sz w:val="24"/>
                <w:szCs w:val="24"/>
              </w:rPr>
            </w:pPr>
          </w:p>
        </w:tc>
        <w:tc>
          <w:tcPr>
            <w:tcW w:w="855" w:type="dxa"/>
            <w:vAlign w:val="center"/>
          </w:tcPr>
          <w:p w14:paraId="4C5C17BF">
            <w:pPr>
              <w:adjustRightInd w:val="0"/>
              <w:snapToGrid w:val="0"/>
              <w:spacing w:line="360" w:lineRule="auto"/>
              <w:jc w:val="center"/>
              <w:rPr>
                <w:rFonts w:ascii="仿宋" w:hAnsi="仿宋" w:eastAsia="仿宋" w:cs="仿宋"/>
                <w:sz w:val="24"/>
                <w:szCs w:val="24"/>
              </w:rPr>
            </w:pPr>
          </w:p>
        </w:tc>
      </w:tr>
      <w:tr w14:paraId="0B9337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757" w:type="dxa"/>
            <w:vAlign w:val="center"/>
          </w:tcPr>
          <w:p w14:paraId="6E09167A">
            <w:pPr>
              <w:spacing w:line="360" w:lineRule="auto"/>
              <w:jc w:val="center"/>
              <w:rPr>
                <w:rFonts w:ascii="仿宋" w:hAnsi="仿宋" w:eastAsia="仿宋" w:cs="仿宋"/>
                <w:sz w:val="24"/>
                <w:szCs w:val="24"/>
              </w:rPr>
            </w:pPr>
          </w:p>
        </w:tc>
        <w:tc>
          <w:tcPr>
            <w:tcW w:w="2426" w:type="dxa"/>
            <w:tcBorders>
              <w:right w:val="single" w:color="auto" w:sz="4" w:space="0"/>
            </w:tcBorders>
            <w:vAlign w:val="center"/>
          </w:tcPr>
          <w:p w14:paraId="46830F53">
            <w:pPr>
              <w:adjustRightInd w:val="0"/>
              <w:snapToGrid w:val="0"/>
              <w:spacing w:line="360" w:lineRule="auto"/>
              <w:jc w:val="center"/>
              <w:rPr>
                <w:rFonts w:ascii="仿宋" w:hAnsi="仿宋" w:eastAsia="仿宋" w:cs="仿宋"/>
                <w:sz w:val="24"/>
                <w:szCs w:val="24"/>
              </w:rPr>
            </w:pPr>
          </w:p>
        </w:tc>
        <w:tc>
          <w:tcPr>
            <w:tcW w:w="697" w:type="dxa"/>
            <w:tcBorders>
              <w:left w:val="single" w:color="auto" w:sz="4" w:space="0"/>
            </w:tcBorders>
            <w:vAlign w:val="center"/>
          </w:tcPr>
          <w:p w14:paraId="6372239B">
            <w:pPr>
              <w:adjustRightInd w:val="0"/>
              <w:snapToGrid w:val="0"/>
              <w:spacing w:line="360" w:lineRule="auto"/>
              <w:jc w:val="center"/>
              <w:rPr>
                <w:rFonts w:ascii="仿宋" w:hAnsi="仿宋" w:eastAsia="仿宋" w:cs="仿宋"/>
                <w:sz w:val="24"/>
                <w:szCs w:val="24"/>
              </w:rPr>
            </w:pPr>
          </w:p>
        </w:tc>
        <w:tc>
          <w:tcPr>
            <w:tcW w:w="1118" w:type="dxa"/>
            <w:vAlign w:val="center"/>
          </w:tcPr>
          <w:p w14:paraId="44FA0880">
            <w:pPr>
              <w:adjustRightInd w:val="0"/>
              <w:snapToGrid w:val="0"/>
              <w:spacing w:line="360" w:lineRule="auto"/>
              <w:jc w:val="center"/>
              <w:rPr>
                <w:rFonts w:ascii="仿宋" w:hAnsi="仿宋" w:eastAsia="仿宋" w:cs="仿宋"/>
                <w:sz w:val="24"/>
                <w:szCs w:val="24"/>
              </w:rPr>
            </w:pPr>
          </w:p>
        </w:tc>
        <w:tc>
          <w:tcPr>
            <w:tcW w:w="1020" w:type="dxa"/>
            <w:vAlign w:val="center"/>
          </w:tcPr>
          <w:p w14:paraId="51970F72">
            <w:pPr>
              <w:adjustRightInd w:val="0"/>
              <w:snapToGrid w:val="0"/>
              <w:spacing w:line="360" w:lineRule="auto"/>
              <w:jc w:val="center"/>
              <w:rPr>
                <w:rFonts w:ascii="仿宋" w:hAnsi="仿宋" w:eastAsia="仿宋" w:cs="仿宋"/>
                <w:sz w:val="24"/>
                <w:szCs w:val="24"/>
              </w:rPr>
            </w:pPr>
          </w:p>
        </w:tc>
        <w:tc>
          <w:tcPr>
            <w:tcW w:w="1070" w:type="dxa"/>
            <w:vAlign w:val="center"/>
          </w:tcPr>
          <w:p w14:paraId="1151801D">
            <w:pPr>
              <w:adjustRightInd w:val="0"/>
              <w:snapToGrid w:val="0"/>
              <w:spacing w:line="360" w:lineRule="auto"/>
              <w:jc w:val="center"/>
              <w:rPr>
                <w:rFonts w:ascii="仿宋" w:hAnsi="仿宋" w:eastAsia="仿宋" w:cs="仿宋"/>
                <w:sz w:val="24"/>
                <w:szCs w:val="24"/>
              </w:rPr>
            </w:pPr>
          </w:p>
        </w:tc>
        <w:tc>
          <w:tcPr>
            <w:tcW w:w="1600" w:type="dxa"/>
            <w:vAlign w:val="center"/>
          </w:tcPr>
          <w:p w14:paraId="130E5E53">
            <w:pPr>
              <w:adjustRightInd w:val="0"/>
              <w:snapToGrid w:val="0"/>
              <w:spacing w:line="360" w:lineRule="auto"/>
              <w:jc w:val="center"/>
              <w:rPr>
                <w:rFonts w:ascii="仿宋" w:hAnsi="仿宋" w:eastAsia="仿宋" w:cs="仿宋"/>
                <w:sz w:val="24"/>
                <w:szCs w:val="24"/>
              </w:rPr>
            </w:pPr>
          </w:p>
        </w:tc>
        <w:tc>
          <w:tcPr>
            <w:tcW w:w="855" w:type="dxa"/>
            <w:vAlign w:val="center"/>
          </w:tcPr>
          <w:p w14:paraId="6F983F8B">
            <w:pPr>
              <w:adjustRightInd w:val="0"/>
              <w:snapToGrid w:val="0"/>
              <w:spacing w:line="360" w:lineRule="auto"/>
              <w:jc w:val="center"/>
              <w:rPr>
                <w:rFonts w:ascii="仿宋" w:hAnsi="仿宋" w:eastAsia="仿宋" w:cs="仿宋"/>
                <w:sz w:val="24"/>
                <w:szCs w:val="24"/>
              </w:rPr>
            </w:pPr>
          </w:p>
        </w:tc>
      </w:tr>
      <w:tr w14:paraId="411C04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757" w:type="dxa"/>
            <w:vAlign w:val="center"/>
          </w:tcPr>
          <w:p w14:paraId="769AF2A0">
            <w:pPr>
              <w:spacing w:line="360" w:lineRule="auto"/>
              <w:jc w:val="center"/>
              <w:rPr>
                <w:rFonts w:ascii="仿宋" w:hAnsi="仿宋" w:eastAsia="仿宋" w:cs="仿宋"/>
                <w:sz w:val="24"/>
                <w:szCs w:val="24"/>
              </w:rPr>
            </w:pPr>
          </w:p>
        </w:tc>
        <w:tc>
          <w:tcPr>
            <w:tcW w:w="2426" w:type="dxa"/>
            <w:tcBorders>
              <w:right w:val="single" w:color="auto" w:sz="4" w:space="0"/>
            </w:tcBorders>
            <w:vAlign w:val="center"/>
          </w:tcPr>
          <w:p w14:paraId="48CE22F0">
            <w:pPr>
              <w:adjustRightInd w:val="0"/>
              <w:snapToGrid w:val="0"/>
              <w:spacing w:line="360" w:lineRule="auto"/>
              <w:jc w:val="center"/>
              <w:rPr>
                <w:rFonts w:ascii="仿宋" w:hAnsi="仿宋" w:eastAsia="仿宋" w:cs="仿宋"/>
                <w:sz w:val="24"/>
                <w:szCs w:val="24"/>
              </w:rPr>
            </w:pPr>
          </w:p>
        </w:tc>
        <w:tc>
          <w:tcPr>
            <w:tcW w:w="697" w:type="dxa"/>
            <w:tcBorders>
              <w:left w:val="single" w:color="auto" w:sz="4" w:space="0"/>
            </w:tcBorders>
            <w:vAlign w:val="center"/>
          </w:tcPr>
          <w:p w14:paraId="70998705">
            <w:pPr>
              <w:adjustRightInd w:val="0"/>
              <w:snapToGrid w:val="0"/>
              <w:spacing w:line="360" w:lineRule="auto"/>
              <w:jc w:val="center"/>
              <w:rPr>
                <w:rFonts w:ascii="仿宋" w:hAnsi="仿宋" w:eastAsia="仿宋" w:cs="仿宋"/>
                <w:sz w:val="24"/>
                <w:szCs w:val="24"/>
              </w:rPr>
            </w:pPr>
          </w:p>
        </w:tc>
        <w:tc>
          <w:tcPr>
            <w:tcW w:w="1118" w:type="dxa"/>
            <w:vAlign w:val="center"/>
          </w:tcPr>
          <w:p w14:paraId="144C4068">
            <w:pPr>
              <w:adjustRightInd w:val="0"/>
              <w:snapToGrid w:val="0"/>
              <w:spacing w:line="360" w:lineRule="auto"/>
              <w:jc w:val="center"/>
              <w:rPr>
                <w:rFonts w:ascii="仿宋" w:hAnsi="仿宋" w:eastAsia="仿宋" w:cs="仿宋"/>
                <w:sz w:val="24"/>
                <w:szCs w:val="24"/>
              </w:rPr>
            </w:pPr>
          </w:p>
        </w:tc>
        <w:tc>
          <w:tcPr>
            <w:tcW w:w="1020" w:type="dxa"/>
            <w:vAlign w:val="center"/>
          </w:tcPr>
          <w:p w14:paraId="1D0E7DE7">
            <w:pPr>
              <w:adjustRightInd w:val="0"/>
              <w:snapToGrid w:val="0"/>
              <w:spacing w:line="360" w:lineRule="auto"/>
              <w:jc w:val="center"/>
              <w:rPr>
                <w:rFonts w:ascii="仿宋" w:hAnsi="仿宋" w:eastAsia="仿宋" w:cs="仿宋"/>
                <w:sz w:val="24"/>
                <w:szCs w:val="24"/>
              </w:rPr>
            </w:pPr>
          </w:p>
        </w:tc>
        <w:tc>
          <w:tcPr>
            <w:tcW w:w="1070" w:type="dxa"/>
            <w:vAlign w:val="center"/>
          </w:tcPr>
          <w:p w14:paraId="617976F1">
            <w:pPr>
              <w:adjustRightInd w:val="0"/>
              <w:snapToGrid w:val="0"/>
              <w:spacing w:line="360" w:lineRule="auto"/>
              <w:jc w:val="center"/>
              <w:rPr>
                <w:rFonts w:ascii="仿宋" w:hAnsi="仿宋" w:eastAsia="仿宋" w:cs="仿宋"/>
                <w:sz w:val="24"/>
                <w:szCs w:val="24"/>
              </w:rPr>
            </w:pPr>
          </w:p>
        </w:tc>
        <w:tc>
          <w:tcPr>
            <w:tcW w:w="1600" w:type="dxa"/>
            <w:vAlign w:val="center"/>
          </w:tcPr>
          <w:p w14:paraId="573E588E">
            <w:pPr>
              <w:adjustRightInd w:val="0"/>
              <w:snapToGrid w:val="0"/>
              <w:spacing w:line="360" w:lineRule="auto"/>
              <w:jc w:val="center"/>
              <w:rPr>
                <w:rFonts w:ascii="仿宋" w:hAnsi="仿宋" w:eastAsia="仿宋" w:cs="仿宋"/>
                <w:sz w:val="24"/>
                <w:szCs w:val="24"/>
              </w:rPr>
            </w:pPr>
          </w:p>
        </w:tc>
        <w:tc>
          <w:tcPr>
            <w:tcW w:w="855" w:type="dxa"/>
            <w:vAlign w:val="center"/>
          </w:tcPr>
          <w:p w14:paraId="442D7A31">
            <w:pPr>
              <w:adjustRightInd w:val="0"/>
              <w:snapToGrid w:val="0"/>
              <w:spacing w:line="360" w:lineRule="auto"/>
              <w:jc w:val="center"/>
              <w:rPr>
                <w:rFonts w:ascii="仿宋" w:hAnsi="仿宋" w:eastAsia="仿宋" w:cs="仿宋"/>
                <w:sz w:val="24"/>
                <w:szCs w:val="24"/>
              </w:rPr>
            </w:pPr>
          </w:p>
        </w:tc>
      </w:tr>
      <w:tr w14:paraId="103AB0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38" w:hRule="atLeast"/>
          <w:jc w:val="center"/>
        </w:trPr>
        <w:tc>
          <w:tcPr>
            <w:tcW w:w="9543" w:type="dxa"/>
            <w:gridSpan w:val="8"/>
            <w:vAlign w:val="center"/>
          </w:tcPr>
          <w:p w14:paraId="58313946">
            <w:pPr>
              <w:spacing w:line="360" w:lineRule="auto"/>
              <w:jc w:val="center"/>
              <w:rPr>
                <w:rFonts w:ascii="仿宋" w:hAnsi="仿宋" w:eastAsia="仿宋" w:cs="仿宋"/>
                <w:sz w:val="24"/>
                <w:szCs w:val="24"/>
              </w:rPr>
            </w:pPr>
          </w:p>
          <w:p w14:paraId="7FB7A20C">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投标总价：</w:t>
            </w:r>
          </w:p>
          <w:p w14:paraId="009642EE">
            <w:pPr>
              <w:adjustRightInd w:val="0"/>
              <w:snapToGrid w:val="0"/>
              <w:spacing w:line="360" w:lineRule="auto"/>
              <w:rPr>
                <w:rFonts w:ascii="仿宋" w:hAnsi="仿宋" w:eastAsia="仿宋" w:cs="仿宋"/>
                <w:sz w:val="24"/>
                <w:szCs w:val="24"/>
                <w:u w:val="single"/>
              </w:rPr>
            </w:pPr>
            <w:r>
              <w:rPr>
                <w:rFonts w:hint="eastAsia" w:ascii="仿宋" w:hAnsi="仿宋" w:eastAsia="仿宋" w:cs="仿宋"/>
                <w:sz w:val="24"/>
                <w:szCs w:val="24"/>
              </w:rPr>
              <w:t>（大写）</w:t>
            </w:r>
          </w:p>
          <w:p w14:paraId="361AC087">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（小写）</w:t>
            </w:r>
          </w:p>
        </w:tc>
      </w:tr>
    </w:tbl>
    <w:p w14:paraId="41F9EE85">
      <w:pPr>
        <w:spacing w:line="360" w:lineRule="auto"/>
        <w:ind w:firstLine="480" w:firstLineChars="200"/>
        <w:jc w:val="left"/>
        <w:rPr>
          <w:rFonts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注：1、供应商的报价应包含所提供服务过程中发生的一切应有费用。</w:t>
      </w:r>
    </w:p>
    <w:p w14:paraId="057EF9B2">
      <w:pPr>
        <w:spacing w:line="360" w:lineRule="auto"/>
        <w:jc w:val="left"/>
        <w:rPr>
          <w:rFonts w:ascii="仿宋" w:hAnsi="仿宋" w:eastAsia="仿宋" w:cs="仿宋"/>
          <w:snapToGrid w:val="0"/>
          <w:kern w:val="0"/>
          <w:sz w:val="24"/>
          <w:szCs w:val="24"/>
        </w:rPr>
      </w:pPr>
    </w:p>
    <w:p w14:paraId="7000AB2A">
      <w:pPr>
        <w:spacing w:line="360" w:lineRule="auto"/>
        <w:jc w:val="right"/>
        <w:rPr>
          <w:rFonts w:ascii="仿宋" w:hAnsi="仿宋" w:eastAsia="仿宋" w:cs="仿宋"/>
          <w:snapToGrid w:val="0"/>
          <w:kern w:val="0"/>
          <w:sz w:val="24"/>
          <w:szCs w:val="24"/>
          <w:u w:val="single"/>
        </w:rPr>
      </w:pPr>
      <w:r>
        <w:rPr>
          <w:rFonts w:hint="eastAsia" w:ascii="仿宋" w:hAnsi="仿宋" w:eastAsia="仿宋" w:cs="仿宋"/>
          <w:snapToGrid w:val="0"/>
          <w:kern w:val="0"/>
          <w:sz w:val="24"/>
          <w:szCs w:val="24"/>
        </w:rPr>
        <w:t>供应商：</w:t>
      </w:r>
      <w:r>
        <w:rPr>
          <w:rFonts w:hint="eastAsia" w:ascii="仿宋" w:hAnsi="仿宋" w:eastAsia="仿宋" w:cs="仿宋"/>
          <w:snapToGrid w:val="0"/>
          <w:kern w:val="0"/>
          <w:sz w:val="24"/>
          <w:szCs w:val="24"/>
          <w:u w:val="single"/>
        </w:rPr>
        <w:t>（全称并加盖公章）</w:t>
      </w:r>
    </w:p>
    <w:p w14:paraId="3866BBFB">
      <w:pPr>
        <w:spacing w:line="360" w:lineRule="auto"/>
        <w:jc w:val="right"/>
        <w:rPr>
          <w:rFonts w:ascii="仿宋" w:hAnsi="仿宋" w:eastAsia="仿宋" w:cs="仿宋"/>
          <w:snapToGrid w:val="0"/>
          <w:kern w:val="0"/>
          <w:sz w:val="24"/>
          <w:szCs w:val="24"/>
          <w:u w:val="single"/>
        </w:rPr>
      </w:pPr>
      <w:r>
        <w:rPr>
          <w:rFonts w:hint="eastAsia" w:ascii="仿宋" w:hAnsi="仿宋" w:eastAsia="仿宋" w:cs="仿宋"/>
          <w:snapToGrid w:val="0"/>
          <w:kern w:val="0"/>
          <w:sz w:val="24"/>
          <w:szCs w:val="24"/>
        </w:rPr>
        <w:t>法定代表人或其委托代理人：</w:t>
      </w:r>
      <w:r>
        <w:rPr>
          <w:rFonts w:hint="eastAsia" w:ascii="仿宋" w:hAnsi="仿宋" w:eastAsia="仿宋" w:cs="仿宋"/>
          <w:snapToGrid w:val="0"/>
          <w:kern w:val="0"/>
          <w:sz w:val="24"/>
          <w:szCs w:val="24"/>
          <w:u w:val="single"/>
        </w:rPr>
        <w:t xml:space="preserve">   （签字或盖章） </w:t>
      </w:r>
    </w:p>
    <w:p w14:paraId="1055272B">
      <w:pPr>
        <w:wordWrap w:val="0"/>
        <w:spacing w:line="360" w:lineRule="auto"/>
        <w:jc w:val="right"/>
        <w:rPr>
          <w:rFonts w:ascii="仿宋" w:hAnsi="仿宋" w:eastAsia="仿宋" w:cs="仿宋"/>
          <w:sz w:val="24"/>
          <w:szCs w:val="24"/>
        </w:rPr>
      </w:pPr>
      <w:r>
        <w:rPr>
          <w:rFonts w:hint="eastAsia" w:ascii="仿宋" w:hAnsi="仿宋" w:eastAsia="仿宋" w:cs="仿宋"/>
          <w:snapToGrid w:val="0"/>
          <w:kern w:val="0"/>
          <w:sz w:val="24"/>
          <w:szCs w:val="24"/>
        </w:rPr>
        <w:t xml:space="preserve">          日  期：</w:t>
      </w:r>
    </w:p>
    <w:p w14:paraId="04E8B192">
      <w:pPr>
        <w:widowControl/>
        <w:spacing w:line="360" w:lineRule="auto"/>
        <w:jc w:val="left"/>
        <w:rPr>
          <w:rFonts w:ascii="仿宋" w:hAnsi="仿宋" w:eastAsia="仿宋" w:cs="仿宋"/>
          <w:snapToGrid w:val="0"/>
          <w:kern w:val="0"/>
          <w:sz w:val="24"/>
          <w:szCs w:val="24"/>
        </w:rPr>
      </w:pPr>
    </w:p>
    <w:p w14:paraId="62163A30">
      <w:pPr>
        <w:rPr>
          <w:rFonts w:ascii="仿宋" w:hAnsi="仿宋" w:eastAsia="仿宋" w:cs="仿宋"/>
          <w:b/>
          <w:sz w:val="24"/>
          <w:szCs w:val="24"/>
        </w:rPr>
      </w:pPr>
      <w:bookmarkStart w:id="124" w:name="_Toc382508398"/>
      <w:bookmarkStart w:id="125" w:name="_Hlk525928365"/>
      <w:r>
        <w:rPr>
          <w:rFonts w:hint="eastAsia" w:ascii="仿宋" w:hAnsi="仿宋" w:eastAsia="仿宋" w:cs="仿宋"/>
          <w:b/>
          <w:sz w:val="24"/>
          <w:szCs w:val="24"/>
        </w:rPr>
        <w:br w:type="page"/>
      </w:r>
    </w:p>
    <w:p w14:paraId="45254177">
      <w:pPr>
        <w:spacing w:line="360" w:lineRule="auto"/>
        <w:jc w:val="center"/>
        <w:rPr>
          <w:rFonts w:ascii="仿宋" w:hAnsi="仿宋" w:eastAsia="仿宋" w:cs="仿宋"/>
          <w:b/>
          <w:sz w:val="24"/>
          <w:szCs w:val="24"/>
        </w:rPr>
      </w:pPr>
      <w:r>
        <w:rPr>
          <w:rFonts w:hint="eastAsia" w:ascii="仿宋" w:hAnsi="仿宋" w:eastAsia="仿宋" w:cs="仿宋"/>
          <w:b/>
          <w:sz w:val="24"/>
          <w:szCs w:val="24"/>
        </w:rPr>
        <w:t>格式5、商务条款投标偏离表</w:t>
      </w:r>
      <w:bookmarkEnd w:id="124"/>
    </w:p>
    <w:p w14:paraId="0C3DC782">
      <w:pPr>
        <w:spacing w:line="360" w:lineRule="auto"/>
        <w:ind w:firstLine="240" w:firstLineChars="100"/>
        <w:rPr>
          <w:rFonts w:ascii="仿宋" w:hAnsi="仿宋" w:eastAsia="仿宋" w:cs="仿宋"/>
          <w:b/>
          <w:sz w:val="24"/>
          <w:szCs w:val="24"/>
        </w:rPr>
      </w:pPr>
      <w:r>
        <w:rPr>
          <w:rFonts w:hint="eastAsia" w:ascii="仿宋" w:hAnsi="仿宋" w:eastAsia="仿宋" w:cs="仿宋"/>
          <w:sz w:val="24"/>
          <w:szCs w:val="24"/>
        </w:rPr>
        <w:t>招标项目编号：                          包号：</w:t>
      </w:r>
    </w:p>
    <w:tbl>
      <w:tblPr>
        <w:tblStyle w:val="53"/>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032"/>
        <w:gridCol w:w="2382"/>
        <w:gridCol w:w="2591"/>
        <w:gridCol w:w="1080"/>
      </w:tblGrid>
      <w:tr w14:paraId="6634A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shd w:val="clear" w:color="auto" w:fill="D8D8D8" w:themeFill="background1" w:themeFillShade="D9"/>
            <w:vAlign w:val="center"/>
          </w:tcPr>
          <w:p w14:paraId="27A26634">
            <w:pPr>
              <w:spacing w:before="240" w:after="240" w:line="360" w:lineRule="auto"/>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2032" w:type="dxa"/>
            <w:shd w:val="clear" w:color="auto" w:fill="D8D8D8" w:themeFill="background1" w:themeFillShade="D9"/>
            <w:vAlign w:val="center"/>
          </w:tcPr>
          <w:p w14:paraId="5F76337D">
            <w:pPr>
              <w:spacing w:before="240" w:after="240" w:line="360" w:lineRule="auto"/>
              <w:jc w:val="center"/>
              <w:rPr>
                <w:rFonts w:ascii="仿宋" w:hAnsi="仿宋" w:eastAsia="仿宋" w:cs="仿宋"/>
                <w:b/>
                <w:bCs/>
                <w:sz w:val="24"/>
                <w:szCs w:val="24"/>
              </w:rPr>
            </w:pPr>
            <w:r>
              <w:rPr>
                <w:rFonts w:hint="eastAsia" w:ascii="仿宋" w:hAnsi="仿宋" w:eastAsia="仿宋" w:cs="仿宋"/>
                <w:b/>
                <w:bCs/>
                <w:sz w:val="24"/>
                <w:szCs w:val="24"/>
              </w:rPr>
              <w:t>招标文件条目号</w:t>
            </w:r>
          </w:p>
        </w:tc>
        <w:tc>
          <w:tcPr>
            <w:tcW w:w="2382" w:type="dxa"/>
            <w:shd w:val="clear" w:color="auto" w:fill="D8D8D8" w:themeFill="background1" w:themeFillShade="D9"/>
            <w:vAlign w:val="center"/>
          </w:tcPr>
          <w:p w14:paraId="5E05FFFE">
            <w:pPr>
              <w:spacing w:before="240" w:after="240" w:line="360" w:lineRule="auto"/>
              <w:jc w:val="center"/>
              <w:rPr>
                <w:rFonts w:ascii="仿宋" w:hAnsi="仿宋" w:eastAsia="仿宋" w:cs="仿宋"/>
                <w:b/>
                <w:bCs/>
                <w:sz w:val="24"/>
                <w:szCs w:val="24"/>
              </w:rPr>
            </w:pPr>
            <w:r>
              <w:rPr>
                <w:rFonts w:hint="eastAsia" w:ascii="仿宋" w:hAnsi="仿宋" w:eastAsia="仿宋" w:cs="仿宋"/>
                <w:b/>
                <w:bCs/>
                <w:sz w:val="24"/>
                <w:szCs w:val="24"/>
              </w:rPr>
              <w:t>招标文件的商务条款</w:t>
            </w:r>
          </w:p>
        </w:tc>
        <w:tc>
          <w:tcPr>
            <w:tcW w:w="2591" w:type="dxa"/>
            <w:shd w:val="clear" w:color="auto" w:fill="D8D8D8" w:themeFill="background1" w:themeFillShade="D9"/>
            <w:vAlign w:val="center"/>
          </w:tcPr>
          <w:p w14:paraId="1328E0DA">
            <w:pPr>
              <w:spacing w:before="240" w:after="240" w:line="360" w:lineRule="auto"/>
              <w:jc w:val="center"/>
              <w:rPr>
                <w:rFonts w:ascii="仿宋" w:hAnsi="仿宋" w:eastAsia="仿宋" w:cs="仿宋"/>
                <w:b/>
                <w:bCs/>
                <w:sz w:val="24"/>
                <w:szCs w:val="24"/>
              </w:rPr>
            </w:pPr>
            <w:r>
              <w:rPr>
                <w:rFonts w:hint="eastAsia" w:ascii="仿宋" w:hAnsi="仿宋" w:eastAsia="仿宋" w:cs="仿宋"/>
                <w:b/>
                <w:bCs/>
                <w:sz w:val="24"/>
                <w:szCs w:val="24"/>
              </w:rPr>
              <w:t>投标文件的商务条款</w:t>
            </w:r>
          </w:p>
        </w:tc>
        <w:tc>
          <w:tcPr>
            <w:tcW w:w="1080" w:type="dxa"/>
            <w:shd w:val="clear" w:color="auto" w:fill="D8D8D8" w:themeFill="background1" w:themeFillShade="D9"/>
            <w:vAlign w:val="center"/>
          </w:tcPr>
          <w:p w14:paraId="16DC91B2">
            <w:pPr>
              <w:spacing w:before="240" w:after="240" w:line="360" w:lineRule="auto"/>
              <w:jc w:val="center"/>
              <w:rPr>
                <w:rFonts w:ascii="仿宋" w:hAnsi="仿宋" w:eastAsia="仿宋" w:cs="仿宋"/>
                <w:b/>
                <w:bCs/>
                <w:sz w:val="24"/>
                <w:szCs w:val="24"/>
              </w:rPr>
            </w:pPr>
            <w:r>
              <w:rPr>
                <w:rFonts w:hint="eastAsia" w:ascii="仿宋" w:hAnsi="仿宋" w:eastAsia="仿宋" w:cs="仿宋"/>
                <w:b/>
                <w:bCs/>
                <w:sz w:val="24"/>
                <w:szCs w:val="24"/>
              </w:rPr>
              <w:t>说明</w:t>
            </w:r>
          </w:p>
        </w:tc>
      </w:tr>
      <w:tr w14:paraId="5C049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14:paraId="48235B5A">
            <w:pPr>
              <w:spacing w:before="240" w:after="240" w:line="360" w:lineRule="auto"/>
              <w:rPr>
                <w:rFonts w:ascii="仿宋" w:hAnsi="仿宋" w:eastAsia="仿宋" w:cs="仿宋"/>
                <w:sz w:val="24"/>
                <w:szCs w:val="24"/>
              </w:rPr>
            </w:pPr>
          </w:p>
        </w:tc>
        <w:tc>
          <w:tcPr>
            <w:tcW w:w="2032" w:type="dxa"/>
          </w:tcPr>
          <w:p w14:paraId="2E0FD184">
            <w:pPr>
              <w:spacing w:before="240" w:after="240" w:line="360" w:lineRule="auto"/>
              <w:rPr>
                <w:rFonts w:ascii="仿宋" w:hAnsi="仿宋" w:eastAsia="仿宋" w:cs="仿宋"/>
                <w:sz w:val="24"/>
                <w:szCs w:val="24"/>
              </w:rPr>
            </w:pPr>
          </w:p>
        </w:tc>
        <w:tc>
          <w:tcPr>
            <w:tcW w:w="2382" w:type="dxa"/>
          </w:tcPr>
          <w:p w14:paraId="3386127B">
            <w:pPr>
              <w:spacing w:before="240" w:after="240" w:line="360" w:lineRule="auto"/>
              <w:rPr>
                <w:rFonts w:ascii="仿宋" w:hAnsi="仿宋" w:eastAsia="仿宋" w:cs="仿宋"/>
                <w:sz w:val="24"/>
                <w:szCs w:val="24"/>
              </w:rPr>
            </w:pPr>
          </w:p>
        </w:tc>
        <w:tc>
          <w:tcPr>
            <w:tcW w:w="2591" w:type="dxa"/>
          </w:tcPr>
          <w:p w14:paraId="1B3C7F2A">
            <w:pPr>
              <w:spacing w:before="240" w:after="240" w:line="360" w:lineRule="auto"/>
              <w:rPr>
                <w:rFonts w:ascii="仿宋" w:hAnsi="仿宋" w:eastAsia="仿宋" w:cs="仿宋"/>
                <w:sz w:val="24"/>
                <w:szCs w:val="24"/>
              </w:rPr>
            </w:pPr>
          </w:p>
        </w:tc>
        <w:tc>
          <w:tcPr>
            <w:tcW w:w="1080" w:type="dxa"/>
          </w:tcPr>
          <w:p w14:paraId="76CD32B4">
            <w:pPr>
              <w:spacing w:before="240" w:after="240" w:line="360" w:lineRule="auto"/>
              <w:rPr>
                <w:rFonts w:ascii="仿宋" w:hAnsi="仿宋" w:eastAsia="仿宋" w:cs="仿宋"/>
                <w:sz w:val="24"/>
                <w:szCs w:val="24"/>
              </w:rPr>
            </w:pPr>
          </w:p>
        </w:tc>
      </w:tr>
      <w:tr w14:paraId="4641A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14:paraId="7481F8E2">
            <w:pPr>
              <w:spacing w:before="240" w:after="240" w:line="360" w:lineRule="auto"/>
              <w:rPr>
                <w:rFonts w:ascii="仿宋" w:hAnsi="仿宋" w:eastAsia="仿宋" w:cs="仿宋"/>
                <w:sz w:val="24"/>
                <w:szCs w:val="24"/>
              </w:rPr>
            </w:pPr>
          </w:p>
        </w:tc>
        <w:tc>
          <w:tcPr>
            <w:tcW w:w="2032" w:type="dxa"/>
          </w:tcPr>
          <w:p w14:paraId="602B6B19">
            <w:pPr>
              <w:spacing w:before="240" w:after="240" w:line="360" w:lineRule="auto"/>
              <w:rPr>
                <w:rFonts w:ascii="仿宋" w:hAnsi="仿宋" w:eastAsia="仿宋" w:cs="仿宋"/>
                <w:sz w:val="24"/>
                <w:szCs w:val="24"/>
              </w:rPr>
            </w:pPr>
          </w:p>
        </w:tc>
        <w:tc>
          <w:tcPr>
            <w:tcW w:w="2382" w:type="dxa"/>
          </w:tcPr>
          <w:p w14:paraId="33B6AA1F">
            <w:pPr>
              <w:spacing w:before="240" w:after="240" w:line="360" w:lineRule="auto"/>
              <w:rPr>
                <w:rFonts w:ascii="仿宋" w:hAnsi="仿宋" w:eastAsia="仿宋" w:cs="仿宋"/>
                <w:sz w:val="24"/>
                <w:szCs w:val="24"/>
              </w:rPr>
            </w:pPr>
          </w:p>
        </w:tc>
        <w:tc>
          <w:tcPr>
            <w:tcW w:w="2591" w:type="dxa"/>
          </w:tcPr>
          <w:p w14:paraId="4E5DF168">
            <w:pPr>
              <w:spacing w:before="240" w:after="240" w:line="360" w:lineRule="auto"/>
              <w:rPr>
                <w:rFonts w:ascii="仿宋" w:hAnsi="仿宋" w:eastAsia="仿宋" w:cs="仿宋"/>
                <w:sz w:val="24"/>
                <w:szCs w:val="24"/>
              </w:rPr>
            </w:pPr>
          </w:p>
        </w:tc>
        <w:tc>
          <w:tcPr>
            <w:tcW w:w="1080" w:type="dxa"/>
          </w:tcPr>
          <w:p w14:paraId="00691445">
            <w:pPr>
              <w:spacing w:before="240" w:after="240" w:line="360" w:lineRule="auto"/>
              <w:rPr>
                <w:rFonts w:ascii="仿宋" w:hAnsi="仿宋" w:eastAsia="仿宋" w:cs="仿宋"/>
                <w:sz w:val="24"/>
                <w:szCs w:val="24"/>
              </w:rPr>
            </w:pPr>
          </w:p>
        </w:tc>
      </w:tr>
      <w:tr w14:paraId="0DAE6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14:paraId="6F480A53">
            <w:pPr>
              <w:spacing w:before="240" w:after="240" w:line="360" w:lineRule="auto"/>
              <w:rPr>
                <w:rFonts w:ascii="仿宋" w:hAnsi="仿宋" w:eastAsia="仿宋" w:cs="仿宋"/>
                <w:sz w:val="24"/>
                <w:szCs w:val="24"/>
              </w:rPr>
            </w:pPr>
          </w:p>
        </w:tc>
        <w:tc>
          <w:tcPr>
            <w:tcW w:w="2032" w:type="dxa"/>
          </w:tcPr>
          <w:p w14:paraId="5B41BA5B">
            <w:pPr>
              <w:spacing w:before="240" w:after="240" w:line="360" w:lineRule="auto"/>
              <w:rPr>
                <w:rFonts w:ascii="仿宋" w:hAnsi="仿宋" w:eastAsia="仿宋" w:cs="仿宋"/>
                <w:sz w:val="24"/>
                <w:szCs w:val="24"/>
              </w:rPr>
            </w:pPr>
          </w:p>
        </w:tc>
        <w:tc>
          <w:tcPr>
            <w:tcW w:w="2382" w:type="dxa"/>
          </w:tcPr>
          <w:p w14:paraId="5BA06DAB">
            <w:pPr>
              <w:spacing w:before="240" w:after="240" w:line="360" w:lineRule="auto"/>
              <w:rPr>
                <w:rFonts w:ascii="仿宋" w:hAnsi="仿宋" w:eastAsia="仿宋" w:cs="仿宋"/>
                <w:sz w:val="24"/>
                <w:szCs w:val="24"/>
              </w:rPr>
            </w:pPr>
          </w:p>
        </w:tc>
        <w:tc>
          <w:tcPr>
            <w:tcW w:w="2591" w:type="dxa"/>
          </w:tcPr>
          <w:p w14:paraId="78173B9B">
            <w:pPr>
              <w:spacing w:before="240" w:after="240" w:line="360" w:lineRule="auto"/>
              <w:rPr>
                <w:rFonts w:ascii="仿宋" w:hAnsi="仿宋" w:eastAsia="仿宋" w:cs="仿宋"/>
                <w:sz w:val="24"/>
                <w:szCs w:val="24"/>
              </w:rPr>
            </w:pPr>
          </w:p>
        </w:tc>
        <w:tc>
          <w:tcPr>
            <w:tcW w:w="1080" w:type="dxa"/>
          </w:tcPr>
          <w:p w14:paraId="1D1D3631">
            <w:pPr>
              <w:spacing w:before="240" w:after="240" w:line="360" w:lineRule="auto"/>
              <w:rPr>
                <w:rFonts w:ascii="仿宋" w:hAnsi="仿宋" w:eastAsia="仿宋" w:cs="仿宋"/>
                <w:sz w:val="24"/>
                <w:szCs w:val="24"/>
              </w:rPr>
            </w:pPr>
          </w:p>
        </w:tc>
      </w:tr>
      <w:tr w14:paraId="262FA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14:paraId="1BD817DD">
            <w:pPr>
              <w:spacing w:before="240" w:after="240" w:line="360" w:lineRule="auto"/>
              <w:rPr>
                <w:rFonts w:ascii="仿宋" w:hAnsi="仿宋" w:eastAsia="仿宋" w:cs="仿宋"/>
                <w:sz w:val="24"/>
                <w:szCs w:val="24"/>
              </w:rPr>
            </w:pPr>
          </w:p>
        </w:tc>
        <w:tc>
          <w:tcPr>
            <w:tcW w:w="2032" w:type="dxa"/>
          </w:tcPr>
          <w:p w14:paraId="30313CBD">
            <w:pPr>
              <w:spacing w:before="240" w:after="240" w:line="360" w:lineRule="auto"/>
              <w:rPr>
                <w:rFonts w:ascii="仿宋" w:hAnsi="仿宋" w:eastAsia="仿宋" w:cs="仿宋"/>
                <w:sz w:val="24"/>
                <w:szCs w:val="24"/>
              </w:rPr>
            </w:pPr>
          </w:p>
        </w:tc>
        <w:tc>
          <w:tcPr>
            <w:tcW w:w="2382" w:type="dxa"/>
          </w:tcPr>
          <w:p w14:paraId="552AA0A1">
            <w:pPr>
              <w:spacing w:before="240" w:after="240" w:line="360" w:lineRule="auto"/>
              <w:rPr>
                <w:rFonts w:ascii="仿宋" w:hAnsi="仿宋" w:eastAsia="仿宋" w:cs="仿宋"/>
                <w:sz w:val="24"/>
                <w:szCs w:val="24"/>
              </w:rPr>
            </w:pPr>
          </w:p>
        </w:tc>
        <w:tc>
          <w:tcPr>
            <w:tcW w:w="2591" w:type="dxa"/>
          </w:tcPr>
          <w:p w14:paraId="709832B6">
            <w:pPr>
              <w:spacing w:before="240" w:after="240" w:line="360" w:lineRule="auto"/>
              <w:rPr>
                <w:rFonts w:ascii="仿宋" w:hAnsi="仿宋" w:eastAsia="仿宋" w:cs="仿宋"/>
                <w:sz w:val="24"/>
                <w:szCs w:val="24"/>
              </w:rPr>
            </w:pPr>
          </w:p>
        </w:tc>
        <w:tc>
          <w:tcPr>
            <w:tcW w:w="1080" w:type="dxa"/>
          </w:tcPr>
          <w:p w14:paraId="4CBBEC23">
            <w:pPr>
              <w:spacing w:before="240" w:after="240" w:line="360" w:lineRule="auto"/>
              <w:rPr>
                <w:rFonts w:ascii="仿宋" w:hAnsi="仿宋" w:eastAsia="仿宋" w:cs="仿宋"/>
                <w:sz w:val="24"/>
                <w:szCs w:val="24"/>
              </w:rPr>
            </w:pPr>
          </w:p>
        </w:tc>
      </w:tr>
      <w:tr w14:paraId="179A8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14:paraId="038C3917">
            <w:pPr>
              <w:spacing w:before="240" w:after="240" w:line="360" w:lineRule="auto"/>
              <w:rPr>
                <w:rFonts w:ascii="仿宋" w:hAnsi="仿宋" w:eastAsia="仿宋" w:cs="仿宋"/>
                <w:sz w:val="24"/>
                <w:szCs w:val="24"/>
              </w:rPr>
            </w:pPr>
          </w:p>
        </w:tc>
        <w:tc>
          <w:tcPr>
            <w:tcW w:w="2032" w:type="dxa"/>
          </w:tcPr>
          <w:p w14:paraId="05506DBC">
            <w:pPr>
              <w:spacing w:before="240" w:after="240" w:line="360" w:lineRule="auto"/>
              <w:rPr>
                <w:rFonts w:ascii="仿宋" w:hAnsi="仿宋" w:eastAsia="仿宋" w:cs="仿宋"/>
                <w:sz w:val="24"/>
                <w:szCs w:val="24"/>
              </w:rPr>
            </w:pPr>
          </w:p>
        </w:tc>
        <w:tc>
          <w:tcPr>
            <w:tcW w:w="2382" w:type="dxa"/>
          </w:tcPr>
          <w:p w14:paraId="14FDEC4A">
            <w:pPr>
              <w:spacing w:before="240" w:after="240" w:line="360" w:lineRule="auto"/>
              <w:rPr>
                <w:rFonts w:ascii="仿宋" w:hAnsi="仿宋" w:eastAsia="仿宋" w:cs="仿宋"/>
                <w:sz w:val="24"/>
                <w:szCs w:val="24"/>
              </w:rPr>
            </w:pPr>
          </w:p>
        </w:tc>
        <w:tc>
          <w:tcPr>
            <w:tcW w:w="2591" w:type="dxa"/>
          </w:tcPr>
          <w:p w14:paraId="7214B7CE">
            <w:pPr>
              <w:spacing w:before="240" w:after="240" w:line="360" w:lineRule="auto"/>
              <w:rPr>
                <w:rFonts w:ascii="仿宋" w:hAnsi="仿宋" w:eastAsia="仿宋" w:cs="仿宋"/>
                <w:sz w:val="24"/>
                <w:szCs w:val="24"/>
              </w:rPr>
            </w:pPr>
          </w:p>
        </w:tc>
        <w:tc>
          <w:tcPr>
            <w:tcW w:w="1080" w:type="dxa"/>
          </w:tcPr>
          <w:p w14:paraId="7719573D">
            <w:pPr>
              <w:spacing w:before="240" w:after="240" w:line="360" w:lineRule="auto"/>
              <w:rPr>
                <w:rFonts w:ascii="仿宋" w:hAnsi="仿宋" w:eastAsia="仿宋" w:cs="仿宋"/>
                <w:sz w:val="24"/>
                <w:szCs w:val="24"/>
              </w:rPr>
            </w:pPr>
          </w:p>
        </w:tc>
      </w:tr>
      <w:tr w14:paraId="399A1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14:paraId="3ECA1103">
            <w:pPr>
              <w:spacing w:before="240" w:after="240" w:line="360" w:lineRule="auto"/>
              <w:rPr>
                <w:rFonts w:ascii="仿宋" w:hAnsi="仿宋" w:eastAsia="仿宋" w:cs="仿宋"/>
                <w:sz w:val="24"/>
                <w:szCs w:val="24"/>
              </w:rPr>
            </w:pPr>
          </w:p>
        </w:tc>
        <w:tc>
          <w:tcPr>
            <w:tcW w:w="2032" w:type="dxa"/>
          </w:tcPr>
          <w:p w14:paraId="591528D3">
            <w:pPr>
              <w:spacing w:before="240" w:after="240" w:line="360" w:lineRule="auto"/>
              <w:rPr>
                <w:rFonts w:ascii="仿宋" w:hAnsi="仿宋" w:eastAsia="仿宋" w:cs="仿宋"/>
                <w:sz w:val="24"/>
                <w:szCs w:val="24"/>
              </w:rPr>
            </w:pPr>
          </w:p>
        </w:tc>
        <w:tc>
          <w:tcPr>
            <w:tcW w:w="2382" w:type="dxa"/>
          </w:tcPr>
          <w:p w14:paraId="1A7E3C81">
            <w:pPr>
              <w:spacing w:before="240" w:after="240" w:line="360" w:lineRule="auto"/>
              <w:rPr>
                <w:rFonts w:ascii="仿宋" w:hAnsi="仿宋" w:eastAsia="仿宋" w:cs="仿宋"/>
                <w:sz w:val="24"/>
                <w:szCs w:val="24"/>
              </w:rPr>
            </w:pPr>
          </w:p>
        </w:tc>
        <w:tc>
          <w:tcPr>
            <w:tcW w:w="2591" w:type="dxa"/>
          </w:tcPr>
          <w:p w14:paraId="76758EE1">
            <w:pPr>
              <w:spacing w:before="240" w:after="240" w:line="360" w:lineRule="auto"/>
              <w:rPr>
                <w:rFonts w:ascii="仿宋" w:hAnsi="仿宋" w:eastAsia="仿宋" w:cs="仿宋"/>
                <w:sz w:val="24"/>
                <w:szCs w:val="24"/>
              </w:rPr>
            </w:pPr>
          </w:p>
        </w:tc>
        <w:tc>
          <w:tcPr>
            <w:tcW w:w="1080" w:type="dxa"/>
          </w:tcPr>
          <w:p w14:paraId="7A3F0FB6">
            <w:pPr>
              <w:spacing w:before="240" w:after="240" w:line="360" w:lineRule="auto"/>
              <w:rPr>
                <w:rFonts w:ascii="仿宋" w:hAnsi="仿宋" w:eastAsia="仿宋" w:cs="仿宋"/>
                <w:sz w:val="24"/>
                <w:szCs w:val="24"/>
              </w:rPr>
            </w:pPr>
          </w:p>
        </w:tc>
      </w:tr>
    </w:tbl>
    <w:p w14:paraId="4E5A6484">
      <w:pPr>
        <w:spacing w:line="360" w:lineRule="auto"/>
        <w:ind w:firstLine="3120" w:firstLineChars="1300"/>
        <w:jc w:val="right"/>
        <w:rPr>
          <w:rFonts w:ascii="仿宋" w:hAnsi="仿宋" w:eastAsia="仿宋" w:cs="仿宋"/>
          <w:sz w:val="24"/>
          <w:szCs w:val="24"/>
        </w:rPr>
      </w:pPr>
    </w:p>
    <w:bookmarkEnd w:id="125"/>
    <w:p w14:paraId="4F5035CB">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供应商名称：</w:t>
      </w:r>
      <w:r>
        <w:rPr>
          <w:rFonts w:hint="eastAsia" w:ascii="仿宋" w:hAnsi="仿宋" w:eastAsia="仿宋" w:cs="仿宋"/>
          <w:sz w:val="24"/>
          <w:szCs w:val="24"/>
          <w:u w:val="single"/>
        </w:rPr>
        <w:t xml:space="preserve">   （加盖供应商公章）    </w:t>
      </w:r>
    </w:p>
    <w:p w14:paraId="1BFC9928">
      <w:pPr>
        <w:adjustRightInd w:val="0"/>
        <w:snapToGrid w:val="0"/>
        <w:spacing w:line="360" w:lineRule="auto"/>
        <w:rPr>
          <w:rFonts w:ascii="仿宋" w:hAnsi="仿宋" w:eastAsia="仿宋" w:cs="仿宋"/>
          <w:sz w:val="24"/>
          <w:szCs w:val="24"/>
        </w:rPr>
      </w:pPr>
    </w:p>
    <w:p w14:paraId="55153E3A">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授权委托人（或法定代表人）签名或盖章：</w:t>
      </w:r>
    </w:p>
    <w:p w14:paraId="47130559">
      <w:pPr>
        <w:pStyle w:val="2"/>
        <w:spacing w:line="360" w:lineRule="auto"/>
        <w:ind w:firstLine="0" w:firstLineChars="0"/>
        <w:rPr>
          <w:rFonts w:ascii="仿宋" w:hAnsi="仿宋" w:eastAsia="仿宋" w:cs="仿宋"/>
          <w:sz w:val="24"/>
          <w:szCs w:val="24"/>
        </w:rPr>
      </w:pPr>
    </w:p>
    <w:p w14:paraId="783A1920">
      <w:pPr>
        <w:spacing w:line="360" w:lineRule="auto"/>
        <w:jc w:val="center"/>
        <w:rPr>
          <w:rFonts w:ascii="仿宋" w:hAnsi="仿宋" w:eastAsia="仿宋" w:cs="仿宋"/>
          <w:b/>
          <w:sz w:val="24"/>
          <w:szCs w:val="24"/>
        </w:rPr>
      </w:pPr>
      <w:r>
        <w:rPr>
          <w:rFonts w:hint="eastAsia" w:ascii="仿宋" w:hAnsi="仿宋" w:eastAsia="仿宋" w:cs="仿宋"/>
          <w:b/>
          <w:sz w:val="24"/>
          <w:szCs w:val="24"/>
        </w:rPr>
        <w:t>格式6、投标保证金（现场递交）</w:t>
      </w:r>
    </w:p>
    <w:p w14:paraId="7567E7D3">
      <w:pPr>
        <w:spacing w:line="360" w:lineRule="auto"/>
        <w:jc w:val="center"/>
        <w:rPr>
          <w:rFonts w:ascii="仿宋" w:hAnsi="仿宋" w:eastAsia="仿宋" w:cs="仿宋"/>
          <w:b/>
          <w:sz w:val="24"/>
          <w:szCs w:val="24"/>
        </w:rPr>
      </w:pPr>
      <w:bookmarkStart w:id="126" w:name="_Toc382508400"/>
      <w:r>
        <w:rPr>
          <w:rFonts w:hint="eastAsia" w:ascii="仿宋" w:hAnsi="仿宋" w:eastAsia="仿宋" w:cs="仿宋"/>
          <w:b/>
          <w:sz w:val="24"/>
          <w:szCs w:val="24"/>
        </w:rPr>
        <w:br w:type="page"/>
      </w:r>
      <w:r>
        <w:rPr>
          <w:rFonts w:hint="eastAsia" w:ascii="仿宋" w:hAnsi="仿宋" w:eastAsia="仿宋" w:cs="仿宋"/>
          <w:b/>
          <w:sz w:val="24"/>
          <w:szCs w:val="24"/>
        </w:rPr>
        <w:t>第二部分</w:t>
      </w:r>
      <w:bookmarkStart w:id="127" w:name="_Hlk525933468"/>
      <w:bookmarkStart w:id="128" w:name="_Hlk525928605"/>
      <w:r>
        <w:rPr>
          <w:rFonts w:hint="eastAsia" w:ascii="仿宋" w:hAnsi="仿宋" w:eastAsia="仿宋" w:cs="仿宋"/>
          <w:b/>
          <w:sz w:val="24"/>
          <w:szCs w:val="24"/>
        </w:rPr>
        <w:t>技术标投标文件格式</w:t>
      </w:r>
      <w:bookmarkEnd w:id="126"/>
    </w:p>
    <w:p w14:paraId="28596F66">
      <w:pPr>
        <w:pStyle w:val="23"/>
        <w:adjustRightInd w:val="0"/>
        <w:snapToGrid w:val="0"/>
        <w:spacing w:beforeLines="20" w:afterLines="20" w:line="360" w:lineRule="auto"/>
        <w:ind w:right="-4" w:rightChars="-2"/>
        <w:jc w:val="center"/>
        <w:rPr>
          <w:rFonts w:ascii="仿宋" w:hAnsi="仿宋" w:eastAsia="仿宋" w:cs="仿宋"/>
          <w:sz w:val="24"/>
          <w:szCs w:val="24"/>
        </w:rPr>
      </w:pPr>
    </w:p>
    <w:p w14:paraId="542D0E04">
      <w:pPr>
        <w:pStyle w:val="23"/>
        <w:adjustRightInd w:val="0"/>
        <w:snapToGrid w:val="0"/>
        <w:spacing w:beforeLines="20" w:afterLines="20" w:line="360" w:lineRule="auto"/>
        <w:ind w:right="-4" w:rightChars="-2"/>
        <w:jc w:val="center"/>
        <w:rPr>
          <w:rFonts w:ascii="仿宋" w:hAnsi="仿宋" w:eastAsia="仿宋" w:cs="仿宋"/>
          <w:sz w:val="24"/>
          <w:szCs w:val="24"/>
        </w:rPr>
      </w:pPr>
    </w:p>
    <w:p w14:paraId="7A917DCC">
      <w:pPr>
        <w:pStyle w:val="23"/>
        <w:adjustRightInd w:val="0"/>
        <w:snapToGrid w:val="0"/>
        <w:spacing w:beforeLines="20" w:afterLines="20" w:line="360" w:lineRule="auto"/>
        <w:ind w:right="-4" w:rightChars="-2"/>
        <w:jc w:val="center"/>
        <w:rPr>
          <w:rFonts w:ascii="仿宋" w:hAnsi="仿宋" w:eastAsia="仿宋" w:cs="仿宋"/>
          <w:b/>
          <w:sz w:val="44"/>
          <w:szCs w:val="44"/>
        </w:rPr>
      </w:pPr>
      <w:r>
        <w:rPr>
          <w:rFonts w:hint="eastAsia" w:ascii="仿宋" w:hAnsi="仿宋" w:eastAsia="仿宋" w:cs="仿宋"/>
          <w:b/>
          <w:sz w:val="44"/>
          <w:szCs w:val="44"/>
        </w:rPr>
        <w:t>投  标  文  件</w:t>
      </w:r>
    </w:p>
    <w:p w14:paraId="24104EA9">
      <w:pPr>
        <w:pStyle w:val="23"/>
        <w:adjustRightInd w:val="0"/>
        <w:snapToGrid w:val="0"/>
        <w:spacing w:beforeLines="20" w:afterLines="20" w:line="360" w:lineRule="auto"/>
        <w:ind w:right="-4" w:rightChars="-2"/>
        <w:jc w:val="center"/>
        <w:rPr>
          <w:rFonts w:ascii="仿宋" w:hAnsi="仿宋" w:eastAsia="仿宋" w:cs="仿宋"/>
          <w:sz w:val="24"/>
          <w:szCs w:val="24"/>
        </w:rPr>
      </w:pPr>
      <w:r>
        <w:rPr>
          <w:rFonts w:hint="eastAsia" w:ascii="仿宋" w:hAnsi="仿宋" w:eastAsia="仿宋" w:cs="仿宋"/>
          <w:sz w:val="24"/>
          <w:szCs w:val="24"/>
        </w:rPr>
        <w:t>招标项目编号：</w:t>
      </w:r>
    </w:p>
    <w:p w14:paraId="0F27DD04">
      <w:pPr>
        <w:pStyle w:val="23"/>
        <w:adjustRightInd w:val="0"/>
        <w:snapToGrid w:val="0"/>
        <w:spacing w:beforeLines="20" w:afterLines="20" w:line="360" w:lineRule="auto"/>
        <w:ind w:right="-4" w:rightChars="-2"/>
        <w:jc w:val="center"/>
        <w:rPr>
          <w:rFonts w:ascii="仿宋" w:hAnsi="仿宋" w:eastAsia="仿宋" w:cs="仿宋"/>
          <w:sz w:val="24"/>
          <w:szCs w:val="24"/>
        </w:rPr>
      </w:pPr>
    </w:p>
    <w:p w14:paraId="51E279F1">
      <w:pPr>
        <w:pStyle w:val="23"/>
        <w:adjustRightInd w:val="0"/>
        <w:snapToGrid w:val="0"/>
        <w:spacing w:beforeLines="20" w:afterLines="20" w:line="360" w:lineRule="auto"/>
        <w:ind w:right="-4" w:rightChars="-2"/>
        <w:jc w:val="center"/>
        <w:rPr>
          <w:rFonts w:ascii="仿宋" w:hAnsi="仿宋" w:eastAsia="仿宋" w:cs="仿宋"/>
          <w:sz w:val="24"/>
          <w:szCs w:val="24"/>
        </w:rPr>
      </w:pPr>
    </w:p>
    <w:p w14:paraId="1D20DA6C">
      <w:pPr>
        <w:pStyle w:val="23"/>
        <w:adjustRightInd w:val="0"/>
        <w:snapToGrid w:val="0"/>
        <w:spacing w:beforeLines="20" w:afterLines="20" w:line="360" w:lineRule="auto"/>
        <w:ind w:right="-4" w:rightChars="-2"/>
        <w:jc w:val="center"/>
        <w:rPr>
          <w:rFonts w:ascii="仿宋" w:hAnsi="仿宋" w:eastAsia="仿宋" w:cs="仿宋"/>
          <w:sz w:val="24"/>
          <w:szCs w:val="24"/>
        </w:rPr>
      </w:pPr>
    </w:p>
    <w:p w14:paraId="37CFAD8C">
      <w:pPr>
        <w:pStyle w:val="23"/>
        <w:adjustRightInd w:val="0"/>
        <w:snapToGrid w:val="0"/>
        <w:spacing w:beforeLines="20" w:afterLines="20" w:line="360" w:lineRule="auto"/>
        <w:ind w:right="-4" w:rightChars="-2"/>
        <w:jc w:val="center"/>
        <w:rPr>
          <w:rFonts w:ascii="仿宋" w:hAnsi="仿宋" w:eastAsia="仿宋" w:cs="仿宋"/>
          <w:sz w:val="24"/>
          <w:szCs w:val="24"/>
        </w:rPr>
      </w:pPr>
    </w:p>
    <w:p w14:paraId="601F4425">
      <w:pPr>
        <w:pStyle w:val="23"/>
        <w:adjustRightInd w:val="0"/>
        <w:snapToGrid w:val="0"/>
        <w:spacing w:beforeLines="20" w:afterLines="20" w:line="360" w:lineRule="auto"/>
        <w:ind w:right="-4" w:rightChars="-2"/>
        <w:jc w:val="center"/>
        <w:rPr>
          <w:rFonts w:ascii="仿宋" w:hAnsi="仿宋" w:eastAsia="仿宋" w:cs="仿宋"/>
          <w:sz w:val="24"/>
          <w:szCs w:val="24"/>
        </w:rPr>
      </w:pPr>
    </w:p>
    <w:p w14:paraId="756D5E52">
      <w:pPr>
        <w:pStyle w:val="23"/>
        <w:adjustRightInd w:val="0"/>
        <w:snapToGrid w:val="0"/>
        <w:spacing w:beforeLines="20" w:afterLines="20" w:line="360" w:lineRule="auto"/>
        <w:ind w:right="-4" w:rightChars="-2"/>
        <w:jc w:val="center"/>
        <w:rPr>
          <w:rFonts w:ascii="仿宋" w:hAnsi="仿宋" w:eastAsia="仿宋" w:cs="仿宋"/>
          <w:sz w:val="24"/>
          <w:szCs w:val="24"/>
        </w:rPr>
      </w:pPr>
    </w:p>
    <w:p w14:paraId="4CA86B0A">
      <w:pPr>
        <w:pStyle w:val="25"/>
        <w:adjustRightInd w:val="0"/>
        <w:snapToGrid w:val="0"/>
        <w:spacing w:beforeLines="20" w:afterLines="20" w:line="360" w:lineRule="auto"/>
        <w:ind w:left="143" w:leftChars="68" w:right="-4" w:rightChars="-2" w:firstLine="831" w:firstLineChars="345"/>
        <w:rPr>
          <w:rFonts w:ascii="仿宋" w:hAnsi="仿宋" w:eastAsia="仿宋" w:cs="仿宋"/>
          <w:b/>
          <w:bCs/>
          <w:sz w:val="24"/>
        </w:rPr>
      </w:pPr>
      <w:r>
        <w:rPr>
          <w:rFonts w:hint="eastAsia" w:ascii="仿宋" w:hAnsi="仿宋" w:eastAsia="仿宋" w:cs="仿宋"/>
          <w:b/>
          <w:bCs/>
          <w:sz w:val="24"/>
        </w:rPr>
        <w:t>项目名称：</w:t>
      </w:r>
    </w:p>
    <w:p w14:paraId="28F6D075">
      <w:pPr>
        <w:pStyle w:val="25"/>
        <w:adjustRightInd w:val="0"/>
        <w:snapToGrid w:val="0"/>
        <w:spacing w:beforeLines="20" w:afterLines="20" w:line="360" w:lineRule="auto"/>
        <w:ind w:left="143" w:leftChars="68" w:right="-4" w:rightChars="-2" w:firstLine="831" w:firstLineChars="345"/>
        <w:rPr>
          <w:rFonts w:ascii="仿宋" w:hAnsi="仿宋" w:eastAsia="仿宋" w:cs="仿宋"/>
          <w:b/>
          <w:bCs/>
          <w:sz w:val="24"/>
        </w:rPr>
      </w:pPr>
      <w:r>
        <w:rPr>
          <w:rFonts w:hint="eastAsia" w:ascii="仿宋" w:hAnsi="仿宋" w:eastAsia="仿宋" w:cs="仿宋"/>
          <w:b/>
          <w:bCs/>
          <w:sz w:val="24"/>
        </w:rPr>
        <w:t>投标文件内容：</w:t>
      </w:r>
      <w:r>
        <w:rPr>
          <w:rFonts w:hint="eastAsia" w:ascii="仿宋" w:hAnsi="仿宋" w:eastAsia="仿宋" w:cs="仿宋"/>
          <w:b/>
          <w:bCs/>
          <w:sz w:val="24"/>
          <w:u w:val="single"/>
        </w:rPr>
        <w:tab/>
      </w:r>
      <w:r>
        <w:rPr>
          <w:rFonts w:hint="eastAsia" w:ascii="仿宋" w:hAnsi="仿宋" w:eastAsia="仿宋" w:cs="仿宋"/>
          <w:b/>
          <w:bCs/>
          <w:sz w:val="24"/>
          <w:u w:val="single"/>
        </w:rPr>
        <w:t xml:space="preserve"> 投标文件技术标</w:t>
      </w:r>
      <w:r>
        <w:rPr>
          <w:rFonts w:hint="eastAsia" w:ascii="仿宋" w:hAnsi="仿宋" w:eastAsia="仿宋" w:cs="仿宋"/>
          <w:b/>
          <w:bCs/>
          <w:sz w:val="24"/>
          <w:u w:val="single"/>
        </w:rPr>
        <w:tab/>
      </w:r>
      <w:r>
        <w:rPr>
          <w:rFonts w:hint="eastAsia" w:ascii="仿宋" w:hAnsi="仿宋" w:eastAsia="仿宋" w:cs="仿宋"/>
          <w:b/>
          <w:bCs/>
          <w:sz w:val="24"/>
          <w:u w:val="single"/>
        </w:rPr>
        <w:tab/>
      </w:r>
    </w:p>
    <w:p w14:paraId="56BD0F62">
      <w:pPr>
        <w:pStyle w:val="25"/>
        <w:adjustRightInd w:val="0"/>
        <w:snapToGrid w:val="0"/>
        <w:spacing w:beforeLines="20" w:afterLines="20" w:line="360" w:lineRule="auto"/>
        <w:ind w:left="143" w:leftChars="68" w:right="-4" w:rightChars="-2" w:firstLine="831" w:firstLineChars="345"/>
        <w:rPr>
          <w:rFonts w:ascii="仿宋" w:hAnsi="仿宋" w:eastAsia="仿宋" w:cs="仿宋"/>
          <w:b/>
          <w:bCs/>
          <w:sz w:val="24"/>
          <w:u w:val="single"/>
        </w:rPr>
      </w:pPr>
      <w:r>
        <w:rPr>
          <w:rFonts w:hint="eastAsia" w:ascii="仿宋" w:hAnsi="仿宋" w:eastAsia="仿宋" w:cs="仿宋"/>
          <w:b/>
          <w:bCs/>
          <w:sz w:val="24"/>
        </w:rPr>
        <w:t>供应商：</w:t>
      </w:r>
      <w:r>
        <w:rPr>
          <w:rFonts w:hint="eastAsia" w:ascii="仿宋" w:hAnsi="仿宋" w:eastAsia="仿宋" w:cs="仿宋"/>
          <w:b/>
          <w:bCs/>
          <w:sz w:val="24"/>
          <w:u w:val="single"/>
        </w:rPr>
        <w:t xml:space="preserve">            （盖章）         </w:t>
      </w:r>
    </w:p>
    <w:p w14:paraId="01A8F98F">
      <w:pPr>
        <w:pStyle w:val="25"/>
        <w:adjustRightInd w:val="0"/>
        <w:snapToGrid w:val="0"/>
        <w:spacing w:beforeLines="20" w:afterLines="20" w:line="360" w:lineRule="auto"/>
        <w:ind w:left="143" w:leftChars="68" w:right="-4" w:rightChars="-2" w:firstLine="831" w:firstLineChars="345"/>
        <w:rPr>
          <w:rFonts w:ascii="仿宋" w:hAnsi="仿宋" w:eastAsia="仿宋" w:cs="仿宋"/>
          <w:b/>
          <w:bCs/>
          <w:sz w:val="24"/>
          <w:u w:val="single"/>
        </w:rPr>
      </w:pPr>
      <w:r>
        <w:rPr>
          <w:rFonts w:hint="eastAsia" w:ascii="仿宋" w:hAnsi="仿宋" w:eastAsia="仿宋" w:cs="仿宋"/>
          <w:b/>
          <w:bCs/>
          <w:sz w:val="24"/>
        </w:rPr>
        <w:t>法定代表人或其委托代理人：</w:t>
      </w:r>
      <w:r>
        <w:rPr>
          <w:rFonts w:hint="eastAsia" w:ascii="仿宋" w:hAnsi="仿宋" w:eastAsia="仿宋" w:cs="仿宋"/>
          <w:b/>
          <w:bCs/>
          <w:sz w:val="24"/>
          <w:u w:val="single"/>
        </w:rPr>
        <w:t xml:space="preserve"> （签字或盖章）</w:t>
      </w:r>
    </w:p>
    <w:p w14:paraId="355BD2F8">
      <w:pPr>
        <w:adjustRightInd w:val="0"/>
        <w:snapToGrid w:val="0"/>
        <w:spacing w:beforeLines="20" w:afterLines="20" w:line="360" w:lineRule="auto"/>
        <w:ind w:right="-4" w:rightChars="-2"/>
        <w:rPr>
          <w:rFonts w:ascii="仿宋" w:hAnsi="仿宋" w:eastAsia="仿宋" w:cs="仿宋"/>
          <w:b/>
          <w:sz w:val="24"/>
          <w:szCs w:val="24"/>
        </w:rPr>
      </w:pPr>
    </w:p>
    <w:p w14:paraId="7A3A2FC6">
      <w:pPr>
        <w:adjustRightInd w:val="0"/>
        <w:snapToGrid w:val="0"/>
        <w:spacing w:beforeLines="20" w:afterLines="20" w:line="360" w:lineRule="auto"/>
        <w:ind w:right="-4" w:rightChars="-2"/>
        <w:jc w:val="center"/>
        <w:rPr>
          <w:rFonts w:ascii="仿宋" w:hAnsi="仿宋" w:eastAsia="仿宋" w:cs="仿宋"/>
          <w:b/>
          <w:sz w:val="24"/>
          <w:szCs w:val="24"/>
        </w:rPr>
      </w:pPr>
      <w:r>
        <w:rPr>
          <w:rFonts w:hint="eastAsia" w:ascii="仿宋" w:hAnsi="仿宋" w:eastAsia="仿宋" w:cs="仿宋"/>
          <w:b/>
          <w:sz w:val="24"/>
          <w:szCs w:val="24"/>
        </w:rPr>
        <w:t>日  期： 年 月 日</w:t>
      </w:r>
    </w:p>
    <w:bookmarkEnd w:id="127"/>
    <w:bookmarkEnd w:id="128"/>
    <w:p w14:paraId="56A69A06">
      <w:pPr>
        <w:spacing w:line="360" w:lineRule="auto"/>
        <w:jc w:val="center"/>
        <w:rPr>
          <w:rFonts w:ascii="仿宋" w:hAnsi="仿宋" w:eastAsia="仿宋" w:cs="仿宋"/>
          <w:sz w:val="24"/>
          <w:szCs w:val="24"/>
        </w:rPr>
      </w:pPr>
    </w:p>
    <w:p w14:paraId="0141CDB1">
      <w:pPr>
        <w:spacing w:line="360" w:lineRule="auto"/>
        <w:jc w:val="center"/>
        <w:rPr>
          <w:rFonts w:ascii="仿宋" w:hAnsi="仿宋" w:eastAsia="仿宋" w:cs="仿宋"/>
          <w:sz w:val="24"/>
          <w:szCs w:val="24"/>
        </w:rPr>
      </w:pPr>
    </w:p>
    <w:p w14:paraId="23E596CA">
      <w:pPr>
        <w:spacing w:line="360" w:lineRule="auto"/>
        <w:jc w:val="center"/>
        <w:rPr>
          <w:rFonts w:ascii="仿宋" w:hAnsi="仿宋" w:eastAsia="仿宋" w:cs="仿宋"/>
          <w:b/>
          <w:sz w:val="24"/>
          <w:szCs w:val="24"/>
        </w:rPr>
      </w:pPr>
      <w:r>
        <w:rPr>
          <w:rFonts w:hint="eastAsia" w:ascii="仿宋" w:hAnsi="仿宋" w:eastAsia="仿宋" w:cs="仿宋"/>
          <w:sz w:val="24"/>
          <w:szCs w:val="24"/>
        </w:rPr>
        <w:br w:type="page"/>
      </w:r>
      <w:bookmarkStart w:id="129" w:name="_Hlk525933495"/>
    </w:p>
    <w:p w14:paraId="6EA254CE">
      <w:pPr>
        <w:spacing w:line="360" w:lineRule="auto"/>
        <w:jc w:val="center"/>
        <w:rPr>
          <w:rFonts w:ascii="仿宋" w:hAnsi="仿宋" w:eastAsia="仿宋" w:cs="仿宋"/>
          <w:b/>
          <w:sz w:val="24"/>
          <w:szCs w:val="24"/>
        </w:rPr>
      </w:pPr>
      <w:r>
        <w:rPr>
          <w:rFonts w:hint="eastAsia" w:ascii="仿宋" w:hAnsi="仿宋" w:eastAsia="仿宋" w:cs="仿宋"/>
          <w:b/>
          <w:sz w:val="24"/>
          <w:szCs w:val="24"/>
        </w:rPr>
        <w:t>格式1、供应商资格要求证明材料</w:t>
      </w:r>
    </w:p>
    <w:p w14:paraId="601B7A79">
      <w:pPr>
        <w:spacing w:line="360" w:lineRule="auto"/>
        <w:jc w:val="center"/>
        <w:rPr>
          <w:rFonts w:ascii="仿宋" w:hAnsi="仿宋" w:eastAsia="仿宋" w:cs="仿宋"/>
          <w:bCs/>
          <w:sz w:val="24"/>
          <w:szCs w:val="24"/>
        </w:rPr>
      </w:pPr>
      <w:r>
        <w:rPr>
          <w:rFonts w:hint="eastAsia" w:ascii="仿宋" w:hAnsi="仿宋" w:eastAsia="仿宋" w:cs="仿宋"/>
          <w:bCs/>
          <w:sz w:val="24"/>
          <w:szCs w:val="24"/>
        </w:rPr>
        <w:t>（提供三证合一的营业执照或提供营业执照、税务登记证、组织机构代码证复印件，并加盖供应商公章）</w:t>
      </w:r>
    </w:p>
    <w:p w14:paraId="6CEBAA78">
      <w:pPr>
        <w:spacing w:line="360" w:lineRule="auto"/>
        <w:jc w:val="center"/>
        <w:rPr>
          <w:rFonts w:ascii="仿宋" w:hAnsi="仿宋" w:eastAsia="仿宋" w:cs="仿宋"/>
          <w:b/>
          <w:sz w:val="24"/>
          <w:szCs w:val="24"/>
        </w:rPr>
      </w:pPr>
    </w:p>
    <w:p w14:paraId="56B57780">
      <w:pPr>
        <w:widowControl/>
        <w:spacing w:line="360" w:lineRule="auto"/>
        <w:jc w:val="left"/>
        <w:rPr>
          <w:rFonts w:ascii="仿宋" w:hAnsi="仿宋" w:eastAsia="仿宋" w:cs="仿宋"/>
          <w:b/>
          <w:sz w:val="24"/>
          <w:szCs w:val="24"/>
        </w:rPr>
      </w:pPr>
      <w:r>
        <w:rPr>
          <w:rFonts w:hint="eastAsia" w:ascii="仿宋" w:hAnsi="仿宋" w:eastAsia="仿宋" w:cs="仿宋"/>
          <w:b/>
          <w:sz w:val="24"/>
          <w:szCs w:val="24"/>
        </w:rPr>
        <w:br w:type="page"/>
      </w:r>
    </w:p>
    <w:p w14:paraId="2C2EB436">
      <w:pPr>
        <w:spacing w:line="360" w:lineRule="auto"/>
        <w:jc w:val="center"/>
        <w:rPr>
          <w:rFonts w:ascii="仿宋" w:hAnsi="仿宋" w:eastAsia="仿宋" w:cs="仿宋"/>
          <w:b/>
          <w:sz w:val="24"/>
          <w:szCs w:val="24"/>
        </w:rPr>
      </w:pPr>
      <w:r>
        <w:rPr>
          <w:rFonts w:hint="eastAsia" w:ascii="仿宋" w:hAnsi="仿宋" w:eastAsia="仿宋" w:cs="仿宋"/>
          <w:b/>
          <w:sz w:val="24"/>
          <w:szCs w:val="24"/>
        </w:rPr>
        <w:t>格式2、供应商信誉要求证明材料</w:t>
      </w:r>
    </w:p>
    <w:p w14:paraId="7B531E9C">
      <w:pPr>
        <w:spacing w:line="360" w:lineRule="auto"/>
        <w:jc w:val="center"/>
        <w:rPr>
          <w:rFonts w:ascii="仿宋" w:hAnsi="仿宋" w:eastAsia="仿宋" w:cs="仿宋"/>
          <w:bCs/>
          <w:sz w:val="24"/>
          <w:szCs w:val="24"/>
        </w:rPr>
      </w:pPr>
      <w:r>
        <w:rPr>
          <w:rFonts w:hint="eastAsia" w:ascii="仿宋" w:hAnsi="仿宋" w:eastAsia="仿宋" w:cs="仿宋"/>
          <w:bCs/>
          <w:sz w:val="24"/>
          <w:szCs w:val="24"/>
        </w:rPr>
        <w:t>（提供相应网页截图或者提供承诺，并加盖供应商公章）</w:t>
      </w:r>
    </w:p>
    <w:p w14:paraId="5CC44CE4">
      <w:pPr>
        <w:pStyle w:val="112"/>
        <w:adjustRightInd w:val="0"/>
        <w:snapToGrid w:val="0"/>
        <w:ind w:firstLine="482"/>
        <w:jc w:val="center"/>
        <w:rPr>
          <w:rFonts w:ascii="仿宋" w:hAnsi="仿宋" w:eastAsia="仿宋" w:cs="仿宋"/>
          <w:b/>
          <w:sz w:val="24"/>
          <w:szCs w:val="24"/>
        </w:rPr>
      </w:pPr>
    </w:p>
    <w:p w14:paraId="257F55E2">
      <w:pPr>
        <w:pStyle w:val="112"/>
        <w:adjustRightInd w:val="0"/>
        <w:snapToGrid w:val="0"/>
        <w:ind w:firstLine="482"/>
        <w:jc w:val="center"/>
        <w:rPr>
          <w:rFonts w:ascii="仿宋" w:hAnsi="仿宋" w:eastAsia="仿宋" w:cs="仿宋"/>
          <w:b/>
          <w:sz w:val="24"/>
          <w:szCs w:val="24"/>
        </w:rPr>
      </w:pPr>
      <w:r>
        <w:rPr>
          <w:rFonts w:hint="eastAsia" w:ascii="仿宋" w:hAnsi="仿宋" w:eastAsia="仿宋" w:cs="仿宋"/>
          <w:b/>
          <w:sz w:val="24"/>
          <w:szCs w:val="24"/>
        </w:rPr>
        <w:t>承诺格式</w:t>
      </w:r>
    </w:p>
    <w:p w14:paraId="50AB4414">
      <w:pPr>
        <w:spacing w:line="360" w:lineRule="auto"/>
        <w:jc w:val="center"/>
        <w:rPr>
          <w:rFonts w:ascii="仿宋" w:hAnsi="仿宋" w:eastAsia="仿宋" w:cs="仿宋"/>
          <w:bCs/>
          <w:sz w:val="24"/>
          <w:szCs w:val="24"/>
        </w:rPr>
      </w:pPr>
    </w:p>
    <w:p w14:paraId="522B1684">
      <w:pPr>
        <w:pStyle w:val="112"/>
        <w:adjustRightInd w:val="0"/>
        <w:snapToGrid w:val="0"/>
        <w:ind w:firstLine="0" w:firstLineChars="0"/>
        <w:rPr>
          <w:rFonts w:ascii="仿宋" w:hAnsi="仿宋" w:eastAsia="仿宋" w:cs="仿宋"/>
          <w:bCs/>
          <w:sz w:val="24"/>
          <w:szCs w:val="24"/>
        </w:rPr>
      </w:pPr>
      <w:r>
        <w:rPr>
          <w:rFonts w:hint="eastAsia" w:ascii="仿宋" w:hAnsi="仿宋" w:eastAsia="仿宋" w:cs="仿宋"/>
          <w:bCs/>
          <w:sz w:val="24"/>
          <w:szCs w:val="24"/>
          <w:u w:val="single"/>
        </w:rPr>
        <w:t>（供应商全称）</w:t>
      </w:r>
      <w:r>
        <w:rPr>
          <w:rFonts w:hint="eastAsia" w:ascii="仿宋" w:hAnsi="仿宋" w:eastAsia="仿宋" w:cs="仿宋"/>
          <w:bCs/>
          <w:sz w:val="24"/>
          <w:szCs w:val="24"/>
        </w:rPr>
        <w:t>承诺：</w:t>
      </w:r>
    </w:p>
    <w:p w14:paraId="41A41A72">
      <w:pPr>
        <w:pStyle w:val="112"/>
        <w:adjustRightInd w:val="0"/>
        <w:snapToGrid w:val="0"/>
        <w:ind w:firstLine="0" w:firstLineChars="0"/>
        <w:rPr>
          <w:rFonts w:ascii="仿宋" w:hAnsi="仿宋" w:eastAsia="仿宋" w:cs="仿宋"/>
          <w:bCs/>
          <w:sz w:val="24"/>
          <w:szCs w:val="24"/>
        </w:rPr>
      </w:pPr>
      <w:r>
        <w:rPr>
          <w:rFonts w:hint="eastAsia" w:ascii="仿宋" w:hAnsi="仿宋" w:eastAsia="仿宋" w:cs="仿宋"/>
          <w:bCs/>
          <w:sz w:val="24"/>
          <w:szCs w:val="24"/>
        </w:rPr>
        <w:t>我公司承诺不存在以下不良信誉记录。</w:t>
      </w:r>
    </w:p>
    <w:p w14:paraId="2C158621">
      <w:pPr>
        <w:pStyle w:val="112"/>
        <w:adjustRightInd w:val="0"/>
        <w:snapToGrid w:val="0"/>
        <w:ind w:firstLine="480"/>
        <w:jc w:val="left"/>
        <w:rPr>
          <w:rFonts w:ascii="仿宋" w:hAnsi="仿宋" w:eastAsia="仿宋" w:cs="仿宋"/>
          <w:kern w:val="2"/>
          <w:sz w:val="24"/>
          <w:szCs w:val="24"/>
        </w:rPr>
      </w:pPr>
      <w:r>
        <w:rPr>
          <w:rFonts w:hint="eastAsia" w:ascii="仿宋" w:hAnsi="仿宋" w:eastAsia="仿宋" w:cs="仿宋"/>
          <w:kern w:val="2"/>
          <w:sz w:val="24"/>
          <w:szCs w:val="24"/>
        </w:rPr>
        <w:t>①未被最高人民法院在“信用中国”网站（www.creditchina.gov.cn）列入失信被执行人失信惩戒名单；</w:t>
      </w:r>
    </w:p>
    <w:p w14:paraId="6F8921D4">
      <w:pPr>
        <w:pStyle w:val="112"/>
        <w:adjustRightInd w:val="0"/>
        <w:snapToGrid w:val="0"/>
        <w:ind w:firstLine="480"/>
        <w:jc w:val="left"/>
        <w:rPr>
          <w:rFonts w:ascii="仿宋" w:hAnsi="仿宋" w:eastAsia="仿宋" w:cs="仿宋"/>
          <w:kern w:val="2"/>
          <w:sz w:val="24"/>
          <w:szCs w:val="24"/>
        </w:rPr>
      </w:pPr>
      <w:r>
        <w:rPr>
          <w:rFonts w:hint="eastAsia" w:ascii="仿宋" w:hAnsi="仿宋" w:eastAsia="仿宋" w:cs="仿宋"/>
          <w:kern w:val="2"/>
          <w:sz w:val="24"/>
          <w:szCs w:val="24"/>
        </w:rPr>
        <w:t>②未被中国政府采购网（www.ccgp.gov.cn）列入“政府采购严重违法失信行为记录名单”；</w:t>
      </w:r>
    </w:p>
    <w:p w14:paraId="453A8B25">
      <w:pPr>
        <w:pStyle w:val="112"/>
        <w:adjustRightInd w:val="0"/>
        <w:snapToGrid w:val="0"/>
        <w:ind w:firstLine="480"/>
        <w:jc w:val="left"/>
        <w:rPr>
          <w:rFonts w:ascii="仿宋" w:hAnsi="仿宋" w:eastAsia="仿宋" w:cs="仿宋"/>
          <w:kern w:val="2"/>
          <w:sz w:val="24"/>
          <w:szCs w:val="24"/>
        </w:rPr>
      </w:pPr>
      <w:r>
        <w:rPr>
          <w:rFonts w:hint="eastAsia" w:ascii="仿宋" w:hAnsi="仿宋" w:eastAsia="仿宋" w:cs="仿宋"/>
          <w:kern w:val="2"/>
          <w:sz w:val="24"/>
          <w:szCs w:val="24"/>
        </w:rPr>
        <w:t>③未被国家市场监督管理部门在国家企业信用信息公示系统（www.gsxt.gov.cn）中列入严重违法失信企业名单。；</w:t>
      </w:r>
    </w:p>
    <w:p w14:paraId="65991083">
      <w:pPr>
        <w:pStyle w:val="112"/>
        <w:adjustRightInd w:val="0"/>
        <w:snapToGrid w:val="0"/>
        <w:ind w:firstLine="480"/>
        <w:jc w:val="left"/>
        <w:rPr>
          <w:rFonts w:ascii="仿宋" w:hAnsi="仿宋" w:eastAsia="仿宋" w:cs="仿宋"/>
          <w:kern w:val="2"/>
          <w:sz w:val="24"/>
          <w:szCs w:val="24"/>
        </w:rPr>
      </w:pPr>
      <w:r>
        <w:rPr>
          <w:rFonts w:hint="eastAsia" w:ascii="仿宋" w:hAnsi="仿宋" w:eastAsia="仿宋" w:cs="仿宋"/>
          <w:kern w:val="2"/>
          <w:sz w:val="24"/>
          <w:szCs w:val="24"/>
        </w:rPr>
        <w:t>④未被国家税务总局列入“重大税收违法案件当事人”名单。</w:t>
      </w:r>
    </w:p>
    <w:p w14:paraId="67BE03D6">
      <w:pPr>
        <w:pStyle w:val="112"/>
        <w:adjustRightInd w:val="0"/>
        <w:snapToGrid w:val="0"/>
        <w:ind w:firstLine="480"/>
        <w:jc w:val="left"/>
        <w:rPr>
          <w:rFonts w:ascii="仿宋" w:hAnsi="仿宋" w:eastAsia="仿宋" w:cs="仿宋"/>
          <w:kern w:val="2"/>
          <w:sz w:val="24"/>
          <w:szCs w:val="24"/>
        </w:rPr>
      </w:pPr>
      <w:r>
        <w:rPr>
          <w:rFonts w:hint="eastAsia" w:ascii="仿宋" w:hAnsi="仿宋" w:eastAsia="仿宋" w:cs="仿宋"/>
          <w:kern w:val="2"/>
          <w:sz w:val="24"/>
          <w:szCs w:val="24"/>
        </w:rPr>
        <w:t>⑤未被工商行政管理部门列入企业经营异常名录的；</w:t>
      </w:r>
    </w:p>
    <w:p w14:paraId="166DABB1">
      <w:pPr>
        <w:pStyle w:val="112"/>
        <w:adjustRightInd w:val="0"/>
        <w:snapToGrid w:val="0"/>
        <w:ind w:firstLine="480"/>
        <w:jc w:val="left"/>
        <w:rPr>
          <w:rFonts w:ascii="仿宋" w:hAnsi="仿宋" w:eastAsia="仿宋" w:cs="仿宋"/>
          <w:bCs/>
          <w:sz w:val="24"/>
          <w:szCs w:val="24"/>
        </w:rPr>
      </w:pPr>
      <w:r>
        <w:rPr>
          <w:rFonts w:hint="eastAsia" w:ascii="仿宋" w:hAnsi="仿宋" w:eastAsia="仿宋" w:cs="仿宋"/>
          <w:bCs/>
          <w:sz w:val="24"/>
          <w:szCs w:val="24"/>
        </w:rPr>
        <w:t>若中标后，经采购人查明存在以上不良信誉记录，愿意承担由此产生所有的法律责任及经济损失。取消中标资格，履约保证金（如有）不予退还。</w:t>
      </w:r>
    </w:p>
    <w:p w14:paraId="42FF2D09">
      <w:pPr>
        <w:spacing w:line="360" w:lineRule="auto"/>
        <w:ind w:firstLine="480" w:firstLineChars="200"/>
        <w:jc w:val="right"/>
        <w:rPr>
          <w:rFonts w:ascii="仿宋" w:hAnsi="仿宋" w:eastAsia="仿宋" w:cs="仿宋"/>
          <w:snapToGrid w:val="0"/>
          <w:kern w:val="0"/>
          <w:sz w:val="24"/>
          <w:szCs w:val="24"/>
        </w:rPr>
      </w:pPr>
    </w:p>
    <w:p w14:paraId="5FE777BD">
      <w:pPr>
        <w:spacing w:line="360" w:lineRule="auto"/>
        <w:ind w:firstLine="480" w:firstLineChars="200"/>
        <w:jc w:val="right"/>
        <w:rPr>
          <w:rFonts w:ascii="仿宋" w:hAnsi="仿宋" w:eastAsia="仿宋" w:cs="仿宋"/>
          <w:snapToGrid w:val="0"/>
          <w:kern w:val="0"/>
          <w:sz w:val="24"/>
          <w:szCs w:val="24"/>
          <w:u w:val="single"/>
        </w:rPr>
      </w:pPr>
      <w:r>
        <w:rPr>
          <w:rFonts w:hint="eastAsia" w:ascii="仿宋" w:hAnsi="仿宋" w:eastAsia="仿宋" w:cs="仿宋"/>
          <w:snapToGrid w:val="0"/>
          <w:kern w:val="0"/>
          <w:sz w:val="24"/>
          <w:szCs w:val="24"/>
        </w:rPr>
        <w:t>应商：</w:t>
      </w:r>
      <w:r>
        <w:rPr>
          <w:rFonts w:hint="eastAsia" w:ascii="仿宋" w:hAnsi="仿宋" w:eastAsia="仿宋" w:cs="仿宋"/>
          <w:snapToGrid w:val="0"/>
          <w:kern w:val="0"/>
          <w:sz w:val="24"/>
          <w:szCs w:val="24"/>
          <w:u w:val="single"/>
        </w:rPr>
        <w:t>（全称并加盖公章）</w:t>
      </w:r>
    </w:p>
    <w:p w14:paraId="0C133CE3">
      <w:pPr>
        <w:spacing w:line="360" w:lineRule="auto"/>
        <w:ind w:firstLine="480" w:firstLineChars="200"/>
        <w:jc w:val="right"/>
        <w:rPr>
          <w:rFonts w:ascii="仿宋" w:hAnsi="仿宋" w:eastAsia="仿宋" w:cs="仿宋"/>
          <w:snapToGrid w:val="0"/>
          <w:kern w:val="0"/>
          <w:sz w:val="24"/>
          <w:szCs w:val="24"/>
          <w:u w:val="single"/>
        </w:rPr>
      </w:pPr>
      <w:r>
        <w:rPr>
          <w:rFonts w:hint="eastAsia" w:ascii="仿宋" w:hAnsi="仿宋" w:eastAsia="仿宋" w:cs="仿宋"/>
          <w:snapToGrid w:val="0"/>
          <w:kern w:val="0"/>
          <w:sz w:val="24"/>
          <w:szCs w:val="24"/>
        </w:rPr>
        <w:t>法定代表人或其授权委托人：</w:t>
      </w:r>
      <w:r>
        <w:rPr>
          <w:rFonts w:hint="eastAsia" w:ascii="仿宋" w:hAnsi="仿宋" w:eastAsia="仿宋" w:cs="仿宋"/>
          <w:snapToGrid w:val="0"/>
          <w:kern w:val="0"/>
          <w:sz w:val="24"/>
          <w:szCs w:val="24"/>
          <w:u w:val="single"/>
        </w:rPr>
        <w:t xml:space="preserve">   （签字或盖章） </w:t>
      </w:r>
    </w:p>
    <w:p w14:paraId="15B127D1">
      <w:pPr>
        <w:wordWrap w:val="0"/>
        <w:spacing w:line="360" w:lineRule="auto"/>
        <w:ind w:firstLine="480" w:firstLineChars="200"/>
        <w:jc w:val="right"/>
        <w:rPr>
          <w:rFonts w:ascii="仿宋" w:hAnsi="仿宋" w:eastAsia="仿宋" w:cs="仿宋"/>
          <w:snapToGrid w:val="0"/>
          <w:kern w:val="0"/>
          <w:sz w:val="24"/>
          <w:szCs w:val="24"/>
        </w:rPr>
      </w:pPr>
      <w:r>
        <w:rPr>
          <w:rFonts w:hint="eastAsia" w:ascii="仿宋" w:hAnsi="仿宋" w:eastAsia="仿宋" w:cs="仿宋"/>
          <w:snapToGrid w:val="0"/>
          <w:kern w:val="0"/>
          <w:sz w:val="24"/>
          <w:szCs w:val="24"/>
        </w:rPr>
        <w:t xml:space="preserve">            日  期：</w:t>
      </w:r>
    </w:p>
    <w:p w14:paraId="1509A1E7">
      <w:pPr>
        <w:widowControl/>
        <w:spacing w:line="360" w:lineRule="auto"/>
        <w:jc w:val="left"/>
        <w:rPr>
          <w:rFonts w:ascii="仿宋" w:hAnsi="仿宋" w:eastAsia="仿宋" w:cs="仿宋"/>
          <w:color w:val="000000" w:themeColor="text1"/>
          <w:sz w:val="28"/>
          <w:szCs w:val="28"/>
        </w:rPr>
      </w:pPr>
    </w:p>
    <w:p w14:paraId="1E2721E4">
      <w:pPr>
        <w:adjustRightInd w:val="0"/>
        <w:snapToGrid w:val="0"/>
        <w:spacing w:line="360" w:lineRule="auto"/>
        <w:jc w:val="center"/>
        <w:rPr>
          <w:rFonts w:ascii="仿宋" w:hAnsi="仿宋" w:eastAsia="仿宋" w:cs="仿宋"/>
          <w:b/>
          <w:sz w:val="24"/>
          <w:szCs w:val="24"/>
        </w:rPr>
      </w:pPr>
    </w:p>
    <w:p w14:paraId="6505D177">
      <w:pPr>
        <w:adjustRightInd w:val="0"/>
        <w:snapToGrid w:val="0"/>
        <w:spacing w:line="360" w:lineRule="auto"/>
        <w:jc w:val="center"/>
        <w:rPr>
          <w:rFonts w:ascii="仿宋" w:hAnsi="仿宋" w:eastAsia="仿宋" w:cs="仿宋"/>
          <w:b/>
          <w:sz w:val="24"/>
          <w:szCs w:val="24"/>
        </w:rPr>
      </w:pPr>
    </w:p>
    <w:p w14:paraId="21757180">
      <w:pPr>
        <w:adjustRightInd w:val="0"/>
        <w:snapToGrid w:val="0"/>
        <w:spacing w:line="360" w:lineRule="auto"/>
        <w:jc w:val="center"/>
        <w:rPr>
          <w:rFonts w:ascii="仿宋" w:hAnsi="仿宋" w:eastAsia="仿宋" w:cs="仿宋"/>
          <w:b/>
          <w:sz w:val="24"/>
          <w:szCs w:val="24"/>
        </w:rPr>
      </w:pPr>
    </w:p>
    <w:p w14:paraId="44776788">
      <w:pPr>
        <w:adjustRightInd w:val="0"/>
        <w:snapToGrid w:val="0"/>
        <w:spacing w:line="360" w:lineRule="auto"/>
        <w:jc w:val="center"/>
        <w:rPr>
          <w:rFonts w:ascii="仿宋" w:hAnsi="仿宋" w:eastAsia="仿宋" w:cs="仿宋"/>
          <w:b/>
          <w:sz w:val="24"/>
          <w:szCs w:val="24"/>
        </w:rPr>
      </w:pPr>
    </w:p>
    <w:p w14:paraId="476193ED">
      <w:pPr>
        <w:adjustRightInd w:val="0"/>
        <w:snapToGrid w:val="0"/>
        <w:spacing w:line="360" w:lineRule="auto"/>
        <w:jc w:val="center"/>
        <w:rPr>
          <w:rFonts w:ascii="仿宋" w:hAnsi="仿宋" w:eastAsia="仿宋" w:cs="仿宋"/>
          <w:b/>
          <w:sz w:val="24"/>
          <w:szCs w:val="24"/>
        </w:rPr>
      </w:pPr>
    </w:p>
    <w:p w14:paraId="734FE131">
      <w:pPr>
        <w:widowControl/>
        <w:spacing w:line="360" w:lineRule="auto"/>
        <w:jc w:val="left"/>
        <w:rPr>
          <w:rFonts w:ascii="仿宋" w:hAnsi="仿宋" w:eastAsia="仿宋" w:cs="仿宋"/>
          <w:b/>
          <w:sz w:val="24"/>
          <w:szCs w:val="24"/>
        </w:rPr>
      </w:pPr>
      <w:r>
        <w:rPr>
          <w:rFonts w:hint="eastAsia" w:ascii="仿宋" w:hAnsi="仿宋" w:eastAsia="仿宋" w:cs="仿宋"/>
          <w:b/>
          <w:sz w:val="24"/>
          <w:szCs w:val="24"/>
        </w:rPr>
        <w:br w:type="page"/>
      </w:r>
    </w:p>
    <w:p w14:paraId="7ABCB784">
      <w:pPr>
        <w:adjustRightInd w:val="0"/>
        <w:snapToGrid w:val="0"/>
        <w:spacing w:line="360" w:lineRule="auto"/>
        <w:jc w:val="center"/>
        <w:rPr>
          <w:rFonts w:ascii="仿宋" w:hAnsi="仿宋" w:eastAsia="仿宋" w:cs="仿宋"/>
          <w:b/>
          <w:sz w:val="24"/>
          <w:szCs w:val="24"/>
        </w:rPr>
      </w:pPr>
      <w:r>
        <w:rPr>
          <w:rFonts w:hint="eastAsia" w:ascii="仿宋" w:hAnsi="仿宋" w:eastAsia="仿宋" w:cs="仿宋"/>
          <w:b/>
          <w:sz w:val="24"/>
          <w:szCs w:val="24"/>
        </w:rPr>
        <w:t>供货承诺书</w:t>
      </w:r>
    </w:p>
    <w:p w14:paraId="13F38475">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本企业郑重承诺：</w:t>
      </w:r>
    </w:p>
    <w:p w14:paraId="14F83E42">
      <w:pPr>
        <w:adjustRightInd w:val="0"/>
        <w:snapToGrid w:val="0"/>
        <w:spacing w:line="360" w:lineRule="auto"/>
        <w:rPr>
          <w:rFonts w:ascii="仿宋" w:hAnsi="仿宋" w:eastAsia="仿宋" w:cs="仿宋"/>
          <w:sz w:val="24"/>
          <w:szCs w:val="24"/>
          <w:u w:val="single"/>
        </w:rPr>
      </w:pPr>
    </w:p>
    <w:p w14:paraId="34E82AD7">
      <w:pPr>
        <w:widowControl/>
        <w:tabs>
          <w:tab w:val="left" w:pos="360"/>
        </w:tabs>
        <w:adjustRightInd w:val="0"/>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我公司承诺所提供全部投标产品的技术参数完全响应招标文件的要求。如供货时如产品不符合招标文件技术参数要求，我公司无条件更换货物，并且在2周内重新提供符合采购人要求的货物。如我公司2周内不能提供符合采购人要求的货物，采购人有权利取消我公司中标资格，视同我公司虚假应标。我公司认可并承担一切法律责任，并承担由此造成的全部经济损失、时间延误损失及其他一切违约处罚，原供货货物采购人不再退还。</w:t>
      </w:r>
    </w:p>
    <w:p w14:paraId="4A99C3D5">
      <w:pPr>
        <w:widowControl/>
        <w:tabs>
          <w:tab w:val="left" w:pos="360"/>
        </w:tabs>
        <w:adjustRightInd w:val="0"/>
        <w:snapToGrid w:val="0"/>
        <w:spacing w:line="360" w:lineRule="auto"/>
        <w:ind w:firstLine="480" w:firstLineChars="200"/>
        <w:rPr>
          <w:rFonts w:ascii="仿宋" w:hAnsi="仿宋" w:eastAsia="仿宋" w:cs="仿宋"/>
          <w:kern w:val="0"/>
          <w:sz w:val="24"/>
          <w:szCs w:val="24"/>
        </w:rPr>
      </w:pPr>
    </w:p>
    <w:p w14:paraId="1DD7EE9D">
      <w:pPr>
        <w:adjustRightInd w:val="0"/>
        <w:snapToGrid w:val="0"/>
        <w:spacing w:line="360" w:lineRule="auto"/>
        <w:jc w:val="right"/>
        <w:rPr>
          <w:rFonts w:ascii="仿宋" w:hAnsi="仿宋" w:eastAsia="仿宋" w:cs="仿宋"/>
          <w:sz w:val="24"/>
          <w:szCs w:val="24"/>
        </w:rPr>
      </w:pPr>
    </w:p>
    <w:p w14:paraId="7D2B0929">
      <w:pPr>
        <w:spacing w:line="360" w:lineRule="auto"/>
        <w:ind w:firstLine="3120" w:firstLineChars="1300"/>
        <w:jc w:val="right"/>
        <w:rPr>
          <w:rFonts w:ascii="仿宋" w:hAnsi="仿宋" w:eastAsia="仿宋" w:cs="仿宋"/>
          <w:sz w:val="24"/>
          <w:szCs w:val="24"/>
        </w:rPr>
      </w:pPr>
      <w:r>
        <w:rPr>
          <w:rFonts w:hint="eastAsia" w:ascii="仿宋" w:hAnsi="仿宋" w:eastAsia="仿宋" w:cs="仿宋"/>
          <w:sz w:val="24"/>
          <w:szCs w:val="24"/>
        </w:rPr>
        <w:t>供应商名称：（公章）</w:t>
      </w:r>
    </w:p>
    <w:p w14:paraId="7956CAFD">
      <w:pPr>
        <w:spacing w:line="360" w:lineRule="auto"/>
        <w:ind w:firstLine="3360" w:firstLineChars="1400"/>
        <w:jc w:val="right"/>
        <w:rPr>
          <w:rFonts w:ascii="仿宋" w:hAnsi="仿宋" w:eastAsia="仿宋" w:cs="仿宋"/>
          <w:sz w:val="24"/>
          <w:szCs w:val="24"/>
        </w:rPr>
      </w:pPr>
      <w:r>
        <w:rPr>
          <w:rFonts w:hint="eastAsia" w:ascii="仿宋" w:hAnsi="仿宋" w:eastAsia="仿宋" w:cs="仿宋"/>
          <w:sz w:val="24"/>
          <w:szCs w:val="24"/>
        </w:rPr>
        <w:t>日期：2020年    月   日</w:t>
      </w:r>
    </w:p>
    <w:p w14:paraId="21330BE1">
      <w:pPr>
        <w:tabs>
          <w:tab w:val="left" w:pos="3414"/>
        </w:tabs>
        <w:spacing w:line="360" w:lineRule="auto"/>
        <w:jc w:val="center"/>
        <w:rPr>
          <w:rFonts w:ascii="仿宋" w:hAnsi="仿宋" w:eastAsia="仿宋" w:cs="仿宋"/>
          <w:sz w:val="24"/>
          <w:szCs w:val="24"/>
        </w:rPr>
      </w:pPr>
    </w:p>
    <w:p w14:paraId="689F7F42">
      <w:pPr>
        <w:pStyle w:val="2"/>
        <w:spacing w:line="360" w:lineRule="auto"/>
        <w:ind w:firstLine="480"/>
        <w:rPr>
          <w:rFonts w:ascii="仿宋" w:hAnsi="仿宋" w:eastAsia="仿宋" w:cs="仿宋"/>
          <w:sz w:val="24"/>
          <w:szCs w:val="24"/>
        </w:rPr>
      </w:pPr>
    </w:p>
    <w:p w14:paraId="2E1B9D92">
      <w:pPr>
        <w:pStyle w:val="2"/>
        <w:spacing w:line="360" w:lineRule="auto"/>
        <w:ind w:firstLine="0" w:firstLineChars="0"/>
        <w:rPr>
          <w:rFonts w:ascii="仿宋" w:hAnsi="仿宋" w:eastAsia="仿宋" w:cs="仿宋"/>
          <w:sz w:val="24"/>
          <w:szCs w:val="24"/>
        </w:rPr>
      </w:pPr>
    </w:p>
    <w:p w14:paraId="4BCEA365">
      <w:pPr>
        <w:pStyle w:val="2"/>
        <w:spacing w:line="360" w:lineRule="auto"/>
        <w:ind w:firstLine="0" w:firstLineChars="0"/>
        <w:rPr>
          <w:rFonts w:ascii="仿宋" w:hAnsi="仿宋" w:eastAsia="仿宋" w:cs="仿宋"/>
          <w:sz w:val="24"/>
          <w:szCs w:val="24"/>
        </w:rPr>
      </w:pPr>
    </w:p>
    <w:p w14:paraId="31AFD8E2">
      <w:pPr>
        <w:widowControl/>
        <w:spacing w:line="360" w:lineRule="auto"/>
        <w:jc w:val="left"/>
        <w:rPr>
          <w:rFonts w:ascii="仿宋" w:hAnsi="仿宋" w:eastAsia="仿宋" w:cs="仿宋"/>
          <w:b/>
          <w:sz w:val="24"/>
          <w:szCs w:val="24"/>
        </w:rPr>
      </w:pPr>
      <w:r>
        <w:rPr>
          <w:rFonts w:hint="eastAsia" w:ascii="仿宋" w:hAnsi="仿宋" w:eastAsia="仿宋" w:cs="仿宋"/>
          <w:b/>
          <w:sz w:val="24"/>
          <w:szCs w:val="24"/>
        </w:rPr>
        <w:br w:type="page"/>
      </w:r>
    </w:p>
    <w:p w14:paraId="50199792">
      <w:pPr>
        <w:spacing w:line="360" w:lineRule="auto"/>
        <w:jc w:val="center"/>
        <w:rPr>
          <w:rFonts w:ascii="仿宋" w:hAnsi="仿宋" w:eastAsia="仿宋" w:cs="仿宋"/>
          <w:b/>
          <w:sz w:val="24"/>
          <w:szCs w:val="24"/>
        </w:rPr>
      </w:pPr>
      <w:r>
        <w:rPr>
          <w:rFonts w:hint="eastAsia" w:ascii="仿宋" w:hAnsi="仿宋" w:eastAsia="仿宋" w:cs="仿宋"/>
          <w:b/>
          <w:sz w:val="24"/>
          <w:szCs w:val="24"/>
        </w:rPr>
        <w:t>格式3、投标文件响应情况证明材料</w:t>
      </w:r>
    </w:p>
    <w:p w14:paraId="140CD412">
      <w:pPr>
        <w:spacing w:line="360" w:lineRule="auto"/>
        <w:jc w:val="center"/>
        <w:rPr>
          <w:rFonts w:ascii="仿宋" w:hAnsi="仿宋" w:eastAsia="仿宋" w:cs="仿宋"/>
          <w:b/>
          <w:sz w:val="24"/>
          <w:szCs w:val="24"/>
        </w:rPr>
      </w:pPr>
      <w:r>
        <w:rPr>
          <w:rFonts w:hint="eastAsia" w:ascii="仿宋" w:hAnsi="仿宋" w:eastAsia="仿宋" w:cs="仿宋"/>
          <w:sz w:val="24"/>
          <w:szCs w:val="24"/>
        </w:rPr>
        <w:t>（提供</w:t>
      </w:r>
      <w:r>
        <w:rPr>
          <w:rFonts w:hint="eastAsia" w:ascii="仿宋" w:hAnsi="仿宋" w:eastAsia="仿宋" w:cs="仿宋"/>
          <w:b/>
          <w:bCs/>
          <w:sz w:val="24"/>
          <w:szCs w:val="24"/>
        </w:rPr>
        <w:t>采购需求响应</w:t>
      </w:r>
      <w:r>
        <w:rPr>
          <w:rFonts w:hint="eastAsia" w:ascii="仿宋" w:hAnsi="仿宋" w:eastAsia="仿宋" w:cs="仿宋"/>
          <w:sz w:val="24"/>
          <w:szCs w:val="24"/>
        </w:rPr>
        <w:t>、供货期响应、质量保证期响应、投标有效期响应等证明材料</w:t>
      </w:r>
      <w:r>
        <w:rPr>
          <w:rFonts w:hint="eastAsia" w:ascii="仿宋" w:hAnsi="仿宋" w:eastAsia="仿宋" w:cs="仿宋"/>
          <w:bCs/>
          <w:sz w:val="24"/>
          <w:szCs w:val="24"/>
        </w:rPr>
        <w:t>，并加盖供应商公章</w:t>
      </w:r>
      <w:r>
        <w:rPr>
          <w:rFonts w:hint="eastAsia" w:ascii="仿宋" w:hAnsi="仿宋" w:eastAsia="仿宋" w:cs="仿宋"/>
          <w:sz w:val="24"/>
          <w:szCs w:val="24"/>
        </w:rPr>
        <w:t>）</w:t>
      </w:r>
    </w:p>
    <w:p w14:paraId="7EEF90D2">
      <w:pPr>
        <w:spacing w:line="360" w:lineRule="auto"/>
        <w:jc w:val="center"/>
        <w:rPr>
          <w:rFonts w:ascii="仿宋" w:hAnsi="仿宋" w:eastAsia="仿宋" w:cs="仿宋"/>
          <w:b/>
          <w:sz w:val="24"/>
          <w:szCs w:val="24"/>
        </w:rPr>
      </w:pPr>
    </w:p>
    <w:p w14:paraId="44D59093">
      <w:pPr>
        <w:spacing w:line="360" w:lineRule="auto"/>
        <w:jc w:val="center"/>
        <w:rPr>
          <w:rFonts w:ascii="仿宋" w:hAnsi="仿宋" w:eastAsia="仿宋" w:cs="仿宋"/>
          <w:b/>
          <w:sz w:val="24"/>
          <w:szCs w:val="24"/>
        </w:rPr>
      </w:pPr>
    </w:p>
    <w:bookmarkEnd w:id="129"/>
    <w:p w14:paraId="6E78DD63">
      <w:pPr>
        <w:tabs>
          <w:tab w:val="left" w:pos="3414"/>
        </w:tabs>
        <w:spacing w:line="360" w:lineRule="auto"/>
        <w:rPr>
          <w:rFonts w:ascii="仿宋" w:hAnsi="仿宋" w:eastAsia="仿宋" w:cs="仿宋"/>
          <w:sz w:val="24"/>
          <w:szCs w:val="24"/>
        </w:rPr>
      </w:pPr>
    </w:p>
    <w:p w14:paraId="70B39E35">
      <w:pPr>
        <w:widowControl/>
        <w:jc w:val="left"/>
        <w:rPr>
          <w:rFonts w:ascii="仿宋" w:hAnsi="仿宋" w:eastAsia="仿宋" w:cs="仿宋"/>
          <w:b/>
          <w:sz w:val="24"/>
          <w:szCs w:val="24"/>
        </w:rPr>
      </w:pPr>
      <w:bookmarkStart w:id="130" w:name="_Hlk525928691"/>
      <w:r>
        <w:rPr>
          <w:rFonts w:hint="eastAsia" w:ascii="仿宋" w:hAnsi="仿宋" w:eastAsia="仿宋" w:cs="仿宋"/>
          <w:b/>
          <w:sz w:val="24"/>
          <w:szCs w:val="24"/>
        </w:rPr>
        <w:br w:type="page"/>
      </w:r>
    </w:p>
    <w:p w14:paraId="144E165D">
      <w:pPr>
        <w:spacing w:line="360" w:lineRule="auto"/>
        <w:jc w:val="center"/>
        <w:rPr>
          <w:rFonts w:ascii="仿宋" w:hAnsi="仿宋" w:eastAsia="仿宋" w:cs="仿宋"/>
          <w:sz w:val="24"/>
          <w:szCs w:val="24"/>
        </w:rPr>
      </w:pPr>
      <w:r>
        <w:rPr>
          <w:rFonts w:hint="eastAsia" w:ascii="仿宋" w:hAnsi="仿宋" w:eastAsia="仿宋" w:cs="仿宋"/>
          <w:b/>
          <w:sz w:val="24"/>
          <w:szCs w:val="24"/>
        </w:rPr>
        <w:t>格式4、技术条款偏离表</w:t>
      </w:r>
    </w:p>
    <w:p w14:paraId="43BED839">
      <w:pPr>
        <w:spacing w:line="360" w:lineRule="auto"/>
        <w:ind w:firstLine="240" w:firstLineChars="100"/>
        <w:rPr>
          <w:rFonts w:ascii="仿宋" w:hAnsi="仿宋" w:eastAsia="仿宋" w:cs="仿宋"/>
          <w:b/>
          <w:sz w:val="24"/>
          <w:szCs w:val="24"/>
        </w:rPr>
      </w:pPr>
      <w:r>
        <w:rPr>
          <w:rFonts w:hint="eastAsia" w:ascii="仿宋" w:hAnsi="仿宋" w:eastAsia="仿宋" w:cs="仿宋"/>
          <w:sz w:val="24"/>
          <w:szCs w:val="24"/>
        </w:rPr>
        <w:t>招标项目编号：                          包号：</w:t>
      </w:r>
    </w:p>
    <w:tbl>
      <w:tblPr>
        <w:tblStyle w:val="53"/>
        <w:tblW w:w="8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02"/>
        <w:gridCol w:w="2382"/>
        <w:gridCol w:w="2629"/>
        <w:gridCol w:w="1080"/>
      </w:tblGrid>
      <w:tr w14:paraId="339EF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shd w:val="clear" w:color="auto" w:fill="D8D8D8" w:themeFill="background1" w:themeFillShade="D9"/>
            <w:vAlign w:val="center"/>
          </w:tcPr>
          <w:p w14:paraId="70F03603">
            <w:pPr>
              <w:spacing w:before="120" w:after="120" w:line="360" w:lineRule="auto"/>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1902" w:type="dxa"/>
            <w:shd w:val="clear" w:color="auto" w:fill="D8D8D8" w:themeFill="background1" w:themeFillShade="D9"/>
            <w:vAlign w:val="center"/>
          </w:tcPr>
          <w:p w14:paraId="36434C4A">
            <w:pPr>
              <w:spacing w:before="120" w:after="120" w:line="360" w:lineRule="auto"/>
              <w:jc w:val="center"/>
              <w:rPr>
                <w:rFonts w:ascii="仿宋" w:hAnsi="仿宋" w:eastAsia="仿宋" w:cs="仿宋"/>
                <w:b/>
                <w:bCs/>
                <w:sz w:val="24"/>
                <w:szCs w:val="24"/>
              </w:rPr>
            </w:pPr>
            <w:r>
              <w:rPr>
                <w:rFonts w:hint="eastAsia" w:ascii="仿宋" w:hAnsi="仿宋" w:eastAsia="仿宋" w:cs="仿宋"/>
                <w:b/>
                <w:bCs/>
                <w:sz w:val="24"/>
                <w:szCs w:val="24"/>
              </w:rPr>
              <w:t>招标文件条目号</w:t>
            </w:r>
          </w:p>
        </w:tc>
        <w:tc>
          <w:tcPr>
            <w:tcW w:w="2382" w:type="dxa"/>
            <w:shd w:val="clear" w:color="auto" w:fill="D8D8D8" w:themeFill="background1" w:themeFillShade="D9"/>
            <w:vAlign w:val="center"/>
          </w:tcPr>
          <w:p w14:paraId="1D3BCFC7">
            <w:pPr>
              <w:spacing w:before="120" w:after="120" w:line="360" w:lineRule="auto"/>
              <w:jc w:val="center"/>
              <w:rPr>
                <w:rFonts w:ascii="仿宋" w:hAnsi="仿宋" w:eastAsia="仿宋" w:cs="仿宋"/>
                <w:b/>
                <w:bCs/>
                <w:sz w:val="24"/>
                <w:szCs w:val="24"/>
              </w:rPr>
            </w:pPr>
            <w:r>
              <w:rPr>
                <w:rFonts w:hint="eastAsia" w:ascii="仿宋" w:hAnsi="仿宋" w:eastAsia="仿宋" w:cs="仿宋"/>
                <w:b/>
                <w:bCs/>
                <w:sz w:val="24"/>
                <w:szCs w:val="24"/>
              </w:rPr>
              <w:t>招标文件的技术条款</w:t>
            </w:r>
          </w:p>
        </w:tc>
        <w:tc>
          <w:tcPr>
            <w:tcW w:w="2629" w:type="dxa"/>
            <w:shd w:val="clear" w:color="auto" w:fill="D8D8D8" w:themeFill="background1" w:themeFillShade="D9"/>
            <w:vAlign w:val="center"/>
          </w:tcPr>
          <w:p w14:paraId="0FA62E91">
            <w:pPr>
              <w:spacing w:before="120" w:after="120" w:line="360" w:lineRule="auto"/>
              <w:jc w:val="center"/>
              <w:rPr>
                <w:rFonts w:ascii="仿宋" w:hAnsi="仿宋" w:eastAsia="仿宋" w:cs="仿宋"/>
                <w:b/>
                <w:bCs/>
                <w:sz w:val="24"/>
                <w:szCs w:val="24"/>
              </w:rPr>
            </w:pPr>
            <w:r>
              <w:rPr>
                <w:rFonts w:hint="eastAsia" w:ascii="仿宋" w:hAnsi="仿宋" w:eastAsia="仿宋" w:cs="仿宋"/>
                <w:b/>
                <w:bCs/>
                <w:sz w:val="24"/>
                <w:szCs w:val="24"/>
              </w:rPr>
              <w:t>投标文件的技术条款</w:t>
            </w:r>
          </w:p>
        </w:tc>
        <w:tc>
          <w:tcPr>
            <w:tcW w:w="1080" w:type="dxa"/>
            <w:shd w:val="clear" w:color="auto" w:fill="D8D8D8" w:themeFill="background1" w:themeFillShade="D9"/>
            <w:vAlign w:val="center"/>
          </w:tcPr>
          <w:p w14:paraId="1B032C1C">
            <w:pPr>
              <w:spacing w:before="120" w:after="120" w:line="360" w:lineRule="auto"/>
              <w:jc w:val="center"/>
              <w:rPr>
                <w:rFonts w:ascii="仿宋" w:hAnsi="仿宋" w:eastAsia="仿宋" w:cs="仿宋"/>
                <w:b/>
                <w:bCs/>
                <w:sz w:val="24"/>
                <w:szCs w:val="24"/>
              </w:rPr>
            </w:pPr>
            <w:r>
              <w:rPr>
                <w:rFonts w:hint="eastAsia" w:ascii="仿宋" w:hAnsi="仿宋" w:eastAsia="仿宋" w:cs="仿宋"/>
                <w:b/>
                <w:bCs/>
                <w:sz w:val="24"/>
                <w:szCs w:val="24"/>
              </w:rPr>
              <w:t>说明</w:t>
            </w:r>
          </w:p>
        </w:tc>
      </w:tr>
      <w:tr w14:paraId="44DA4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Align w:val="center"/>
          </w:tcPr>
          <w:p w14:paraId="04DC6A18">
            <w:pPr>
              <w:spacing w:before="240" w:after="240" w:line="360" w:lineRule="auto"/>
              <w:rPr>
                <w:rFonts w:ascii="仿宋" w:hAnsi="仿宋" w:eastAsia="仿宋" w:cs="仿宋"/>
                <w:sz w:val="24"/>
                <w:szCs w:val="24"/>
              </w:rPr>
            </w:pPr>
          </w:p>
        </w:tc>
        <w:tc>
          <w:tcPr>
            <w:tcW w:w="1902" w:type="dxa"/>
            <w:vAlign w:val="center"/>
          </w:tcPr>
          <w:p w14:paraId="528DB163">
            <w:pPr>
              <w:spacing w:before="240" w:after="240" w:line="360" w:lineRule="auto"/>
              <w:rPr>
                <w:rFonts w:ascii="仿宋" w:hAnsi="仿宋" w:eastAsia="仿宋" w:cs="仿宋"/>
                <w:sz w:val="24"/>
                <w:szCs w:val="24"/>
              </w:rPr>
            </w:pPr>
          </w:p>
        </w:tc>
        <w:tc>
          <w:tcPr>
            <w:tcW w:w="2382" w:type="dxa"/>
            <w:vAlign w:val="center"/>
          </w:tcPr>
          <w:p w14:paraId="0BC0643E">
            <w:pPr>
              <w:spacing w:before="240" w:after="240" w:line="360" w:lineRule="auto"/>
              <w:rPr>
                <w:rFonts w:ascii="仿宋" w:hAnsi="仿宋" w:eastAsia="仿宋" w:cs="仿宋"/>
                <w:sz w:val="24"/>
                <w:szCs w:val="24"/>
              </w:rPr>
            </w:pPr>
          </w:p>
        </w:tc>
        <w:tc>
          <w:tcPr>
            <w:tcW w:w="2629" w:type="dxa"/>
            <w:vAlign w:val="center"/>
          </w:tcPr>
          <w:p w14:paraId="23834906">
            <w:pPr>
              <w:spacing w:before="240" w:after="240" w:line="360" w:lineRule="auto"/>
              <w:rPr>
                <w:rFonts w:ascii="仿宋" w:hAnsi="仿宋" w:eastAsia="仿宋" w:cs="仿宋"/>
                <w:sz w:val="24"/>
                <w:szCs w:val="24"/>
              </w:rPr>
            </w:pPr>
          </w:p>
        </w:tc>
        <w:tc>
          <w:tcPr>
            <w:tcW w:w="1080" w:type="dxa"/>
            <w:vAlign w:val="center"/>
          </w:tcPr>
          <w:p w14:paraId="3068373D">
            <w:pPr>
              <w:spacing w:before="240" w:after="240" w:line="360" w:lineRule="auto"/>
              <w:rPr>
                <w:rFonts w:ascii="仿宋" w:hAnsi="仿宋" w:eastAsia="仿宋" w:cs="仿宋"/>
                <w:sz w:val="24"/>
                <w:szCs w:val="24"/>
              </w:rPr>
            </w:pPr>
          </w:p>
        </w:tc>
      </w:tr>
      <w:tr w14:paraId="3AD21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Align w:val="center"/>
          </w:tcPr>
          <w:p w14:paraId="3C1F3266">
            <w:pPr>
              <w:spacing w:before="240" w:after="240" w:line="360" w:lineRule="auto"/>
              <w:rPr>
                <w:rFonts w:ascii="仿宋" w:hAnsi="仿宋" w:eastAsia="仿宋" w:cs="仿宋"/>
                <w:sz w:val="24"/>
                <w:szCs w:val="24"/>
              </w:rPr>
            </w:pPr>
          </w:p>
        </w:tc>
        <w:tc>
          <w:tcPr>
            <w:tcW w:w="1902" w:type="dxa"/>
            <w:vAlign w:val="center"/>
          </w:tcPr>
          <w:p w14:paraId="7AAC9648">
            <w:pPr>
              <w:spacing w:before="240" w:after="240" w:line="360" w:lineRule="auto"/>
              <w:rPr>
                <w:rFonts w:ascii="仿宋" w:hAnsi="仿宋" w:eastAsia="仿宋" w:cs="仿宋"/>
                <w:sz w:val="24"/>
                <w:szCs w:val="24"/>
              </w:rPr>
            </w:pPr>
          </w:p>
        </w:tc>
        <w:tc>
          <w:tcPr>
            <w:tcW w:w="2382" w:type="dxa"/>
            <w:vAlign w:val="center"/>
          </w:tcPr>
          <w:p w14:paraId="61142082">
            <w:pPr>
              <w:spacing w:before="240" w:after="240" w:line="360" w:lineRule="auto"/>
              <w:rPr>
                <w:rFonts w:ascii="仿宋" w:hAnsi="仿宋" w:eastAsia="仿宋" w:cs="仿宋"/>
                <w:sz w:val="24"/>
                <w:szCs w:val="24"/>
              </w:rPr>
            </w:pPr>
          </w:p>
        </w:tc>
        <w:tc>
          <w:tcPr>
            <w:tcW w:w="2629" w:type="dxa"/>
            <w:vAlign w:val="center"/>
          </w:tcPr>
          <w:p w14:paraId="7D258C7C">
            <w:pPr>
              <w:spacing w:before="240" w:after="240" w:line="360" w:lineRule="auto"/>
              <w:rPr>
                <w:rFonts w:ascii="仿宋" w:hAnsi="仿宋" w:eastAsia="仿宋" w:cs="仿宋"/>
                <w:sz w:val="24"/>
                <w:szCs w:val="24"/>
              </w:rPr>
            </w:pPr>
          </w:p>
        </w:tc>
        <w:tc>
          <w:tcPr>
            <w:tcW w:w="1080" w:type="dxa"/>
            <w:vAlign w:val="center"/>
          </w:tcPr>
          <w:p w14:paraId="25C8BE3A">
            <w:pPr>
              <w:spacing w:before="240" w:after="240" w:line="360" w:lineRule="auto"/>
              <w:rPr>
                <w:rFonts w:ascii="仿宋" w:hAnsi="仿宋" w:eastAsia="仿宋" w:cs="仿宋"/>
                <w:sz w:val="24"/>
                <w:szCs w:val="24"/>
              </w:rPr>
            </w:pPr>
          </w:p>
        </w:tc>
      </w:tr>
      <w:tr w14:paraId="64540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Align w:val="center"/>
          </w:tcPr>
          <w:p w14:paraId="5404C656">
            <w:pPr>
              <w:spacing w:before="240" w:after="240" w:line="360" w:lineRule="auto"/>
              <w:rPr>
                <w:rFonts w:ascii="仿宋" w:hAnsi="仿宋" w:eastAsia="仿宋" w:cs="仿宋"/>
                <w:sz w:val="24"/>
                <w:szCs w:val="24"/>
              </w:rPr>
            </w:pPr>
          </w:p>
        </w:tc>
        <w:tc>
          <w:tcPr>
            <w:tcW w:w="1902" w:type="dxa"/>
            <w:vAlign w:val="center"/>
          </w:tcPr>
          <w:p w14:paraId="769DA57A">
            <w:pPr>
              <w:spacing w:before="240" w:after="240" w:line="360" w:lineRule="auto"/>
              <w:rPr>
                <w:rFonts w:ascii="仿宋" w:hAnsi="仿宋" w:eastAsia="仿宋" w:cs="仿宋"/>
                <w:sz w:val="24"/>
                <w:szCs w:val="24"/>
              </w:rPr>
            </w:pPr>
          </w:p>
        </w:tc>
        <w:tc>
          <w:tcPr>
            <w:tcW w:w="2382" w:type="dxa"/>
            <w:vAlign w:val="center"/>
          </w:tcPr>
          <w:p w14:paraId="4D83785C">
            <w:pPr>
              <w:spacing w:before="240" w:after="240" w:line="360" w:lineRule="auto"/>
              <w:rPr>
                <w:rFonts w:ascii="仿宋" w:hAnsi="仿宋" w:eastAsia="仿宋" w:cs="仿宋"/>
                <w:sz w:val="24"/>
                <w:szCs w:val="24"/>
              </w:rPr>
            </w:pPr>
          </w:p>
        </w:tc>
        <w:tc>
          <w:tcPr>
            <w:tcW w:w="2629" w:type="dxa"/>
            <w:vAlign w:val="center"/>
          </w:tcPr>
          <w:p w14:paraId="4C960D90">
            <w:pPr>
              <w:spacing w:before="240" w:after="240" w:line="360" w:lineRule="auto"/>
              <w:rPr>
                <w:rFonts w:ascii="仿宋" w:hAnsi="仿宋" w:eastAsia="仿宋" w:cs="仿宋"/>
                <w:sz w:val="24"/>
                <w:szCs w:val="24"/>
              </w:rPr>
            </w:pPr>
          </w:p>
        </w:tc>
        <w:tc>
          <w:tcPr>
            <w:tcW w:w="1080" w:type="dxa"/>
            <w:vAlign w:val="center"/>
          </w:tcPr>
          <w:p w14:paraId="187F1995">
            <w:pPr>
              <w:spacing w:before="240" w:after="240" w:line="360" w:lineRule="auto"/>
              <w:rPr>
                <w:rFonts w:ascii="仿宋" w:hAnsi="仿宋" w:eastAsia="仿宋" w:cs="仿宋"/>
                <w:sz w:val="24"/>
                <w:szCs w:val="24"/>
              </w:rPr>
            </w:pPr>
          </w:p>
        </w:tc>
      </w:tr>
      <w:tr w14:paraId="75485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Align w:val="center"/>
          </w:tcPr>
          <w:p w14:paraId="58097922">
            <w:pPr>
              <w:spacing w:before="240" w:after="240" w:line="360" w:lineRule="auto"/>
              <w:rPr>
                <w:rFonts w:ascii="仿宋" w:hAnsi="仿宋" w:eastAsia="仿宋" w:cs="仿宋"/>
                <w:sz w:val="24"/>
                <w:szCs w:val="24"/>
              </w:rPr>
            </w:pPr>
          </w:p>
        </w:tc>
        <w:tc>
          <w:tcPr>
            <w:tcW w:w="1902" w:type="dxa"/>
            <w:vAlign w:val="center"/>
          </w:tcPr>
          <w:p w14:paraId="2253B0BF">
            <w:pPr>
              <w:spacing w:before="240" w:after="240" w:line="360" w:lineRule="auto"/>
              <w:rPr>
                <w:rFonts w:ascii="仿宋" w:hAnsi="仿宋" w:eastAsia="仿宋" w:cs="仿宋"/>
                <w:sz w:val="24"/>
                <w:szCs w:val="24"/>
              </w:rPr>
            </w:pPr>
          </w:p>
        </w:tc>
        <w:tc>
          <w:tcPr>
            <w:tcW w:w="2382" w:type="dxa"/>
            <w:vAlign w:val="center"/>
          </w:tcPr>
          <w:p w14:paraId="7D2D1879">
            <w:pPr>
              <w:spacing w:before="240" w:after="240" w:line="360" w:lineRule="auto"/>
              <w:rPr>
                <w:rFonts w:ascii="仿宋" w:hAnsi="仿宋" w:eastAsia="仿宋" w:cs="仿宋"/>
                <w:sz w:val="24"/>
                <w:szCs w:val="24"/>
              </w:rPr>
            </w:pPr>
          </w:p>
        </w:tc>
        <w:tc>
          <w:tcPr>
            <w:tcW w:w="2629" w:type="dxa"/>
            <w:vAlign w:val="center"/>
          </w:tcPr>
          <w:p w14:paraId="5CEF410E">
            <w:pPr>
              <w:spacing w:before="240" w:after="240" w:line="360" w:lineRule="auto"/>
              <w:rPr>
                <w:rFonts w:ascii="仿宋" w:hAnsi="仿宋" w:eastAsia="仿宋" w:cs="仿宋"/>
                <w:sz w:val="24"/>
                <w:szCs w:val="24"/>
              </w:rPr>
            </w:pPr>
          </w:p>
        </w:tc>
        <w:tc>
          <w:tcPr>
            <w:tcW w:w="1080" w:type="dxa"/>
            <w:vAlign w:val="center"/>
          </w:tcPr>
          <w:p w14:paraId="607E74AE">
            <w:pPr>
              <w:spacing w:before="240" w:after="240" w:line="360" w:lineRule="auto"/>
              <w:rPr>
                <w:rFonts w:ascii="仿宋" w:hAnsi="仿宋" w:eastAsia="仿宋" w:cs="仿宋"/>
                <w:sz w:val="24"/>
                <w:szCs w:val="24"/>
              </w:rPr>
            </w:pPr>
          </w:p>
        </w:tc>
      </w:tr>
      <w:tr w14:paraId="773A0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Align w:val="center"/>
          </w:tcPr>
          <w:p w14:paraId="1647B00F">
            <w:pPr>
              <w:spacing w:before="240" w:after="240" w:line="360" w:lineRule="auto"/>
              <w:rPr>
                <w:rFonts w:ascii="仿宋" w:hAnsi="仿宋" w:eastAsia="仿宋" w:cs="仿宋"/>
                <w:sz w:val="24"/>
                <w:szCs w:val="24"/>
              </w:rPr>
            </w:pPr>
          </w:p>
        </w:tc>
        <w:tc>
          <w:tcPr>
            <w:tcW w:w="1902" w:type="dxa"/>
            <w:vAlign w:val="center"/>
          </w:tcPr>
          <w:p w14:paraId="340730E3">
            <w:pPr>
              <w:spacing w:before="240" w:after="240" w:line="360" w:lineRule="auto"/>
              <w:rPr>
                <w:rFonts w:ascii="仿宋" w:hAnsi="仿宋" w:eastAsia="仿宋" w:cs="仿宋"/>
                <w:sz w:val="24"/>
                <w:szCs w:val="24"/>
              </w:rPr>
            </w:pPr>
          </w:p>
        </w:tc>
        <w:tc>
          <w:tcPr>
            <w:tcW w:w="2382" w:type="dxa"/>
            <w:vAlign w:val="center"/>
          </w:tcPr>
          <w:p w14:paraId="29A7A774">
            <w:pPr>
              <w:spacing w:before="240" w:after="240" w:line="360" w:lineRule="auto"/>
              <w:rPr>
                <w:rFonts w:ascii="仿宋" w:hAnsi="仿宋" w:eastAsia="仿宋" w:cs="仿宋"/>
                <w:sz w:val="24"/>
                <w:szCs w:val="24"/>
              </w:rPr>
            </w:pPr>
          </w:p>
        </w:tc>
        <w:tc>
          <w:tcPr>
            <w:tcW w:w="2629" w:type="dxa"/>
            <w:vAlign w:val="center"/>
          </w:tcPr>
          <w:p w14:paraId="01CB3F4F">
            <w:pPr>
              <w:spacing w:before="240" w:after="240" w:line="360" w:lineRule="auto"/>
              <w:rPr>
                <w:rFonts w:ascii="仿宋" w:hAnsi="仿宋" w:eastAsia="仿宋" w:cs="仿宋"/>
                <w:sz w:val="24"/>
                <w:szCs w:val="24"/>
              </w:rPr>
            </w:pPr>
          </w:p>
        </w:tc>
        <w:tc>
          <w:tcPr>
            <w:tcW w:w="1080" w:type="dxa"/>
            <w:vAlign w:val="center"/>
          </w:tcPr>
          <w:p w14:paraId="2B70EE51">
            <w:pPr>
              <w:spacing w:before="240" w:after="240" w:line="360" w:lineRule="auto"/>
              <w:rPr>
                <w:rFonts w:ascii="仿宋" w:hAnsi="仿宋" w:eastAsia="仿宋" w:cs="仿宋"/>
                <w:sz w:val="24"/>
                <w:szCs w:val="24"/>
              </w:rPr>
            </w:pPr>
          </w:p>
        </w:tc>
      </w:tr>
      <w:bookmarkEnd w:id="130"/>
    </w:tbl>
    <w:p w14:paraId="50E701E1">
      <w:pPr>
        <w:adjustRightInd w:val="0"/>
        <w:snapToGrid w:val="0"/>
        <w:spacing w:line="360" w:lineRule="auto"/>
        <w:rPr>
          <w:rFonts w:ascii="仿宋" w:hAnsi="仿宋" w:eastAsia="仿宋" w:cs="仿宋"/>
          <w:sz w:val="24"/>
          <w:szCs w:val="24"/>
        </w:rPr>
      </w:pPr>
    </w:p>
    <w:p w14:paraId="11D3600F">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供应商名称：</w:t>
      </w:r>
      <w:r>
        <w:rPr>
          <w:rFonts w:hint="eastAsia" w:ascii="仿宋" w:hAnsi="仿宋" w:eastAsia="仿宋" w:cs="仿宋"/>
          <w:sz w:val="24"/>
          <w:szCs w:val="24"/>
          <w:u w:val="single"/>
        </w:rPr>
        <w:t xml:space="preserve">   （加盖供应商公章）    </w:t>
      </w:r>
    </w:p>
    <w:p w14:paraId="0BB6C081">
      <w:pPr>
        <w:adjustRightInd w:val="0"/>
        <w:snapToGrid w:val="0"/>
        <w:spacing w:line="360" w:lineRule="auto"/>
        <w:rPr>
          <w:rFonts w:ascii="仿宋" w:hAnsi="仿宋" w:eastAsia="仿宋" w:cs="仿宋"/>
          <w:sz w:val="24"/>
          <w:szCs w:val="24"/>
        </w:rPr>
      </w:pPr>
    </w:p>
    <w:p w14:paraId="3E241709">
      <w:pPr>
        <w:adjustRightInd w:val="0"/>
        <w:snapToGrid w:val="0"/>
        <w:spacing w:line="360" w:lineRule="auto"/>
        <w:rPr>
          <w:rFonts w:ascii="仿宋" w:hAnsi="仿宋" w:eastAsia="仿宋" w:cs="仿宋"/>
          <w:b/>
          <w:bCs/>
          <w:sz w:val="24"/>
          <w:szCs w:val="24"/>
        </w:rPr>
      </w:pPr>
      <w:r>
        <w:rPr>
          <w:rFonts w:hint="eastAsia" w:ascii="仿宋" w:hAnsi="仿宋" w:eastAsia="仿宋" w:cs="仿宋"/>
          <w:sz w:val="24"/>
          <w:szCs w:val="24"/>
        </w:rPr>
        <w:t>授权委托人（或法定代表人）签名或盖章：</w:t>
      </w:r>
    </w:p>
    <w:p w14:paraId="51E320D7">
      <w:pPr>
        <w:tabs>
          <w:tab w:val="left" w:pos="3414"/>
        </w:tabs>
        <w:spacing w:line="360" w:lineRule="auto"/>
        <w:rPr>
          <w:rFonts w:ascii="仿宋" w:hAnsi="仿宋" w:eastAsia="仿宋" w:cs="仿宋"/>
          <w:sz w:val="24"/>
          <w:szCs w:val="24"/>
        </w:rPr>
      </w:pPr>
      <w:r>
        <w:rPr>
          <w:rFonts w:hint="eastAsia" w:ascii="仿宋" w:hAnsi="仿宋" w:eastAsia="仿宋" w:cs="仿宋"/>
          <w:sz w:val="24"/>
          <w:szCs w:val="24"/>
        </w:rPr>
        <w:br w:type="page"/>
      </w:r>
      <w:bookmarkStart w:id="131" w:name="_Hlk525933576"/>
    </w:p>
    <w:p w14:paraId="592BE83F">
      <w:pPr>
        <w:tabs>
          <w:tab w:val="left" w:pos="3414"/>
        </w:tabs>
        <w:spacing w:line="360" w:lineRule="auto"/>
        <w:jc w:val="center"/>
        <w:rPr>
          <w:rFonts w:ascii="仿宋" w:hAnsi="仿宋" w:eastAsia="仿宋" w:cs="仿宋"/>
          <w:b/>
          <w:sz w:val="24"/>
          <w:szCs w:val="24"/>
        </w:rPr>
      </w:pPr>
      <w:r>
        <w:rPr>
          <w:rFonts w:hint="eastAsia" w:ascii="仿宋" w:hAnsi="仿宋" w:eastAsia="仿宋" w:cs="仿宋"/>
          <w:b/>
          <w:sz w:val="24"/>
          <w:szCs w:val="24"/>
        </w:rPr>
        <w:t>格式5、评标办法评分细则内各评分项所需证明材料</w:t>
      </w:r>
    </w:p>
    <w:p w14:paraId="13BC3BD1">
      <w:pPr>
        <w:spacing w:line="360" w:lineRule="auto"/>
        <w:ind w:firstLine="482" w:firstLineChars="200"/>
        <w:jc w:val="left"/>
        <w:rPr>
          <w:rFonts w:ascii="仿宋" w:hAnsi="仿宋" w:eastAsia="仿宋" w:cs="仿宋"/>
          <w:b/>
          <w:bCs/>
          <w:sz w:val="24"/>
          <w:szCs w:val="24"/>
        </w:rPr>
      </w:pPr>
      <w:r>
        <w:rPr>
          <w:rFonts w:hint="eastAsia" w:ascii="仿宋" w:hAnsi="仿宋" w:eastAsia="仿宋" w:cs="仿宋"/>
          <w:b/>
          <w:sz w:val="24"/>
          <w:szCs w:val="24"/>
        </w:rPr>
        <w:t>供应商按照评分项的顺序逐一提供相应的证明材料，每项评分项的证明材料要做好区分，便于评标委员会评审。若因供应商证明材料顺序混乱，位置不清、过多无关材料等原因导致评标委员会无法认定该评分项，则视为供应商为未提供该评分项的证明材料，不予认可该评分项；由此</w:t>
      </w:r>
      <w:r>
        <w:rPr>
          <w:rFonts w:hint="eastAsia" w:ascii="仿宋" w:hAnsi="仿宋" w:eastAsia="仿宋" w:cs="仿宋"/>
          <w:b/>
          <w:bCs/>
          <w:sz w:val="24"/>
          <w:szCs w:val="24"/>
        </w:rPr>
        <w:t>造成的资格审查不通过、不得分等情形由供应商自行承担。</w:t>
      </w:r>
    </w:p>
    <w:p w14:paraId="617E5E0C">
      <w:pPr>
        <w:pStyle w:val="2"/>
        <w:spacing w:line="360" w:lineRule="auto"/>
        <w:ind w:firstLine="480"/>
        <w:rPr>
          <w:rFonts w:ascii="仿宋" w:hAnsi="仿宋" w:eastAsia="仿宋" w:cs="仿宋"/>
          <w:sz w:val="24"/>
          <w:szCs w:val="24"/>
        </w:rPr>
      </w:pPr>
    </w:p>
    <w:p w14:paraId="0DD2B889">
      <w:pPr>
        <w:pStyle w:val="2"/>
        <w:spacing w:line="360" w:lineRule="auto"/>
        <w:ind w:firstLine="480"/>
        <w:rPr>
          <w:rFonts w:ascii="仿宋" w:hAnsi="仿宋" w:eastAsia="仿宋" w:cs="仿宋"/>
          <w:sz w:val="24"/>
          <w:szCs w:val="24"/>
        </w:rPr>
      </w:pPr>
    </w:p>
    <w:p w14:paraId="38B3522D">
      <w:pPr>
        <w:widowControl/>
        <w:jc w:val="left"/>
        <w:rPr>
          <w:rFonts w:ascii="仿宋" w:hAnsi="仿宋" w:eastAsia="仿宋" w:cs="仿宋"/>
          <w:b/>
          <w:sz w:val="24"/>
          <w:szCs w:val="24"/>
        </w:rPr>
      </w:pPr>
      <w:r>
        <w:rPr>
          <w:rFonts w:hint="eastAsia" w:ascii="仿宋" w:hAnsi="仿宋" w:eastAsia="仿宋" w:cs="仿宋"/>
          <w:b/>
          <w:sz w:val="24"/>
          <w:szCs w:val="24"/>
        </w:rPr>
        <w:br w:type="page"/>
      </w:r>
    </w:p>
    <w:p w14:paraId="050D95B3">
      <w:pPr>
        <w:spacing w:line="360" w:lineRule="auto"/>
        <w:jc w:val="center"/>
        <w:rPr>
          <w:rFonts w:ascii="仿宋" w:hAnsi="仿宋" w:eastAsia="仿宋" w:cs="仿宋"/>
          <w:b/>
          <w:sz w:val="24"/>
          <w:szCs w:val="24"/>
        </w:rPr>
      </w:pPr>
      <w:r>
        <w:rPr>
          <w:rFonts w:hint="eastAsia" w:ascii="仿宋" w:hAnsi="仿宋" w:eastAsia="仿宋" w:cs="仿宋"/>
          <w:b/>
          <w:sz w:val="24"/>
          <w:szCs w:val="24"/>
        </w:rPr>
        <w:t>格式6、供应商自评得分表</w:t>
      </w:r>
    </w:p>
    <w:bookmarkEnd w:id="131"/>
    <w:p w14:paraId="30A4C66D">
      <w:pPr>
        <w:spacing w:line="360" w:lineRule="auto"/>
        <w:jc w:val="center"/>
        <w:rPr>
          <w:rFonts w:ascii="仿宋" w:hAnsi="仿宋" w:eastAsia="仿宋" w:cs="仿宋"/>
          <w:b/>
          <w:bCs/>
          <w:sz w:val="24"/>
          <w:szCs w:val="24"/>
        </w:rPr>
      </w:pPr>
      <w:bookmarkStart w:id="132" w:name="_Hlk525933892"/>
      <w:r>
        <w:rPr>
          <w:rFonts w:hint="eastAsia" w:ascii="仿宋" w:hAnsi="仿宋" w:eastAsia="仿宋" w:cs="仿宋"/>
          <w:b/>
          <w:bCs/>
          <w:sz w:val="24"/>
          <w:szCs w:val="24"/>
        </w:rPr>
        <w:t>初步评审自评表</w:t>
      </w:r>
    </w:p>
    <w:tbl>
      <w:tblPr>
        <w:tblStyle w:val="53"/>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54"/>
        <w:gridCol w:w="1932"/>
        <w:gridCol w:w="35"/>
        <w:gridCol w:w="665"/>
        <w:gridCol w:w="2379"/>
        <w:gridCol w:w="1163"/>
        <w:gridCol w:w="2158"/>
        <w:gridCol w:w="13"/>
      </w:tblGrid>
      <w:tr w14:paraId="6CA3D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724" w:type="dxa"/>
            <w:gridSpan w:val="4"/>
            <w:tcBorders>
              <w:top w:val="single" w:color="auto" w:sz="4" w:space="0"/>
              <w:left w:val="single" w:color="auto" w:sz="4" w:space="0"/>
              <w:bottom w:val="single" w:color="auto" w:sz="4" w:space="0"/>
              <w:right w:val="single" w:color="auto" w:sz="4" w:space="0"/>
            </w:tcBorders>
            <w:shd w:val="clear" w:color="auto" w:fill="D8D8D8"/>
            <w:vAlign w:val="center"/>
          </w:tcPr>
          <w:p w14:paraId="4426ED93">
            <w:pPr>
              <w:spacing w:beforeLines="50" w:line="360" w:lineRule="auto"/>
              <w:jc w:val="center"/>
              <w:rPr>
                <w:rFonts w:ascii="仿宋" w:hAnsi="仿宋" w:eastAsia="仿宋" w:cs="仿宋"/>
                <w:b/>
                <w:bCs/>
                <w:sz w:val="24"/>
                <w:szCs w:val="24"/>
              </w:rPr>
            </w:pPr>
            <w:r>
              <w:rPr>
                <w:rFonts w:hint="eastAsia" w:ascii="仿宋" w:hAnsi="仿宋" w:eastAsia="仿宋" w:cs="仿宋"/>
                <w:b/>
                <w:bCs/>
                <w:sz w:val="24"/>
                <w:szCs w:val="24"/>
              </w:rPr>
              <w:t>条款号</w:t>
            </w:r>
          </w:p>
        </w:tc>
        <w:tc>
          <w:tcPr>
            <w:tcW w:w="3044" w:type="dxa"/>
            <w:gridSpan w:val="2"/>
            <w:tcBorders>
              <w:top w:val="single" w:color="auto" w:sz="4" w:space="0"/>
              <w:left w:val="nil"/>
              <w:bottom w:val="single" w:color="auto" w:sz="4" w:space="0"/>
              <w:right w:val="single" w:color="auto" w:sz="4" w:space="0"/>
            </w:tcBorders>
            <w:shd w:val="clear" w:color="auto" w:fill="D8D8D8"/>
            <w:vAlign w:val="center"/>
          </w:tcPr>
          <w:p w14:paraId="76848FC5">
            <w:pPr>
              <w:spacing w:beforeLines="50" w:line="360" w:lineRule="auto"/>
              <w:jc w:val="center"/>
              <w:rPr>
                <w:rFonts w:ascii="仿宋" w:hAnsi="仿宋" w:eastAsia="仿宋" w:cs="仿宋"/>
                <w:b/>
                <w:bCs/>
                <w:sz w:val="24"/>
                <w:szCs w:val="24"/>
              </w:rPr>
            </w:pPr>
            <w:r>
              <w:rPr>
                <w:rFonts w:hint="eastAsia" w:ascii="仿宋" w:hAnsi="仿宋" w:eastAsia="仿宋" w:cs="仿宋"/>
                <w:b/>
                <w:bCs/>
                <w:sz w:val="24"/>
                <w:szCs w:val="24"/>
              </w:rPr>
              <w:t>评审项</w:t>
            </w:r>
          </w:p>
        </w:tc>
        <w:tc>
          <w:tcPr>
            <w:tcW w:w="1163" w:type="dxa"/>
            <w:tcBorders>
              <w:top w:val="single" w:color="auto" w:sz="4" w:space="0"/>
              <w:left w:val="nil"/>
              <w:bottom w:val="single" w:color="auto" w:sz="4" w:space="0"/>
              <w:right w:val="single" w:color="auto" w:sz="4" w:space="0"/>
            </w:tcBorders>
            <w:shd w:val="clear" w:color="auto" w:fill="D8D8D8"/>
            <w:vAlign w:val="center"/>
          </w:tcPr>
          <w:p w14:paraId="2E35D68C">
            <w:pPr>
              <w:spacing w:beforeLines="50" w:line="360" w:lineRule="auto"/>
              <w:jc w:val="center"/>
              <w:rPr>
                <w:rFonts w:ascii="仿宋" w:hAnsi="仿宋" w:eastAsia="仿宋" w:cs="仿宋"/>
                <w:b/>
                <w:bCs/>
                <w:sz w:val="24"/>
                <w:szCs w:val="24"/>
              </w:rPr>
            </w:pPr>
            <w:r>
              <w:rPr>
                <w:rFonts w:hint="eastAsia" w:ascii="仿宋" w:hAnsi="仿宋" w:eastAsia="仿宋" w:cs="仿宋"/>
                <w:b/>
                <w:bCs/>
                <w:sz w:val="24"/>
                <w:szCs w:val="24"/>
              </w:rPr>
              <w:t>是否响应</w:t>
            </w:r>
          </w:p>
        </w:tc>
        <w:tc>
          <w:tcPr>
            <w:tcW w:w="2171" w:type="dxa"/>
            <w:gridSpan w:val="2"/>
            <w:tcBorders>
              <w:top w:val="single" w:color="auto" w:sz="4" w:space="0"/>
              <w:left w:val="nil"/>
              <w:bottom w:val="single" w:color="auto" w:sz="4" w:space="0"/>
              <w:right w:val="single" w:color="auto" w:sz="4" w:space="0"/>
            </w:tcBorders>
            <w:shd w:val="clear" w:color="auto" w:fill="D8D8D8"/>
          </w:tcPr>
          <w:p w14:paraId="3B194644">
            <w:pPr>
              <w:spacing w:beforeLines="50" w:line="360" w:lineRule="auto"/>
              <w:jc w:val="center"/>
              <w:rPr>
                <w:rFonts w:ascii="仿宋" w:hAnsi="仿宋" w:eastAsia="仿宋" w:cs="仿宋"/>
                <w:b/>
                <w:bCs/>
                <w:sz w:val="24"/>
                <w:szCs w:val="24"/>
              </w:rPr>
            </w:pPr>
            <w:r>
              <w:rPr>
                <w:rFonts w:hint="eastAsia" w:ascii="仿宋" w:hAnsi="仿宋" w:eastAsia="仿宋" w:cs="仿宋"/>
                <w:b/>
                <w:bCs/>
                <w:sz w:val="24"/>
                <w:szCs w:val="24"/>
              </w:rPr>
              <w:t>所在投标文件位置</w:t>
            </w:r>
          </w:p>
        </w:tc>
      </w:tr>
      <w:tr w14:paraId="7C539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57" w:type="dxa"/>
            <w:gridSpan w:val="2"/>
            <w:vMerge w:val="restart"/>
            <w:tcBorders>
              <w:top w:val="nil"/>
              <w:left w:val="single" w:color="auto" w:sz="4" w:space="0"/>
              <w:bottom w:val="single" w:color="auto" w:sz="4" w:space="0"/>
              <w:right w:val="single" w:color="auto" w:sz="4" w:space="0"/>
            </w:tcBorders>
            <w:vAlign w:val="center"/>
          </w:tcPr>
          <w:p w14:paraId="6C2E2825">
            <w:pPr>
              <w:spacing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1967" w:type="dxa"/>
            <w:gridSpan w:val="2"/>
            <w:vMerge w:val="restart"/>
            <w:tcBorders>
              <w:top w:val="nil"/>
              <w:left w:val="nil"/>
              <w:bottom w:val="single" w:color="auto" w:sz="4" w:space="0"/>
              <w:right w:val="single" w:color="auto" w:sz="4" w:space="0"/>
            </w:tcBorders>
            <w:vAlign w:val="center"/>
          </w:tcPr>
          <w:p w14:paraId="31580AC8">
            <w:pPr>
              <w:spacing w:beforeLines="50" w:line="360" w:lineRule="auto"/>
              <w:jc w:val="center"/>
              <w:rPr>
                <w:rFonts w:ascii="仿宋" w:hAnsi="仿宋" w:eastAsia="仿宋" w:cs="仿宋"/>
                <w:sz w:val="24"/>
                <w:szCs w:val="24"/>
              </w:rPr>
            </w:pPr>
            <w:r>
              <w:rPr>
                <w:rFonts w:hint="eastAsia" w:ascii="仿宋" w:hAnsi="仿宋" w:eastAsia="仿宋" w:cs="仿宋"/>
                <w:sz w:val="24"/>
                <w:szCs w:val="24"/>
              </w:rPr>
              <w:t>形式评审</w:t>
            </w:r>
          </w:p>
        </w:tc>
        <w:tc>
          <w:tcPr>
            <w:tcW w:w="3044" w:type="dxa"/>
            <w:gridSpan w:val="2"/>
            <w:tcBorders>
              <w:top w:val="single" w:color="auto" w:sz="4" w:space="0"/>
              <w:left w:val="nil"/>
              <w:bottom w:val="single" w:color="auto" w:sz="4" w:space="0"/>
              <w:right w:val="single" w:color="auto" w:sz="4" w:space="0"/>
            </w:tcBorders>
            <w:vAlign w:val="center"/>
          </w:tcPr>
          <w:p w14:paraId="2AFF2820">
            <w:pPr>
              <w:spacing w:beforeLines="50" w:line="360" w:lineRule="auto"/>
              <w:jc w:val="center"/>
              <w:rPr>
                <w:rFonts w:ascii="仿宋" w:hAnsi="仿宋" w:eastAsia="仿宋" w:cs="仿宋"/>
                <w:sz w:val="24"/>
                <w:szCs w:val="24"/>
              </w:rPr>
            </w:pPr>
            <w:r>
              <w:rPr>
                <w:rFonts w:hint="eastAsia" w:ascii="仿宋" w:hAnsi="仿宋" w:eastAsia="仿宋" w:cs="仿宋"/>
                <w:sz w:val="24"/>
                <w:szCs w:val="24"/>
              </w:rPr>
              <w:t>三证合一的营业执照</w:t>
            </w:r>
          </w:p>
        </w:tc>
        <w:tc>
          <w:tcPr>
            <w:tcW w:w="1163" w:type="dxa"/>
            <w:tcBorders>
              <w:top w:val="single" w:color="auto" w:sz="4" w:space="0"/>
              <w:left w:val="nil"/>
              <w:bottom w:val="single" w:color="auto" w:sz="4" w:space="0"/>
              <w:right w:val="single" w:color="auto" w:sz="4" w:space="0"/>
            </w:tcBorders>
            <w:vAlign w:val="center"/>
          </w:tcPr>
          <w:p w14:paraId="4C9DF399">
            <w:pPr>
              <w:spacing w:beforeLines="50" w:line="360" w:lineRule="auto"/>
              <w:jc w:val="center"/>
              <w:rPr>
                <w:rFonts w:ascii="仿宋" w:hAnsi="仿宋" w:eastAsia="仿宋" w:cs="仿宋"/>
                <w:sz w:val="24"/>
                <w:szCs w:val="24"/>
              </w:rPr>
            </w:pPr>
          </w:p>
        </w:tc>
        <w:tc>
          <w:tcPr>
            <w:tcW w:w="2171" w:type="dxa"/>
            <w:gridSpan w:val="2"/>
            <w:tcBorders>
              <w:top w:val="single" w:color="auto" w:sz="4" w:space="0"/>
              <w:left w:val="nil"/>
              <w:bottom w:val="single" w:color="auto" w:sz="4" w:space="0"/>
              <w:right w:val="single" w:color="auto" w:sz="4" w:space="0"/>
            </w:tcBorders>
          </w:tcPr>
          <w:p w14:paraId="58848F11">
            <w:pPr>
              <w:spacing w:beforeLines="50" w:line="360" w:lineRule="auto"/>
              <w:jc w:val="center"/>
              <w:rPr>
                <w:rFonts w:ascii="仿宋" w:hAnsi="仿宋" w:eastAsia="仿宋" w:cs="仿宋"/>
                <w:sz w:val="24"/>
                <w:szCs w:val="24"/>
              </w:rPr>
            </w:pPr>
          </w:p>
        </w:tc>
      </w:tr>
      <w:tr w14:paraId="06C77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57" w:type="dxa"/>
            <w:gridSpan w:val="2"/>
            <w:vMerge w:val="continue"/>
            <w:tcBorders>
              <w:top w:val="nil"/>
              <w:left w:val="single" w:color="auto" w:sz="4" w:space="0"/>
              <w:bottom w:val="single" w:color="auto" w:sz="4" w:space="0"/>
              <w:right w:val="single" w:color="auto" w:sz="4" w:space="0"/>
            </w:tcBorders>
            <w:vAlign w:val="center"/>
          </w:tcPr>
          <w:p w14:paraId="4340767C">
            <w:pPr>
              <w:widowControl/>
              <w:spacing w:line="360" w:lineRule="auto"/>
              <w:rPr>
                <w:rFonts w:ascii="仿宋" w:hAnsi="仿宋" w:eastAsia="仿宋" w:cs="仿宋"/>
                <w:sz w:val="24"/>
                <w:szCs w:val="24"/>
              </w:rPr>
            </w:pPr>
          </w:p>
        </w:tc>
        <w:tc>
          <w:tcPr>
            <w:tcW w:w="1967" w:type="dxa"/>
            <w:gridSpan w:val="2"/>
            <w:vMerge w:val="continue"/>
            <w:tcBorders>
              <w:top w:val="nil"/>
              <w:left w:val="nil"/>
              <w:bottom w:val="single" w:color="auto" w:sz="4" w:space="0"/>
              <w:right w:val="single" w:color="auto" w:sz="4" w:space="0"/>
            </w:tcBorders>
            <w:vAlign w:val="center"/>
          </w:tcPr>
          <w:p w14:paraId="5689743E">
            <w:pPr>
              <w:widowControl/>
              <w:spacing w:beforeLines="50" w:line="360" w:lineRule="auto"/>
              <w:rPr>
                <w:rFonts w:ascii="仿宋" w:hAnsi="仿宋" w:eastAsia="仿宋" w:cs="仿宋"/>
                <w:sz w:val="24"/>
                <w:szCs w:val="24"/>
              </w:rPr>
            </w:pPr>
          </w:p>
        </w:tc>
        <w:tc>
          <w:tcPr>
            <w:tcW w:w="3044" w:type="dxa"/>
            <w:gridSpan w:val="2"/>
            <w:tcBorders>
              <w:top w:val="single" w:color="auto" w:sz="4" w:space="0"/>
              <w:left w:val="nil"/>
              <w:bottom w:val="single" w:color="auto" w:sz="4" w:space="0"/>
              <w:right w:val="single" w:color="auto" w:sz="4" w:space="0"/>
            </w:tcBorders>
            <w:vAlign w:val="center"/>
          </w:tcPr>
          <w:p w14:paraId="3B4911D1">
            <w:pPr>
              <w:spacing w:beforeLines="50" w:line="360" w:lineRule="auto"/>
              <w:jc w:val="center"/>
              <w:rPr>
                <w:rFonts w:ascii="仿宋" w:hAnsi="仿宋" w:eastAsia="仿宋" w:cs="仿宋"/>
                <w:sz w:val="24"/>
                <w:szCs w:val="24"/>
              </w:rPr>
            </w:pPr>
            <w:r>
              <w:rPr>
                <w:rFonts w:hint="eastAsia" w:ascii="仿宋" w:hAnsi="仿宋" w:eastAsia="仿宋" w:cs="仿宋"/>
                <w:sz w:val="24"/>
                <w:szCs w:val="24"/>
              </w:rPr>
              <w:t>投标函</w:t>
            </w:r>
          </w:p>
        </w:tc>
        <w:tc>
          <w:tcPr>
            <w:tcW w:w="1163" w:type="dxa"/>
            <w:tcBorders>
              <w:top w:val="single" w:color="auto" w:sz="4" w:space="0"/>
              <w:left w:val="nil"/>
              <w:bottom w:val="single" w:color="auto" w:sz="4" w:space="0"/>
              <w:right w:val="single" w:color="auto" w:sz="4" w:space="0"/>
            </w:tcBorders>
            <w:vAlign w:val="center"/>
          </w:tcPr>
          <w:p w14:paraId="2D5A2EC3">
            <w:pPr>
              <w:spacing w:beforeLines="50" w:line="360" w:lineRule="auto"/>
              <w:jc w:val="center"/>
              <w:rPr>
                <w:rFonts w:ascii="仿宋" w:hAnsi="仿宋" w:eastAsia="仿宋" w:cs="仿宋"/>
                <w:sz w:val="24"/>
                <w:szCs w:val="24"/>
              </w:rPr>
            </w:pPr>
          </w:p>
        </w:tc>
        <w:tc>
          <w:tcPr>
            <w:tcW w:w="2171" w:type="dxa"/>
            <w:gridSpan w:val="2"/>
            <w:tcBorders>
              <w:top w:val="single" w:color="auto" w:sz="4" w:space="0"/>
              <w:left w:val="nil"/>
              <w:bottom w:val="single" w:color="auto" w:sz="4" w:space="0"/>
              <w:right w:val="single" w:color="auto" w:sz="4" w:space="0"/>
            </w:tcBorders>
          </w:tcPr>
          <w:p w14:paraId="781B7054">
            <w:pPr>
              <w:spacing w:beforeLines="50" w:line="360" w:lineRule="auto"/>
              <w:jc w:val="center"/>
              <w:rPr>
                <w:rFonts w:ascii="仿宋" w:hAnsi="仿宋" w:eastAsia="仿宋" w:cs="仿宋"/>
                <w:sz w:val="24"/>
                <w:szCs w:val="24"/>
              </w:rPr>
            </w:pPr>
          </w:p>
        </w:tc>
      </w:tr>
      <w:tr w14:paraId="5A9BE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57" w:type="dxa"/>
            <w:gridSpan w:val="2"/>
            <w:tcBorders>
              <w:top w:val="single" w:color="auto" w:sz="4" w:space="0"/>
              <w:left w:val="single" w:color="auto" w:sz="4" w:space="0"/>
              <w:bottom w:val="single" w:color="auto" w:sz="4" w:space="0"/>
              <w:right w:val="single" w:color="auto" w:sz="4" w:space="0"/>
            </w:tcBorders>
            <w:vAlign w:val="center"/>
          </w:tcPr>
          <w:p w14:paraId="5B17F039">
            <w:pPr>
              <w:spacing w:line="360" w:lineRule="auto"/>
              <w:jc w:val="center"/>
              <w:rPr>
                <w:rFonts w:ascii="仿宋" w:hAnsi="仿宋" w:eastAsia="仿宋" w:cs="仿宋"/>
                <w:sz w:val="24"/>
                <w:szCs w:val="24"/>
              </w:rPr>
            </w:pPr>
            <w:r>
              <w:rPr>
                <w:rFonts w:hint="eastAsia" w:ascii="仿宋" w:hAnsi="仿宋" w:eastAsia="仿宋" w:cs="仿宋"/>
                <w:sz w:val="24"/>
                <w:szCs w:val="24"/>
              </w:rPr>
              <w:t>2</w:t>
            </w:r>
          </w:p>
        </w:tc>
        <w:tc>
          <w:tcPr>
            <w:tcW w:w="1967" w:type="dxa"/>
            <w:gridSpan w:val="2"/>
            <w:tcBorders>
              <w:top w:val="single" w:color="auto" w:sz="4" w:space="0"/>
              <w:left w:val="nil"/>
              <w:bottom w:val="single" w:color="auto" w:sz="4" w:space="0"/>
              <w:right w:val="single" w:color="auto" w:sz="4" w:space="0"/>
            </w:tcBorders>
            <w:vAlign w:val="center"/>
          </w:tcPr>
          <w:p w14:paraId="250BBCDC">
            <w:pPr>
              <w:spacing w:beforeLines="50" w:line="360" w:lineRule="auto"/>
              <w:jc w:val="center"/>
              <w:rPr>
                <w:rFonts w:ascii="仿宋" w:hAnsi="仿宋" w:eastAsia="仿宋" w:cs="仿宋"/>
                <w:sz w:val="24"/>
                <w:szCs w:val="24"/>
              </w:rPr>
            </w:pPr>
            <w:r>
              <w:rPr>
                <w:rFonts w:hint="eastAsia" w:ascii="仿宋" w:hAnsi="仿宋" w:eastAsia="仿宋" w:cs="仿宋"/>
                <w:sz w:val="24"/>
                <w:szCs w:val="24"/>
              </w:rPr>
              <w:t>资格评审</w:t>
            </w:r>
          </w:p>
        </w:tc>
        <w:tc>
          <w:tcPr>
            <w:tcW w:w="3044" w:type="dxa"/>
            <w:gridSpan w:val="2"/>
            <w:tcBorders>
              <w:top w:val="single" w:color="auto" w:sz="4" w:space="0"/>
              <w:left w:val="nil"/>
              <w:bottom w:val="single" w:color="auto" w:sz="4" w:space="0"/>
              <w:right w:val="single" w:color="auto" w:sz="4" w:space="0"/>
            </w:tcBorders>
            <w:vAlign w:val="center"/>
          </w:tcPr>
          <w:p w14:paraId="410B9393">
            <w:pPr>
              <w:spacing w:beforeLines="50" w:line="360" w:lineRule="auto"/>
              <w:jc w:val="center"/>
              <w:rPr>
                <w:rFonts w:ascii="仿宋" w:hAnsi="仿宋" w:eastAsia="仿宋" w:cs="仿宋"/>
                <w:sz w:val="24"/>
                <w:szCs w:val="24"/>
              </w:rPr>
            </w:pPr>
            <w:r>
              <w:rPr>
                <w:rFonts w:hint="eastAsia" w:ascii="仿宋" w:hAnsi="仿宋" w:eastAsia="仿宋" w:cs="仿宋"/>
                <w:sz w:val="24"/>
                <w:szCs w:val="24"/>
              </w:rPr>
              <w:t>供应商信誉要求</w:t>
            </w:r>
          </w:p>
        </w:tc>
        <w:tc>
          <w:tcPr>
            <w:tcW w:w="1163" w:type="dxa"/>
            <w:tcBorders>
              <w:top w:val="single" w:color="auto" w:sz="4" w:space="0"/>
              <w:left w:val="nil"/>
              <w:bottom w:val="single" w:color="auto" w:sz="4" w:space="0"/>
              <w:right w:val="single" w:color="auto" w:sz="4" w:space="0"/>
            </w:tcBorders>
            <w:vAlign w:val="center"/>
          </w:tcPr>
          <w:p w14:paraId="33DF90D2">
            <w:pPr>
              <w:spacing w:beforeLines="50" w:line="360" w:lineRule="auto"/>
              <w:jc w:val="center"/>
              <w:rPr>
                <w:rFonts w:ascii="仿宋" w:hAnsi="仿宋" w:eastAsia="仿宋" w:cs="仿宋"/>
                <w:sz w:val="24"/>
                <w:szCs w:val="24"/>
              </w:rPr>
            </w:pPr>
          </w:p>
        </w:tc>
        <w:tc>
          <w:tcPr>
            <w:tcW w:w="2171" w:type="dxa"/>
            <w:gridSpan w:val="2"/>
            <w:tcBorders>
              <w:top w:val="single" w:color="auto" w:sz="4" w:space="0"/>
              <w:left w:val="nil"/>
              <w:bottom w:val="single" w:color="auto" w:sz="4" w:space="0"/>
              <w:right w:val="single" w:color="auto" w:sz="4" w:space="0"/>
            </w:tcBorders>
          </w:tcPr>
          <w:p w14:paraId="161AD161">
            <w:pPr>
              <w:spacing w:beforeLines="50" w:line="360" w:lineRule="auto"/>
              <w:jc w:val="center"/>
              <w:rPr>
                <w:rFonts w:ascii="仿宋" w:hAnsi="仿宋" w:eastAsia="仿宋" w:cs="仿宋"/>
                <w:sz w:val="24"/>
                <w:szCs w:val="24"/>
              </w:rPr>
            </w:pPr>
          </w:p>
        </w:tc>
      </w:tr>
      <w:tr w14:paraId="6A9E2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57" w:type="dxa"/>
            <w:gridSpan w:val="2"/>
            <w:vMerge w:val="restart"/>
            <w:tcBorders>
              <w:top w:val="nil"/>
              <w:left w:val="single" w:color="auto" w:sz="4" w:space="0"/>
              <w:bottom w:val="single" w:color="auto" w:sz="4" w:space="0"/>
              <w:right w:val="single" w:color="auto" w:sz="4" w:space="0"/>
            </w:tcBorders>
            <w:vAlign w:val="center"/>
          </w:tcPr>
          <w:p w14:paraId="3E841164">
            <w:pPr>
              <w:spacing w:line="360" w:lineRule="auto"/>
              <w:jc w:val="center"/>
              <w:rPr>
                <w:rFonts w:ascii="仿宋" w:hAnsi="仿宋" w:eastAsia="仿宋" w:cs="仿宋"/>
                <w:sz w:val="24"/>
                <w:szCs w:val="24"/>
              </w:rPr>
            </w:pPr>
            <w:r>
              <w:rPr>
                <w:rFonts w:hint="eastAsia" w:ascii="仿宋" w:hAnsi="仿宋" w:eastAsia="仿宋" w:cs="仿宋"/>
                <w:sz w:val="24"/>
                <w:szCs w:val="24"/>
              </w:rPr>
              <w:t>3</w:t>
            </w:r>
          </w:p>
        </w:tc>
        <w:tc>
          <w:tcPr>
            <w:tcW w:w="1967" w:type="dxa"/>
            <w:gridSpan w:val="2"/>
            <w:vMerge w:val="restart"/>
            <w:tcBorders>
              <w:top w:val="nil"/>
              <w:left w:val="nil"/>
              <w:bottom w:val="single" w:color="auto" w:sz="4" w:space="0"/>
              <w:right w:val="single" w:color="auto" w:sz="4" w:space="0"/>
            </w:tcBorders>
            <w:vAlign w:val="center"/>
          </w:tcPr>
          <w:p w14:paraId="4F844874">
            <w:pPr>
              <w:spacing w:beforeLines="50" w:line="360" w:lineRule="auto"/>
              <w:jc w:val="center"/>
              <w:rPr>
                <w:rFonts w:ascii="仿宋" w:hAnsi="仿宋" w:eastAsia="仿宋" w:cs="仿宋"/>
                <w:sz w:val="24"/>
                <w:szCs w:val="24"/>
              </w:rPr>
            </w:pPr>
            <w:r>
              <w:rPr>
                <w:rFonts w:hint="eastAsia" w:ascii="仿宋" w:hAnsi="仿宋" w:eastAsia="仿宋" w:cs="仿宋"/>
                <w:sz w:val="24"/>
                <w:szCs w:val="24"/>
              </w:rPr>
              <w:t>响应性评审</w:t>
            </w:r>
          </w:p>
        </w:tc>
        <w:tc>
          <w:tcPr>
            <w:tcW w:w="3044" w:type="dxa"/>
            <w:gridSpan w:val="2"/>
            <w:tcBorders>
              <w:top w:val="single" w:color="auto" w:sz="4" w:space="0"/>
              <w:left w:val="nil"/>
              <w:bottom w:val="single" w:color="auto" w:sz="4" w:space="0"/>
              <w:right w:val="single" w:color="auto" w:sz="4" w:space="0"/>
            </w:tcBorders>
            <w:vAlign w:val="center"/>
          </w:tcPr>
          <w:p w14:paraId="7B84D5E9">
            <w:pPr>
              <w:spacing w:beforeLines="50" w:line="360" w:lineRule="auto"/>
              <w:jc w:val="center"/>
              <w:rPr>
                <w:rFonts w:ascii="仿宋" w:hAnsi="仿宋" w:eastAsia="仿宋" w:cs="仿宋"/>
                <w:sz w:val="24"/>
                <w:szCs w:val="24"/>
              </w:rPr>
            </w:pPr>
            <w:r>
              <w:rPr>
                <w:rFonts w:hint="eastAsia" w:ascii="仿宋" w:hAnsi="仿宋" w:eastAsia="仿宋" w:cs="仿宋"/>
                <w:sz w:val="24"/>
                <w:szCs w:val="24"/>
              </w:rPr>
              <w:t>投标报价</w:t>
            </w:r>
          </w:p>
        </w:tc>
        <w:tc>
          <w:tcPr>
            <w:tcW w:w="1163" w:type="dxa"/>
            <w:tcBorders>
              <w:top w:val="single" w:color="auto" w:sz="4" w:space="0"/>
              <w:left w:val="nil"/>
              <w:bottom w:val="single" w:color="auto" w:sz="4" w:space="0"/>
              <w:right w:val="single" w:color="auto" w:sz="4" w:space="0"/>
            </w:tcBorders>
            <w:vAlign w:val="center"/>
          </w:tcPr>
          <w:p w14:paraId="271392D4">
            <w:pPr>
              <w:spacing w:beforeLines="50" w:line="360" w:lineRule="auto"/>
              <w:jc w:val="center"/>
              <w:rPr>
                <w:rFonts w:ascii="仿宋" w:hAnsi="仿宋" w:eastAsia="仿宋" w:cs="仿宋"/>
                <w:sz w:val="24"/>
                <w:szCs w:val="24"/>
              </w:rPr>
            </w:pPr>
          </w:p>
        </w:tc>
        <w:tc>
          <w:tcPr>
            <w:tcW w:w="2171" w:type="dxa"/>
            <w:gridSpan w:val="2"/>
            <w:tcBorders>
              <w:top w:val="single" w:color="auto" w:sz="4" w:space="0"/>
              <w:left w:val="nil"/>
              <w:bottom w:val="single" w:color="auto" w:sz="4" w:space="0"/>
              <w:right w:val="single" w:color="auto" w:sz="4" w:space="0"/>
            </w:tcBorders>
          </w:tcPr>
          <w:p w14:paraId="393AC091">
            <w:pPr>
              <w:spacing w:beforeLines="50" w:line="360" w:lineRule="auto"/>
              <w:jc w:val="center"/>
              <w:rPr>
                <w:rFonts w:ascii="仿宋" w:hAnsi="仿宋" w:eastAsia="仿宋" w:cs="仿宋"/>
                <w:sz w:val="24"/>
                <w:szCs w:val="24"/>
              </w:rPr>
            </w:pPr>
          </w:p>
        </w:tc>
      </w:tr>
      <w:tr w14:paraId="11FE6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57" w:type="dxa"/>
            <w:gridSpan w:val="2"/>
            <w:vMerge w:val="continue"/>
            <w:tcBorders>
              <w:top w:val="nil"/>
              <w:left w:val="single" w:color="auto" w:sz="4" w:space="0"/>
              <w:bottom w:val="single" w:color="auto" w:sz="4" w:space="0"/>
              <w:right w:val="single" w:color="auto" w:sz="4" w:space="0"/>
            </w:tcBorders>
            <w:vAlign w:val="center"/>
          </w:tcPr>
          <w:p w14:paraId="12680D43">
            <w:pPr>
              <w:widowControl/>
              <w:spacing w:line="360" w:lineRule="auto"/>
              <w:rPr>
                <w:rFonts w:ascii="仿宋" w:hAnsi="仿宋" w:eastAsia="仿宋" w:cs="仿宋"/>
                <w:sz w:val="24"/>
                <w:szCs w:val="24"/>
              </w:rPr>
            </w:pPr>
          </w:p>
        </w:tc>
        <w:tc>
          <w:tcPr>
            <w:tcW w:w="1967" w:type="dxa"/>
            <w:gridSpan w:val="2"/>
            <w:vMerge w:val="continue"/>
            <w:tcBorders>
              <w:top w:val="nil"/>
              <w:left w:val="nil"/>
              <w:bottom w:val="single" w:color="auto" w:sz="4" w:space="0"/>
              <w:right w:val="single" w:color="auto" w:sz="4" w:space="0"/>
            </w:tcBorders>
            <w:vAlign w:val="center"/>
          </w:tcPr>
          <w:p w14:paraId="40F1F716">
            <w:pPr>
              <w:widowControl/>
              <w:spacing w:beforeLines="50" w:line="360" w:lineRule="auto"/>
              <w:rPr>
                <w:rFonts w:ascii="仿宋" w:hAnsi="仿宋" w:eastAsia="仿宋" w:cs="仿宋"/>
                <w:sz w:val="24"/>
                <w:szCs w:val="24"/>
              </w:rPr>
            </w:pPr>
          </w:p>
        </w:tc>
        <w:tc>
          <w:tcPr>
            <w:tcW w:w="3044" w:type="dxa"/>
            <w:gridSpan w:val="2"/>
            <w:tcBorders>
              <w:top w:val="single" w:color="auto" w:sz="4" w:space="0"/>
              <w:left w:val="nil"/>
              <w:bottom w:val="single" w:color="auto" w:sz="4" w:space="0"/>
              <w:right w:val="single" w:color="auto" w:sz="4" w:space="0"/>
            </w:tcBorders>
            <w:vAlign w:val="center"/>
          </w:tcPr>
          <w:p w14:paraId="4B5C82D8">
            <w:pPr>
              <w:spacing w:beforeLines="50" w:line="360" w:lineRule="auto"/>
              <w:jc w:val="center"/>
              <w:rPr>
                <w:rFonts w:ascii="仿宋" w:hAnsi="仿宋" w:eastAsia="仿宋" w:cs="仿宋"/>
                <w:sz w:val="24"/>
                <w:szCs w:val="24"/>
              </w:rPr>
            </w:pPr>
            <w:r>
              <w:rPr>
                <w:rFonts w:hint="eastAsia" w:ascii="仿宋" w:hAnsi="仿宋" w:eastAsia="仿宋" w:cs="仿宋"/>
                <w:sz w:val="24"/>
                <w:szCs w:val="24"/>
              </w:rPr>
              <w:t>投标保证金</w:t>
            </w:r>
          </w:p>
        </w:tc>
        <w:tc>
          <w:tcPr>
            <w:tcW w:w="1163" w:type="dxa"/>
            <w:tcBorders>
              <w:top w:val="single" w:color="auto" w:sz="4" w:space="0"/>
              <w:left w:val="nil"/>
              <w:bottom w:val="single" w:color="auto" w:sz="4" w:space="0"/>
              <w:right w:val="single" w:color="auto" w:sz="4" w:space="0"/>
            </w:tcBorders>
            <w:vAlign w:val="center"/>
          </w:tcPr>
          <w:p w14:paraId="3CA1724D">
            <w:pPr>
              <w:spacing w:beforeLines="50" w:line="360" w:lineRule="auto"/>
              <w:jc w:val="center"/>
              <w:rPr>
                <w:rFonts w:ascii="仿宋" w:hAnsi="仿宋" w:eastAsia="仿宋" w:cs="仿宋"/>
                <w:sz w:val="24"/>
                <w:szCs w:val="24"/>
              </w:rPr>
            </w:pPr>
          </w:p>
        </w:tc>
        <w:tc>
          <w:tcPr>
            <w:tcW w:w="2171" w:type="dxa"/>
            <w:gridSpan w:val="2"/>
            <w:tcBorders>
              <w:top w:val="single" w:color="auto" w:sz="4" w:space="0"/>
              <w:left w:val="nil"/>
              <w:bottom w:val="single" w:color="auto" w:sz="4" w:space="0"/>
              <w:right w:val="single" w:color="auto" w:sz="4" w:space="0"/>
            </w:tcBorders>
          </w:tcPr>
          <w:p w14:paraId="27F9A2E6">
            <w:pPr>
              <w:spacing w:beforeLines="50" w:line="360" w:lineRule="auto"/>
              <w:jc w:val="center"/>
              <w:rPr>
                <w:rFonts w:ascii="仿宋" w:hAnsi="仿宋" w:eastAsia="仿宋" w:cs="仿宋"/>
                <w:sz w:val="24"/>
                <w:szCs w:val="24"/>
              </w:rPr>
            </w:pPr>
          </w:p>
        </w:tc>
      </w:tr>
      <w:tr w14:paraId="452AE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6" w:hRule="atLeast"/>
          <w:jc w:val="center"/>
        </w:trPr>
        <w:tc>
          <w:tcPr>
            <w:tcW w:w="9089" w:type="dxa"/>
            <w:gridSpan w:val="8"/>
            <w:tcBorders>
              <w:top w:val="nil"/>
              <w:left w:val="nil"/>
              <w:bottom w:val="single" w:color="auto" w:sz="4" w:space="0"/>
              <w:right w:val="nil"/>
            </w:tcBorders>
            <w:vAlign w:val="center"/>
          </w:tcPr>
          <w:p w14:paraId="0F5A30ED">
            <w:pPr>
              <w:spacing w:beforeLines="50" w:line="360" w:lineRule="auto"/>
              <w:jc w:val="center"/>
              <w:rPr>
                <w:rFonts w:ascii="仿宋" w:hAnsi="仿宋" w:eastAsia="仿宋" w:cs="仿宋"/>
                <w:b/>
                <w:bCs/>
                <w:sz w:val="24"/>
                <w:szCs w:val="24"/>
              </w:rPr>
            </w:pPr>
            <w:r>
              <w:rPr>
                <w:rFonts w:hint="eastAsia" w:ascii="仿宋" w:hAnsi="仿宋" w:eastAsia="仿宋" w:cs="仿宋"/>
                <w:b/>
                <w:bCs/>
                <w:sz w:val="24"/>
                <w:szCs w:val="24"/>
              </w:rPr>
              <w:t>综合得分自评一览表</w:t>
            </w:r>
          </w:p>
        </w:tc>
      </w:tr>
      <w:tr w14:paraId="6FF64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6"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D8D8D8"/>
            <w:vAlign w:val="center"/>
          </w:tcPr>
          <w:p w14:paraId="00B37473">
            <w:pPr>
              <w:spacing w:beforeLines="50" w:line="360" w:lineRule="auto"/>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1986" w:type="dxa"/>
            <w:gridSpan w:val="2"/>
            <w:tcBorders>
              <w:top w:val="single" w:color="auto" w:sz="4" w:space="0"/>
              <w:left w:val="nil"/>
              <w:bottom w:val="single" w:color="auto" w:sz="4" w:space="0"/>
              <w:right w:val="single" w:color="auto" w:sz="4" w:space="0"/>
            </w:tcBorders>
            <w:shd w:val="clear" w:color="auto" w:fill="D8D8D8"/>
            <w:vAlign w:val="center"/>
          </w:tcPr>
          <w:p w14:paraId="252B4773">
            <w:pPr>
              <w:spacing w:beforeLines="50" w:line="360" w:lineRule="auto"/>
              <w:jc w:val="center"/>
              <w:rPr>
                <w:rFonts w:ascii="仿宋" w:hAnsi="仿宋" w:eastAsia="仿宋" w:cs="仿宋"/>
                <w:b/>
                <w:bCs/>
                <w:sz w:val="24"/>
                <w:szCs w:val="24"/>
              </w:rPr>
            </w:pPr>
            <w:r>
              <w:rPr>
                <w:rFonts w:hint="eastAsia" w:ascii="仿宋" w:hAnsi="仿宋" w:eastAsia="仿宋" w:cs="仿宋"/>
                <w:b/>
                <w:bCs/>
                <w:sz w:val="24"/>
                <w:szCs w:val="24"/>
              </w:rPr>
              <w:t>评分因素</w:t>
            </w:r>
          </w:p>
        </w:tc>
        <w:tc>
          <w:tcPr>
            <w:tcW w:w="700" w:type="dxa"/>
            <w:gridSpan w:val="2"/>
            <w:tcBorders>
              <w:top w:val="single" w:color="auto" w:sz="4" w:space="0"/>
              <w:left w:val="nil"/>
              <w:bottom w:val="single" w:color="auto" w:sz="4" w:space="0"/>
              <w:right w:val="single" w:color="auto" w:sz="4" w:space="0"/>
            </w:tcBorders>
            <w:shd w:val="clear" w:color="auto" w:fill="D8D8D8"/>
            <w:vAlign w:val="center"/>
          </w:tcPr>
          <w:p w14:paraId="5D413446">
            <w:pPr>
              <w:spacing w:beforeLines="50" w:line="360" w:lineRule="auto"/>
              <w:jc w:val="center"/>
              <w:rPr>
                <w:rFonts w:ascii="仿宋" w:hAnsi="仿宋" w:eastAsia="仿宋" w:cs="仿宋"/>
                <w:b/>
                <w:bCs/>
                <w:sz w:val="24"/>
                <w:szCs w:val="24"/>
              </w:rPr>
            </w:pPr>
            <w:r>
              <w:rPr>
                <w:rFonts w:hint="eastAsia" w:ascii="仿宋" w:hAnsi="仿宋" w:eastAsia="仿宋" w:cs="仿宋"/>
                <w:b/>
                <w:bCs/>
                <w:sz w:val="24"/>
                <w:szCs w:val="24"/>
              </w:rPr>
              <w:t>分值得分</w:t>
            </w:r>
          </w:p>
        </w:tc>
        <w:tc>
          <w:tcPr>
            <w:tcW w:w="2379" w:type="dxa"/>
            <w:tcBorders>
              <w:top w:val="single" w:color="auto" w:sz="4" w:space="0"/>
              <w:left w:val="nil"/>
              <w:bottom w:val="single" w:color="auto" w:sz="4" w:space="0"/>
              <w:right w:val="single" w:color="auto" w:sz="4" w:space="0"/>
            </w:tcBorders>
            <w:shd w:val="clear" w:color="auto" w:fill="D8D8D8"/>
            <w:vAlign w:val="center"/>
          </w:tcPr>
          <w:p w14:paraId="0745A01C">
            <w:pPr>
              <w:spacing w:beforeLines="50" w:line="360" w:lineRule="auto"/>
              <w:jc w:val="center"/>
              <w:rPr>
                <w:rFonts w:ascii="仿宋" w:hAnsi="仿宋" w:eastAsia="仿宋" w:cs="仿宋"/>
                <w:b/>
                <w:bCs/>
                <w:sz w:val="24"/>
                <w:szCs w:val="24"/>
              </w:rPr>
            </w:pPr>
            <w:r>
              <w:rPr>
                <w:rFonts w:hint="eastAsia" w:ascii="仿宋" w:hAnsi="仿宋" w:eastAsia="仿宋" w:cs="仿宋"/>
                <w:b/>
                <w:bCs/>
                <w:sz w:val="24"/>
                <w:szCs w:val="24"/>
              </w:rPr>
              <w:t>评分说明</w:t>
            </w:r>
          </w:p>
          <w:p w14:paraId="43D6D9FB">
            <w:pPr>
              <w:spacing w:beforeLines="50" w:line="360" w:lineRule="auto"/>
              <w:jc w:val="center"/>
              <w:rPr>
                <w:rFonts w:ascii="仿宋" w:hAnsi="仿宋" w:eastAsia="仿宋" w:cs="仿宋"/>
                <w:b/>
                <w:bCs/>
                <w:sz w:val="24"/>
                <w:szCs w:val="24"/>
              </w:rPr>
            </w:pPr>
            <w:r>
              <w:rPr>
                <w:rFonts w:hint="eastAsia" w:ascii="仿宋" w:hAnsi="仿宋" w:eastAsia="仿宋" w:cs="仿宋"/>
                <w:b/>
                <w:bCs/>
                <w:sz w:val="24"/>
                <w:szCs w:val="24"/>
              </w:rPr>
              <w:t>详见评标办法，以评标办法附表为准</w:t>
            </w:r>
          </w:p>
        </w:tc>
        <w:tc>
          <w:tcPr>
            <w:tcW w:w="1163" w:type="dxa"/>
            <w:tcBorders>
              <w:top w:val="single" w:color="auto" w:sz="4" w:space="0"/>
              <w:left w:val="nil"/>
              <w:bottom w:val="single" w:color="auto" w:sz="4" w:space="0"/>
              <w:right w:val="single" w:color="auto" w:sz="4" w:space="0"/>
            </w:tcBorders>
            <w:shd w:val="clear" w:color="auto" w:fill="D8D8D8"/>
            <w:vAlign w:val="center"/>
          </w:tcPr>
          <w:p w14:paraId="6E6C2918">
            <w:pPr>
              <w:spacing w:beforeLines="50" w:line="360" w:lineRule="auto"/>
              <w:jc w:val="center"/>
              <w:rPr>
                <w:rFonts w:ascii="仿宋" w:hAnsi="仿宋" w:eastAsia="仿宋" w:cs="仿宋"/>
                <w:b/>
                <w:bCs/>
                <w:sz w:val="24"/>
                <w:szCs w:val="24"/>
              </w:rPr>
            </w:pPr>
            <w:r>
              <w:rPr>
                <w:rFonts w:hint="eastAsia" w:ascii="仿宋" w:hAnsi="仿宋" w:eastAsia="仿宋" w:cs="仿宋"/>
                <w:b/>
                <w:bCs/>
                <w:sz w:val="24"/>
                <w:szCs w:val="24"/>
              </w:rPr>
              <w:t>投标单位自评得分</w:t>
            </w:r>
          </w:p>
        </w:tc>
        <w:tc>
          <w:tcPr>
            <w:tcW w:w="2158" w:type="dxa"/>
            <w:tcBorders>
              <w:top w:val="single" w:color="auto" w:sz="4" w:space="0"/>
              <w:left w:val="nil"/>
              <w:bottom w:val="single" w:color="auto" w:sz="4" w:space="0"/>
              <w:right w:val="single" w:color="auto" w:sz="4" w:space="0"/>
            </w:tcBorders>
            <w:shd w:val="clear" w:color="auto" w:fill="D8D8D8"/>
            <w:vAlign w:val="center"/>
          </w:tcPr>
          <w:p w14:paraId="6462C2B0">
            <w:pPr>
              <w:spacing w:beforeLines="50" w:line="360" w:lineRule="auto"/>
              <w:jc w:val="center"/>
              <w:rPr>
                <w:rFonts w:ascii="仿宋" w:hAnsi="仿宋" w:eastAsia="仿宋" w:cs="仿宋"/>
                <w:b/>
                <w:bCs/>
                <w:sz w:val="24"/>
                <w:szCs w:val="24"/>
              </w:rPr>
            </w:pPr>
            <w:r>
              <w:rPr>
                <w:rFonts w:hint="eastAsia" w:ascii="仿宋" w:hAnsi="仿宋" w:eastAsia="仿宋" w:cs="仿宋"/>
                <w:b/>
                <w:bCs/>
                <w:sz w:val="24"/>
                <w:szCs w:val="24"/>
              </w:rPr>
              <w:t>自评分依据所在投标文件的具体位置</w:t>
            </w:r>
          </w:p>
        </w:tc>
      </w:tr>
      <w:tr w14:paraId="631F0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6"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14:paraId="247D6BC7">
            <w:pPr>
              <w:adjustRightInd w:val="0"/>
              <w:snapToGrid w:val="0"/>
              <w:spacing w:beforeLines="50"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1986" w:type="dxa"/>
            <w:gridSpan w:val="2"/>
            <w:tcBorders>
              <w:top w:val="single" w:color="auto" w:sz="4" w:space="0"/>
              <w:left w:val="nil"/>
              <w:bottom w:val="single" w:color="auto" w:sz="4" w:space="0"/>
              <w:right w:val="single" w:color="auto" w:sz="4" w:space="0"/>
            </w:tcBorders>
            <w:vAlign w:val="center"/>
          </w:tcPr>
          <w:p w14:paraId="47C390C8">
            <w:pPr>
              <w:spacing w:line="264" w:lineRule="auto"/>
              <w:jc w:val="center"/>
              <w:rPr>
                <w:rFonts w:ascii="仿宋" w:hAnsi="仿宋" w:eastAsia="仿宋" w:cs="仿宋"/>
                <w:sz w:val="24"/>
                <w:szCs w:val="24"/>
              </w:rPr>
            </w:pPr>
            <w:r>
              <w:rPr>
                <w:rFonts w:hint="eastAsia" w:ascii="仿宋" w:hAnsi="仿宋" w:eastAsia="仿宋" w:cs="仿宋"/>
                <w:kern w:val="1"/>
                <w:sz w:val="24"/>
              </w:rPr>
              <w:t xml:space="preserve"> </w:t>
            </w:r>
          </w:p>
        </w:tc>
        <w:tc>
          <w:tcPr>
            <w:tcW w:w="700" w:type="dxa"/>
            <w:gridSpan w:val="2"/>
            <w:tcBorders>
              <w:top w:val="single" w:color="auto" w:sz="4" w:space="0"/>
              <w:left w:val="nil"/>
              <w:bottom w:val="single" w:color="auto" w:sz="4" w:space="0"/>
              <w:right w:val="single" w:color="auto" w:sz="4" w:space="0"/>
            </w:tcBorders>
            <w:vAlign w:val="center"/>
          </w:tcPr>
          <w:p w14:paraId="442A0055">
            <w:pPr>
              <w:widowControl/>
              <w:adjustRightInd w:val="0"/>
              <w:snapToGrid w:val="0"/>
              <w:spacing w:beforeLines="50" w:line="360" w:lineRule="auto"/>
              <w:jc w:val="center"/>
              <w:rPr>
                <w:rFonts w:ascii="仿宋" w:hAnsi="仿宋" w:eastAsia="仿宋" w:cs="仿宋"/>
                <w:kern w:val="0"/>
                <w:sz w:val="24"/>
                <w:szCs w:val="24"/>
              </w:rPr>
            </w:pPr>
            <w:r>
              <w:rPr>
                <w:rFonts w:hint="eastAsia" w:ascii="仿宋" w:hAnsi="仿宋" w:eastAsia="仿宋" w:cs="仿宋"/>
                <w:kern w:val="0"/>
                <w:sz w:val="24"/>
                <w:szCs w:val="24"/>
              </w:rPr>
              <w:t xml:space="preserve"> </w:t>
            </w:r>
          </w:p>
        </w:tc>
        <w:tc>
          <w:tcPr>
            <w:tcW w:w="2379" w:type="dxa"/>
            <w:tcBorders>
              <w:top w:val="single" w:color="auto" w:sz="4" w:space="0"/>
              <w:left w:val="nil"/>
              <w:bottom w:val="single" w:color="auto" w:sz="4" w:space="0"/>
              <w:right w:val="single" w:color="auto" w:sz="4" w:space="0"/>
            </w:tcBorders>
            <w:vAlign w:val="center"/>
          </w:tcPr>
          <w:p w14:paraId="3A5ED3E9">
            <w:pPr>
              <w:spacing w:beforeLines="50" w:line="360" w:lineRule="auto"/>
              <w:rPr>
                <w:rFonts w:ascii="仿宋" w:hAnsi="仿宋" w:eastAsia="仿宋" w:cs="仿宋"/>
                <w:b/>
                <w:bCs/>
                <w:sz w:val="24"/>
                <w:szCs w:val="24"/>
              </w:rPr>
            </w:pPr>
          </w:p>
        </w:tc>
        <w:tc>
          <w:tcPr>
            <w:tcW w:w="1163" w:type="dxa"/>
            <w:tcBorders>
              <w:top w:val="single" w:color="auto" w:sz="4" w:space="0"/>
              <w:left w:val="nil"/>
              <w:bottom w:val="single" w:color="auto" w:sz="4" w:space="0"/>
              <w:right w:val="single" w:color="auto" w:sz="4" w:space="0"/>
            </w:tcBorders>
            <w:vAlign w:val="center"/>
          </w:tcPr>
          <w:p w14:paraId="0F963C36">
            <w:pPr>
              <w:spacing w:beforeLines="50" w:line="360" w:lineRule="auto"/>
              <w:rPr>
                <w:rFonts w:ascii="仿宋" w:hAnsi="仿宋" w:eastAsia="仿宋" w:cs="仿宋"/>
                <w:b/>
                <w:bCs/>
                <w:sz w:val="24"/>
                <w:szCs w:val="24"/>
              </w:rPr>
            </w:pPr>
          </w:p>
        </w:tc>
        <w:tc>
          <w:tcPr>
            <w:tcW w:w="2158" w:type="dxa"/>
            <w:tcBorders>
              <w:top w:val="single" w:color="auto" w:sz="4" w:space="0"/>
              <w:left w:val="nil"/>
              <w:bottom w:val="single" w:color="auto" w:sz="4" w:space="0"/>
              <w:right w:val="single" w:color="auto" w:sz="4" w:space="0"/>
            </w:tcBorders>
            <w:vAlign w:val="center"/>
          </w:tcPr>
          <w:p w14:paraId="54275DCB">
            <w:pPr>
              <w:spacing w:beforeLines="50" w:line="360" w:lineRule="auto"/>
              <w:rPr>
                <w:rFonts w:ascii="仿宋" w:hAnsi="仿宋" w:eastAsia="仿宋" w:cs="仿宋"/>
                <w:b/>
                <w:bCs/>
                <w:sz w:val="24"/>
                <w:szCs w:val="24"/>
              </w:rPr>
            </w:pPr>
          </w:p>
        </w:tc>
      </w:tr>
      <w:tr w14:paraId="059D2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6"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14:paraId="4381971E">
            <w:pPr>
              <w:adjustRightInd w:val="0"/>
              <w:snapToGrid w:val="0"/>
              <w:spacing w:beforeLines="50" w:line="360" w:lineRule="auto"/>
              <w:jc w:val="center"/>
              <w:rPr>
                <w:rFonts w:ascii="仿宋" w:hAnsi="仿宋" w:eastAsia="仿宋" w:cs="仿宋"/>
                <w:sz w:val="24"/>
                <w:szCs w:val="24"/>
              </w:rPr>
            </w:pPr>
            <w:r>
              <w:rPr>
                <w:rFonts w:hint="eastAsia" w:ascii="仿宋" w:hAnsi="仿宋" w:eastAsia="仿宋" w:cs="仿宋"/>
                <w:sz w:val="24"/>
                <w:szCs w:val="24"/>
              </w:rPr>
              <w:t>2</w:t>
            </w:r>
          </w:p>
        </w:tc>
        <w:tc>
          <w:tcPr>
            <w:tcW w:w="1986" w:type="dxa"/>
            <w:gridSpan w:val="2"/>
            <w:tcBorders>
              <w:top w:val="single" w:color="auto" w:sz="4" w:space="0"/>
              <w:left w:val="nil"/>
              <w:bottom w:val="single" w:color="auto" w:sz="4" w:space="0"/>
              <w:right w:val="single" w:color="auto" w:sz="4" w:space="0"/>
            </w:tcBorders>
            <w:vAlign w:val="center"/>
          </w:tcPr>
          <w:p w14:paraId="636AF8B1">
            <w:pPr>
              <w:spacing w:line="264" w:lineRule="auto"/>
              <w:jc w:val="center"/>
              <w:rPr>
                <w:rFonts w:ascii="仿宋" w:hAnsi="仿宋" w:eastAsia="仿宋" w:cs="仿宋"/>
                <w:sz w:val="24"/>
                <w:szCs w:val="24"/>
              </w:rPr>
            </w:pPr>
            <w:r>
              <w:rPr>
                <w:rFonts w:hint="eastAsia" w:ascii="仿宋" w:hAnsi="仿宋" w:eastAsia="仿宋" w:cs="仿宋"/>
                <w:kern w:val="0"/>
                <w:sz w:val="24"/>
              </w:rPr>
              <w:t xml:space="preserve"> </w:t>
            </w:r>
          </w:p>
        </w:tc>
        <w:tc>
          <w:tcPr>
            <w:tcW w:w="700" w:type="dxa"/>
            <w:gridSpan w:val="2"/>
            <w:tcBorders>
              <w:top w:val="single" w:color="auto" w:sz="4" w:space="0"/>
              <w:left w:val="nil"/>
              <w:bottom w:val="single" w:color="auto" w:sz="4" w:space="0"/>
              <w:right w:val="single" w:color="auto" w:sz="4" w:space="0"/>
            </w:tcBorders>
            <w:vAlign w:val="center"/>
          </w:tcPr>
          <w:p w14:paraId="40A5D517">
            <w:pPr>
              <w:widowControl/>
              <w:adjustRightInd w:val="0"/>
              <w:snapToGrid w:val="0"/>
              <w:spacing w:beforeLines="50" w:line="360" w:lineRule="auto"/>
              <w:jc w:val="center"/>
              <w:rPr>
                <w:rFonts w:ascii="仿宋" w:hAnsi="仿宋" w:eastAsia="仿宋" w:cs="仿宋"/>
                <w:kern w:val="0"/>
                <w:sz w:val="24"/>
                <w:szCs w:val="24"/>
              </w:rPr>
            </w:pPr>
            <w:r>
              <w:rPr>
                <w:rFonts w:hint="eastAsia" w:ascii="仿宋" w:hAnsi="仿宋" w:eastAsia="仿宋" w:cs="仿宋"/>
                <w:kern w:val="0"/>
                <w:sz w:val="24"/>
                <w:szCs w:val="24"/>
              </w:rPr>
              <w:t xml:space="preserve"> </w:t>
            </w:r>
          </w:p>
        </w:tc>
        <w:tc>
          <w:tcPr>
            <w:tcW w:w="2379" w:type="dxa"/>
            <w:tcBorders>
              <w:top w:val="single" w:color="auto" w:sz="4" w:space="0"/>
              <w:left w:val="nil"/>
              <w:bottom w:val="single" w:color="auto" w:sz="4" w:space="0"/>
              <w:right w:val="single" w:color="auto" w:sz="4" w:space="0"/>
            </w:tcBorders>
            <w:vAlign w:val="center"/>
          </w:tcPr>
          <w:p w14:paraId="4DBBCE47">
            <w:pPr>
              <w:spacing w:beforeLines="50" w:line="360" w:lineRule="auto"/>
              <w:rPr>
                <w:rFonts w:ascii="仿宋" w:hAnsi="仿宋" w:eastAsia="仿宋" w:cs="仿宋"/>
                <w:b/>
                <w:bCs/>
                <w:sz w:val="24"/>
                <w:szCs w:val="24"/>
              </w:rPr>
            </w:pPr>
          </w:p>
        </w:tc>
        <w:tc>
          <w:tcPr>
            <w:tcW w:w="1163" w:type="dxa"/>
            <w:tcBorders>
              <w:top w:val="single" w:color="auto" w:sz="4" w:space="0"/>
              <w:left w:val="nil"/>
              <w:bottom w:val="single" w:color="auto" w:sz="4" w:space="0"/>
              <w:right w:val="single" w:color="auto" w:sz="4" w:space="0"/>
            </w:tcBorders>
            <w:vAlign w:val="center"/>
          </w:tcPr>
          <w:p w14:paraId="7F34E324">
            <w:pPr>
              <w:spacing w:beforeLines="50" w:line="360" w:lineRule="auto"/>
              <w:rPr>
                <w:rFonts w:ascii="仿宋" w:hAnsi="仿宋" w:eastAsia="仿宋" w:cs="仿宋"/>
                <w:b/>
                <w:bCs/>
                <w:sz w:val="24"/>
                <w:szCs w:val="24"/>
              </w:rPr>
            </w:pPr>
          </w:p>
        </w:tc>
        <w:tc>
          <w:tcPr>
            <w:tcW w:w="2158" w:type="dxa"/>
            <w:tcBorders>
              <w:top w:val="single" w:color="auto" w:sz="4" w:space="0"/>
              <w:left w:val="nil"/>
              <w:bottom w:val="single" w:color="auto" w:sz="4" w:space="0"/>
              <w:right w:val="single" w:color="auto" w:sz="4" w:space="0"/>
            </w:tcBorders>
            <w:vAlign w:val="center"/>
          </w:tcPr>
          <w:p w14:paraId="4460D881">
            <w:pPr>
              <w:spacing w:beforeLines="50" w:line="360" w:lineRule="auto"/>
              <w:rPr>
                <w:rFonts w:ascii="仿宋" w:hAnsi="仿宋" w:eastAsia="仿宋" w:cs="仿宋"/>
                <w:b/>
                <w:bCs/>
                <w:sz w:val="24"/>
                <w:szCs w:val="24"/>
              </w:rPr>
            </w:pPr>
          </w:p>
        </w:tc>
      </w:tr>
      <w:tr w14:paraId="52FC3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6"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14:paraId="197E4664">
            <w:pPr>
              <w:adjustRightInd w:val="0"/>
              <w:snapToGrid w:val="0"/>
              <w:spacing w:beforeLines="50" w:line="360" w:lineRule="auto"/>
              <w:jc w:val="center"/>
              <w:rPr>
                <w:rFonts w:ascii="仿宋" w:hAnsi="仿宋" w:eastAsia="仿宋" w:cs="仿宋"/>
                <w:sz w:val="24"/>
                <w:szCs w:val="24"/>
              </w:rPr>
            </w:pPr>
            <w:r>
              <w:rPr>
                <w:rFonts w:hint="eastAsia" w:ascii="仿宋" w:hAnsi="仿宋" w:eastAsia="仿宋" w:cs="仿宋"/>
                <w:sz w:val="24"/>
                <w:szCs w:val="24"/>
              </w:rPr>
              <w:t>3</w:t>
            </w:r>
          </w:p>
        </w:tc>
        <w:tc>
          <w:tcPr>
            <w:tcW w:w="1986" w:type="dxa"/>
            <w:gridSpan w:val="2"/>
            <w:tcBorders>
              <w:top w:val="single" w:color="auto" w:sz="4" w:space="0"/>
              <w:left w:val="nil"/>
              <w:bottom w:val="single" w:color="auto" w:sz="4" w:space="0"/>
              <w:right w:val="single" w:color="auto" w:sz="4" w:space="0"/>
            </w:tcBorders>
            <w:vAlign w:val="center"/>
          </w:tcPr>
          <w:p w14:paraId="77D01D7E">
            <w:pPr>
              <w:spacing w:line="264" w:lineRule="auto"/>
              <w:jc w:val="center"/>
              <w:rPr>
                <w:rFonts w:ascii="仿宋" w:hAnsi="仿宋" w:eastAsia="仿宋" w:cs="仿宋"/>
                <w:sz w:val="24"/>
                <w:szCs w:val="24"/>
              </w:rPr>
            </w:pPr>
            <w:r>
              <w:rPr>
                <w:rFonts w:hint="eastAsia" w:ascii="仿宋" w:hAnsi="仿宋" w:eastAsia="仿宋" w:cs="仿宋"/>
                <w:kern w:val="1"/>
                <w:sz w:val="24"/>
                <w:lang w:val="zh-CN"/>
              </w:rPr>
              <w:t xml:space="preserve"> </w:t>
            </w:r>
          </w:p>
        </w:tc>
        <w:tc>
          <w:tcPr>
            <w:tcW w:w="700" w:type="dxa"/>
            <w:gridSpan w:val="2"/>
            <w:tcBorders>
              <w:top w:val="single" w:color="auto" w:sz="4" w:space="0"/>
              <w:left w:val="nil"/>
              <w:bottom w:val="single" w:color="auto" w:sz="4" w:space="0"/>
              <w:right w:val="single" w:color="auto" w:sz="4" w:space="0"/>
            </w:tcBorders>
            <w:vAlign w:val="center"/>
          </w:tcPr>
          <w:p w14:paraId="50385569">
            <w:pPr>
              <w:widowControl/>
              <w:adjustRightInd w:val="0"/>
              <w:snapToGrid w:val="0"/>
              <w:spacing w:beforeLines="50" w:line="360" w:lineRule="auto"/>
              <w:jc w:val="center"/>
              <w:rPr>
                <w:rFonts w:ascii="仿宋" w:hAnsi="仿宋" w:eastAsia="仿宋" w:cs="仿宋"/>
                <w:sz w:val="24"/>
                <w:szCs w:val="24"/>
              </w:rPr>
            </w:pPr>
            <w:r>
              <w:rPr>
                <w:rFonts w:hint="eastAsia" w:ascii="仿宋" w:hAnsi="仿宋" w:eastAsia="仿宋" w:cs="仿宋"/>
                <w:sz w:val="24"/>
                <w:szCs w:val="24"/>
              </w:rPr>
              <w:t xml:space="preserve"> </w:t>
            </w:r>
          </w:p>
        </w:tc>
        <w:tc>
          <w:tcPr>
            <w:tcW w:w="2379" w:type="dxa"/>
            <w:tcBorders>
              <w:top w:val="single" w:color="auto" w:sz="4" w:space="0"/>
              <w:left w:val="nil"/>
              <w:bottom w:val="single" w:color="auto" w:sz="4" w:space="0"/>
              <w:right w:val="single" w:color="auto" w:sz="4" w:space="0"/>
            </w:tcBorders>
            <w:vAlign w:val="center"/>
          </w:tcPr>
          <w:p w14:paraId="3B0228E7">
            <w:pPr>
              <w:spacing w:beforeLines="50" w:line="360" w:lineRule="auto"/>
              <w:rPr>
                <w:rFonts w:ascii="仿宋" w:hAnsi="仿宋" w:eastAsia="仿宋" w:cs="仿宋"/>
                <w:b/>
                <w:bCs/>
                <w:sz w:val="24"/>
                <w:szCs w:val="24"/>
              </w:rPr>
            </w:pPr>
          </w:p>
        </w:tc>
        <w:tc>
          <w:tcPr>
            <w:tcW w:w="1163" w:type="dxa"/>
            <w:tcBorders>
              <w:top w:val="single" w:color="auto" w:sz="4" w:space="0"/>
              <w:left w:val="nil"/>
              <w:bottom w:val="single" w:color="auto" w:sz="4" w:space="0"/>
              <w:right w:val="single" w:color="auto" w:sz="4" w:space="0"/>
            </w:tcBorders>
            <w:vAlign w:val="center"/>
          </w:tcPr>
          <w:p w14:paraId="651C7959">
            <w:pPr>
              <w:spacing w:beforeLines="50" w:line="360" w:lineRule="auto"/>
              <w:rPr>
                <w:rFonts w:ascii="仿宋" w:hAnsi="仿宋" w:eastAsia="仿宋" w:cs="仿宋"/>
                <w:b/>
                <w:bCs/>
                <w:sz w:val="24"/>
                <w:szCs w:val="24"/>
              </w:rPr>
            </w:pPr>
          </w:p>
        </w:tc>
        <w:tc>
          <w:tcPr>
            <w:tcW w:w="2158" w:type="dxa"/>
            <w:tcBorders>
              <w:top w:val="single" w:color="auto" w:sz="4" w:space="0"/>
              <w:left w:val="nil"/>
              <w:bottom w:val="single" w:color="auto" w:sz="4" w:space="0"/>
              <w:right w:val="single" w:color="auto" w:sz="4" w:space="0"/>
            </w:tcBorders>
            <w:vAlign w:val="center"/>
          </w:tcPr>
          <w:p w14:paraId="4F832448">
            <w:pPr>
              <w:spacing w:beforeLines="50" w:line="360" w:lineRule="auto"/>
              <w:rPr>
                <w:rFonts w:ascii="仿宋" w:hAnsi="仿宋" w:eastAsia="仿宋" w:cs="仿宋"/>
                <w:b/>
                <w:bCs/>
                <w:sz w:val="24"/>
                <w:szCs w:val="24"/>
              </w:rPr>
            </w:pPr>
          </w:p>
        </w:tc>
      </w:tr>
      <w:tr w14:paraId="01685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6"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14:paraId="12EBE5A9">
            <w:pPr>
              <w:adjustRightInd w:val="0"/>
              <w:snapToGrid w:val="0"/>
              <w:spacing w:beforeLines="50" w:line="360" w:lineRule="auto"/>
              <w:jc w:val="center"/>
              <w:rPr>
                <w:rFonts w:ascii="仿宋" w:hAnsi="仿宋" w:eastAsia="仿宋" w:cs="仿宋"/>
                <w:sz w:val="24"/>
                <w:szCs w:val="24"/>
              </w:rPr>
            </w:pPr>
            <w:r>
              <w:rPr>
                <w:rFonts w:hint="eastAsia" w:ascii="仿宋" w:hAnsi="仿宋" w:eastAsia="仿宋" w:cs="仿宋"/>
                <w:sz w:val="24"/>
                <w:szCs w:val="24"/>
              </w:rPr>
              <w:t>4</w:t>
            </w:r>
          </w:p>
        </w:tc>
        <w:tc>
          <w:tcPr>
            <w:tcW w:w="1986" w:type="dxa"/>
            <w:gridSpan w:val="2"/>
            <w:tcBorders>
              <w:top w:val="single" w:color="auto" w:sz="4" w:space="0"/>
              <w:left w:val="nil"/>
              <w:bottom w:val="single" w:color="auto" w:sz="4" w:space="0"/>
              <w:right w:val="single" w:color="auto" w:sz="4" w:space="0"/>
            </w:tcBorders>
            <w:vAlign w:val="center"/>
          </w:tcPr>
          <w:p w14:paraId="71E12AA2">
            <w:pPr>
              <w:spacing w:line="264" w:lineRule="auto"/>
              <w:jc w:val="center"/>
              <w:rPr>
                <w:rFonts w:ascii="仿宋" w:hAnsi="仿宋" w:eastAsia="仿宋" w:cs="仿宋"/>
                <w:kern w:val="0"/>
                <w:sz w:val="24"/>
                <w:szCs w:val="24"/>
              </w:rPr>
            </w:pPr>
            <w:r>
              <w:rPr>
                <w:rFonts w:hint="eastAsia" w:ascii="仿宋" w:hAnsi="仿宋" w:eastAsia="仿宋" w:cs="仿宋"/>
                <w:kern w:val="0"/>
                <w:sz w:val="24"/>
                <w:szCs w:val="24"/>
              </w:rPr>
              <w:t xml:space="preserve"> </w:t>
            </w:r>
          </w:p>
        </w:tc>
        <w:tc>
          <w:tcPr>
            <w:tcW w:w="700" w:type="dxa"/>
            <w:gridSpan w:val="2"/>
            <w:tcBorders>
              <w:top w:val="single" w:color="auto" w:sz="4" w:space="0"/>
              <w:left w:val="nil"/>
              <w:bottom w:val="single" w:color="auto" w:sz="4" w:space="0"/>
              <w:right w:val="single" w:color="auto" w:sz="4" w:space="0"/>
            </w:tcBorders>
            <w:vAlign w:val="center"/>
          </w:tcPr>
          <w:p w14:paraId="3E28351E">
            <w:pPr>
              <w:adjustRightInd w:val="0"/>
              <w:snapToGrid w:val="0"/>
              <w:spacing w:beforeLines="50" w:line="360" w:lineRule="auto"/>
              <w:jc w:val="center"/>
              <w:rPr>
                <w:rFonts w:ascii="仿宋" w:hAnsi="仿宋" w:eastAsia="仿宋" w:cs="仿宋"/>
                <w:kern w:val="0"/>
                <w:sz w:val="24"/>
                <w:szCs w:val="24"/>
              </w:rPr>
            </w:pPr>
            <w:r>
              <w:rPr>
                <w:rFonts w:hint="eastAsia" w:ascii="仿宋" w:hAnsi="仿宋" w:eastAsia="仿宋" w:cs="仿宋"/>
                <w:kern w:val="0"/>
                <w:sz w:val="24"/>
                <w:szCs w:val="24"/>
              </w:rPr>
              <w:t xml:space="preserve"> </w:t>
            </w:r>
          </w:p>
        </w:tc>
        <w:tc>
          <w:tcPr>
            <w:tcW w:w="2379" w:type="dxa"/>
            <w:tcBorders>
              <w:top w:val="single" w:color="auto" w:sz="4" w:space="0"/>
              <w:left w:val="nil"/>
              <w:bottom w:val="single" w:color="auto" w:sz="4" w:space="0"/>
              <w:right w:val="single" w:color="auto" w:sz="4" w:space="0"/>
            </w:tcBorders>
            <w:vAlign w:val="center"/>
          </w:tcPr>
          <w:p w14:paraId="214F611B">
            <w:pPr>
              <w:spacing w:beforeLines="50" w:line="360" w:lineRule="auto"/>
              <w:rPr>
                <w:rFonts w:ascii="仿宋" w:hAnsi="仿宋" w:eastAsia="仿宋" w:cs="仿宋"/>
                <w:b/>
                <w:bCs/>
                <w:sz w:val="24"/>
                <w:szCs w:val="24"/>
              </w:rPr>
            </w:pPr>
          </w:p>
        </w:tc>
        <w:tc>
          <w:tcPr>
            <w:tcW w:w="1163" w:type="dxa"/>
            <w:tcBorders>
              <w:top w:val="single" w:color="auto" w:sz="4" w:space="0"/>
              <w:left w:val="nil"/>
              <w:bottom w:val="single" w:color="auto" w:sz="4" w:space="0"/>
              <w:right w:val="single" w:color="auto" w:sz="4" w:space="0"/>
            </w:tcBorders>
            <w:vAlign w:val="center"/>
          </w:tcPr>
          <w:p w14:paraId="3D4F0A53">
            <w:pPr>
              <w:spacing w:beforeLines="50" w:line="360" w:lineRule="auto"/>
              <w:rPr>
                <w:rFonts w:ascii="仿宋" w:hAnsi="仿宋" w:eastAsia="仿宋" w:cs="仿宋"/>
                <w:b/>
                <w:bCs/>
                <w:sz w:val="24"/>
                <w:szCs w:val="24"/>
              </w:rPr>
            </w:pPr>
          </w:p>
        </w:tc>
        <w:tc>
          <w:tcPr>
            <w:tcW w:w="2158" w:type="dxa"/>
            <w:tcBorders>
              <w:top w:val="single" w:color="auto" w:sz="4" w:space="0"/>
              <w:left w:val="nil"/>
              <w:bottom w:val="single" w:color="auto" w:sz="4" w:space="0"/>
              <w:right w:val="single" w:color="auto" w:sz="4" w:space="0"/>
            </w:tcBorders>
            <w:vAlign w:val="center"/>
          </w:tcPr>
          <w:p w14:paraId="7DC0387B">
            <w:pPr>
              <w:spacing w:beforeLines="50" w:line="360" w:lineRule="auto"/>
              <w:rPr>
                <w:rFonts w:ascii="仿宋" w:hAnsi="仿宋" w:eastAsia="仿宋" w:cs="仿宋"/>
                <w:b/>
                <w:bCs/>
                <w:sz w:val="24"/>
                <w:szCs w:val="24"/>
              </w:rPr>
            </w:pPr>
          </w:p>
        </w:tc>
      </w:tr>
      <w:tr w14:paraId="7A2B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6"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14:paraId="37E79F69">
            <w:pPr>
              <w:adjustRightInd w:val="0"/>
              <w:snapToGrid w:val="0"/>
              <w:spacing w:beforeLines="50" w:line="360" w:lineRule="auto"/>
              <w:jc w:val="center"/>
              <w:rPr>
                <w:rFonts w:ascii="仿宋" w:hAnsi="仿宋" w:eastAsia="仿宋" w:cs="仿宋"/>
                <w:sz w:val="24"/>
                <w:szCs w:val="24"/>
              </w:rPr>
            </w:pPr>
            <w:r>
              <w:rPr>
                <w:rFonts w:hint="eastAsia" w:ascii="仿宋" w:hAnsi="仿宋" w:eastAsia="仿宋" w:cs="仿宋"/>
                <w:sz w:val="24"/>
                <w:szCs w:val="24"/>
              </w:rPr>
              <w:t>5</w:t>
            </w:r>
          </w:p>
        </w:tc>
        <w:tc>
          <w:tcPr>
            <w:tcW w:w="1986" w:type="dxa"/>
            <w:gridSpan w:val="2"/>
            <w:tcBorders>
              <w:top w:val="single" w:color="auto" w:sz="4" w:space="0"/>
              <w:left w:val="nil"/>
              <w:bottom w:val="single" w:color="auto" w:sz="4" w:space="0"/>
              <w:right w:val="single" w:color="auto" w:sz="4" w:space="0"/>
            </w:tcBorders>
            <w:vAlign w:val="center"/>
          </w:tcPr>
          <w:p w14:paraId="6BF2033B">
            <w:pPr>
              <w:spacing w:line="264" w:lineRule="auto"/>
              <w:jc w:val="center"/>
              <w:rPr>
                <w:rFonts w:ascii="仿宋" w:hAnsi="仿宋" w:eastAsia="仿宋" w:cs="仿宋"/>
                <w:kern w:val="0"/>
                <w:sz w:val="24"/>
                <w:szCs w:val="24"/>
              </w:rPr>
            </w:pPr>
            <w:r>
              <w:rPr>
                <w:rFonts w:hint="eastAsia" w:ascii="仿宋" w:hAnsi="仿宋" w:eastAsia="仿宋" w:cs="仿宋"/>
                <w:kern w:val="0"/>
                <w:sz w:val="24"/>
                <w:szCs w:val="24"/>
              </w:rPr>
              <w:t xml:space="preserve"> </w:t>
            </w:r>
          </w:p>
        </w:tc>
        <w:tc>
          <w:tcPr>
            <w:tcW w:w="700" w:type="dxa"/>
            <w:gridSpan w:val="2"/>
            <w:tcBorders>
              <w:top w:val="single" w:color="auto" w:sz="4" w:space="0"/>
              <w:left w:val="nil"/>
              <w:bottom w:val="single" w:color="auto" w:sz="4" w:space="0"/>
              <w:right w:val="single" w:color="auto" w:sz="4" w:space="0"/>
            </w:tcBorders>
            <w:vAlign w:val="center"/>
          </w:tcPr>
          <w:p w14:paraId="1941189C">
            <w:pPr>
              <w:widowControl/>
              <w:adjustRightInd w:val="0"/>
              <w:snapToGrid w:val="0"/>
              <w:spacing w:beforeLines="50" w:line="360" w:lineRule="auto"/>
              <w:jc w:val="center"/>
              <w:rPr>
                <w:rFonts w:ascii="仿宋" w:hAnsi="仿宋" w:eastAsia="仿宋" w:cs="仿宋"/>
                <w:kern w:val="0"/>
                <w:sz w:val="24"/>
                <w:szCs w:val="24"/>
              </w:rPr>
            </w:pPr>
            <w:r>
              <w:rPr>
                <w:rFonts w:hint="eastAsia" w:ascii="仿宋" w:hAnsi="仿宋" w:eastAsia="仿宋" w:cs="仿宋"/>
                <w:kern w:val="0"/>
                <w:sz w:val="24"/>
                <w:szCs w:val="24"/>
              </w:rPr>
              <w:t xml:space="preserve"> </w:t>
            </w:r>
          </w:p>
        </w:tc>
        <w:tc>
          <w:tcPr>
            <w:tcW w:w="2379" w:type="dxa"/>
            <w:tcBorders>
              <w:top w:val="single" w:color="auto" w:sz="4" w:space="0"/>
              <w:left w:val="nil"/>
              <w:bottom w:val="single" w:color="auto" w:sz="4" w:space="0"/>
              <w:right w:val="single" w:color="auto" w:sz="4" w:space="0"/>
            </w:tcBorders>
            <w:vAlign w:val="center"/>
          </w:tcPr>
          <w:p w14:paraId="3107ECC1">
            <w:pPr>
              <w:spacing w:beforeLines="50" w:line="360" w:lineRule="auto"/>
              <w:rPr>
                <w:rFonts w:ascii="仿宋" w:hAnsi="仿宋" w:eastAsia="仿宋" w:cs="仿宋"/>
                <w:b/>
                <w:bCs/>
                <w:sz w:val="24"/>
                <w:szCs w:val="24"/>
              </w:rPr>
            </w:pPr>
          </w:p>
        </w:tc>
        <w:tc>
          <w:tcPr>
            <w:tcW w:w="1163" w:type="dxa"/>
            <w:tcBorders>
              <w:top w:val="single" w:color="auto" w:sz="4" w:space="0"/>
              <w:left w:val="nil"/>
              <w:bottom w:val="single" w:color="auto" w:sz="4" w:space="0"/>
              <w:right w:val="single" w:color="auto" w:sz="4" w:space="0"/>
            </w:tcBorders>
            <w:vAlign w:val="center"/>
          </w:tcPr>
          <w:p w14:paraId="689F1B4B">
            <w:pPr>
              <w:spacing w:beforeLines="50" w:line="360" w:lineRule="auto"/>
              <w:rPr>
                <w:rFonts w:ascii="仿宋" w:hAnsi="仿宋" w:eastAsia="仿宋" w:cs="仿宋"/>
                <w:b/>
                <w:bCs/>
                <w:sz w:val="24"/>
                <w:szCs w:val="24"/>
              </w:rPr>
            </w:pPr>
          </w:p>
        </w:tc>
        <w:tc>
          <w:tcPr>
            <w:tcW w:w="2158" w:type="dxa"/>
            <w:tcBorders>
              <w:top w:val="single" w:color="auto" w:sz="4" w:space="0"/>
              <w:left w:val="nil"/>
              <w:bottom w:val="single" w:color="auto" w:sz="4" w:space="0"/>
              <w:right w:val="single" w:color="auto" w:sz="4" w:space="0"/>
            </w:tcBorders>
            <w:vAlign w:val="center"/>
          </w:tcPr>
          <w:p w14:paraId="06A56A97">
            <w:pPr>
              <w:spacing w:beforeLines="50" w:line="360" w:lineRule="auto"/>
              <w:rPr>
                <w:rFonts w:ascii="仿宋" w:hAnsi="仿宋" w:eastAsia="仿宋" w:cs="仿宋"/>
                <w:b/>
                <w:bCs/>
                <w:sz w:val="24"/>
                <w:szCs w:val="24"/>
              </w:rPr>
            </w:pPr>
          </w:p>
        </w:tc>
      </w:tr>
      <w:tr w14:paraId="21BFD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47"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14:paraId="69254AB3">
            <w:pPr>
              <w:widowControl/>
              <w:spacing w:beforeLines="50" w:line="360" w:lineRule="auto"/>
              <w:rPr>
                <w:rFonts w:ascii="仿宋" w:hAnsi="仿宋" w:eastAsia="仿宋" w:cs="仿宋"/>
                <w:sz w:val="24"/>
                <w:szCs w:val="24"/>
              </w:rPr>
            </w:pPr>
          </w:p>
        </w:tc>
        <w:tc>
          <w:tcPr>
            <w:tcW w:w="1986" w:type="dxa"/>
            <w:gridSpan w:val="2"/>
            <w:tcBorders>
              <w:top w:val="single" w:color="auto" w:sz="4" w:space="0"/>
              <w:left w:val="nil"/>
              <w:bottom w:val="single" w:color="auto" w:sz="4" w:space="0"/>
              <w:right w:val="single" w:color="auto" w:sz="4" w:space="0"/>
            </w:tcBorders>
            <w:vAlign w:val="center"/>
          </w:tcPr>
          <w:p w14:paraId="70FD62CA">
            <w:pPr>
              <w:widowControl/>
              <w:spacing w:beforeLines="50" w:line="360" w:lineRule="auto"/>
              <w:jc w:val="center"/>
              <w:rPr>
                <w:rFonts w:ascii="仿宋" w:hAnsi="仿宋" w:eastAsia="仿宋" w:cs="仿宋"/>
                <w:sz w:val="24"/>
                <w:szCs w:val="24"/>
              </w:rPr>
            </w:pPr>
            <w:r>
              <w:rPr>
                <w:rFonts w:hint="eastAsia" w:ascii="仿宋" w:hAnsi="仿宋" w:eastAsia="仿宋" w:cs="仿宋"/>
                <w:sz w:val="24"/>
                <w:szCs w:val="24"/>
              </w:rPr>
              <w:t>总分</w:t>
            </w:r>
          </w:p>
        </w:tc>
        <w:tc>
          <w:tcPr>
            <w:tcW w:w="3079" w:type="dxa"/>
            <w:gridSpan w:val="3"/>
            <w:tcBorders>
              <w:top w:val="single" w:color="auto" w:sz="4" w:space="0"/>
              <w:left w:val="nil"/>
              <w:bottom w:val="single" w:color="auto" w:sz="4" w:space="0"/>
              <w:right w:val="single" w:color="auto" w:sz="4" w:space="0"/>
            </w:tcBorders>
            <w:vAlign w:val="center"/>
          </w:tcPr>
          <w:p w14:paraId="5C5E4BE3">
            <w:pPr>
              <w:spacing w:beforeLines="50" w:line="360" w:lineRule="auto"/>
              <w:jc w:val="center"/>
              <w:rPr>
                <w:rFonts w:ascii="仿宋" w:hAnsi="仿宋" w:eastAsia="仿宋" w:cs="仿宋"/>
                <w:sz w:val="24"/>
                <w:szCs w:val="24"/>
              </w:rPr>
            </w:pPr>
            <w:r>
              <w:rPr>
                <w:rFonts w:hint="eastAsia" w:ascii="仿宋" w:hAnsi="仿宋" w:eastAsia="仿宋" w:cs="仿宋"/>
                <w:sz w:val="24"/>
                <w:szCs w:val="24"/>
              </w:rPr>
              <w:t xml:space="preserve"> </w:t>
            </w:r>
          </w:p>
        </w:tc>
        <w:tc>
          <w:tcPr>
            <w:tcW w:w="1163" w:type="dxa"/>
            <w:tcBorders>
              <w:top w:val="single" w:color="auto" w:sz="4" w:space="0"/>
              <w:left w:val="nil"/>
              <w:bottom w:val="single" w:color="auto" w:sz="4" w:space="0"/>
              <w:right w:val="single" w:color="auto" w:sz="4" w:space="0"/>
            </w:tcBorders>
            <w:vAlign w:val="center"/>
          </w:tcPr>
          <w:p w14:paraId="3929573C">
            <w:pPr>
              <w:spacing w:beforeLines="50" w:line="360" w:lineRule="auto"/>
              <w:jc w:val="center"/>
              <w:rPr>
                <w:rFonts w:ascii="仿宋" w:hAnsi="仿宋" w:eastAsia="仿宋" w:cs="仿宋"/>
                <w:sz w:val="24"/>
                <w:szCs w:val="24"/>
              </w:rPr>
            </w:pPr>
          </w:p>
        </w:tc>
        <w:tc>
          <w:tcPr>
            <w:tcW w:w="2158" w:type="dxa"/>
            <w:tcBorders>
              <w:top w:val="single" w:color="auto" w:sz="4" w:space="0"/>
              <w:left w:val="nil"/>
              <w:bottom w:val="single" w:color="auto" w:sz="4" w:space="0"/>
              <w:right w:val="single" w:color="auto" w:sz="4" w:space="0"/>
            </w:tcBorders>
            <w:vAlign w:val="center"/>
          </w:tcPr>
          <w:p w14:paraId="0EAA5B42">
            <w:pPr>
              <w:spacing w:beforeLines="50" w:line="360" w:lineRule="auto"/>
              <w:jc w:val="center"/>
              <w:rPr>
                <w:rFonts w:ascii="仿宋" w:hAnsi="仿宋" w:eastAsia="仿宋" w:cs="仿宋"/>
                <w:sz w:val="24"/>
                <w:szCs w:val="24"/>
              </w:rPr>
            </w:pPr>
          </w:p>
        </w:tc>
      </w:tr>
      <w:tr w14:paraId="272BD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47" w:hRule="atLeast"/>
          <w:jc w:val="center"/>
        </w:trPr>
        <w:tc>
          <w:tcPr>
            <w:tcW w:w="9089" w:type="dxa"/>
            <w:gridSpan w:val="8"/>
            <w:tcBorders>
              <w:top w:val="single" w:color="auto" w:sz="4" w:space="0"/>
              <w:left w:val="single" w:color="auto" w:sz="4" w:space="0"/>
              <w:bottom w:val="single" w:color="auto" w:sz="4" w:space="0"/>
              <w:right w:val="single" w:color="auto" w:sz="4" w:space="0"/>
            </w:tcBorders>
            <w:vAlign w:val="center"/>
          </w:tcPr>
          <w:p w14:paraId="16F600BF">
            <w:pPr>
              <w:spacing w:beforeLines="50" w:line="360" w:lineRule="auto"/>
              <w:rPr>
                <w:rFonts w:ascii="仿宋" w:hAnsi="仿宋" w:eastAsia="仿宋" w:cs="仿宋"/>
                <w:sz w:val="24"/>
                <w:szCs w:val="24"/>
              </w:rPr>
            </w:pPr>
            <w:r>
              <w:rPr>
                <w:rFonts w:hint="eastAsia" w:ascii="仿宋" w:hAnsi="仿宋" w:eastAsia="仿宋" w:cs="仿宋"/>
                <w:sz w:val="24"/>
                <w:szCs w:val="24"/>
              </w:rPr>
              <w:t>注：所有招标文件要求的证明材料提供复印件放入投标文件。本招标项目无需提供原件。</w:t>
            </w:r>
          </w:p>
        </w:tc>
      </w:tr>
      <w:tr w14:paraId="0B0C3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47" w:hRule="atLeast"/>
          <w:jc w:val="center"/>
        </w:trPr>
        <w:tc>
          <w:tcPr>
            <w:tcW w:w="9089" w:type="dxa"/>
            <w:gridSpan w:val="8"/>
            <w:tcBorders>
              <w:top w:val="single" w:color="auto" w:sz="4" w:space="0"/>
              <w:left w:val="single" w:color="auto" w:sz="4" w:space="0"/>
              <w:bottom w:val="single" w:color="auto" w:sz="4" w:space="0"/>
              <w:right w:val="single" w:color="auto" w:sz="4" w:space="0"/>
            </w:tcBorders>
            <w:vAlign w:val="center"/>
          </w:tcPr>
          <w:p w14:paraId="76FB0F4C">
            <w:pPr>
              <w:spacing w:before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说明：投标单位在投标时依据自身投标文件内容填写“综合得分自评一览表”，此表格在评标时供评标委员会参考，最终得分以评标委员会评审为准。</w:t>
            </w:r>
          </w:p>
          <w:p w14:paraId="1D1B9EFD">
            <w:pPr>
              <w:spacing w:before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如供应商在投标时未提供或未填写“综合得分自评一览表”，则默认为投标单位无条件认可评标委员会对其综合得分分值的评定，标后不接受任何关于评分有误的质疑和投诉。</w:t>
            </w:r>
          </w:p>
        </w:tc>
      </w:tr>
    </w:tbl>
    <w:p w14:paraId="1E28BD81">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供应商应仔细查看招标公告、评标办法及招标文件中需提供的资料，确保提供齐全。</w:t>
      </w:r>
    </w:p>
    <w:p w14:paraId="510C53B2">
      <w:pPr>
        <w:adjustRightInd w:val="0"/>
        <w:snapToGrid w:val="0"/>
        <w:spacing w:line="360" w:lineRule="auto"/>
        <w:ind w:firstLine="480" w:firstLineChars="200"/>
        <w:jc w:val="right"/>
        <w:rPr>
          <w:rFonts w:ascii="仿宋" w:hAnsi="仿宋" w:eastAsia="仿宋" w:cs="仿宋"/>
          <w:sz w:val="24"/>
          <w:szCs w:val="24"/>
        </w:rPr>
      </w:pPr>
      <w:r>
        <w:rPr>
          <w:rFonts w:hint="eastAsia" w:ascii="仿宋" w:hAnsi="仿宋" w:eastAsia="仿宋" w:cs="仿宋"/>
          <w:sz w:val="24"/>
          <w:szCs w:val="24"/>
        </w:rPr>
        <w:t>供应商名称：（公章）</w:t>
      </w:r>
    </w:p>
    <w:p w14:paraId="50D326E7">
      <w:pPr>
        <w:tabs>
          <w:tab w:val="left" w:pos="3414"/>
        </w:tabs>
        <w:spacing w:line="360" w:lineRule="auto"/>
        <w:jc w:val="right"/>
        <w:rPr>
          <w:rFonts w:ascii="仿宋" w:hAnsi="仿宋" w:eastAsia="仿宋" w:cs="仿宋"/>
          <w:sz w:val="24"/>
          <w:szCs w:val="24"/>
        </w:rPr>
      </w:pPr>
      <w:r>
        <w:rPr>
          <w:rFonts w:hint="eastAsia" w:ascii="仿宋" w:hAnsi="仿宋" w:eastAsia="仿宋" w:cs="仿宋"/>
          <w:sz w:val="24"/>
          <w:szCs w:val="24"/>
        </w:rPr>
        <w:t>日期：2020年    月   日</w:t>
      </w:r>
    </w:p>
    <w:p w14:paraId="21173196">
      <w:pPr>
        <w:widowControl/>
        <w:jc w:val="left"/>
        <w:rPr>
          <w:rFonts w:ascii="仿宋" w:hAnsi="仿宋" w:eastAsia="仿宋" w:cs="仿宋"/>
          <w:b/>
          <w:sz w:val="24"/>
          <w:szCs w:val="24"/>
        </w:rPr>
      </w:pPr>
      <w:r>
        <w:rPr>
          <w:rFonts w:hint="eastAsia" w:ascii="仿宋" w:hAnsi="仿宋" w:eastAsia="仿宋" w:cs="仿宋"/>
          <w:b/>
          <w:sz w:val="24"/>
          <w:szCs w:val="24"/>
        </w:rPr>
        <w:br w:type="page"/>
      </w:r>
    </w:p>
    <w:p w14:paraId="302EC2C5">
      <w:pPr>
        <w:tabs>
          <w:tab w:val="left" w:pos="3414"/>
        </w:tabs>
        <w:spacing w:line="360" w:lineRule="auto"/>
        <w:jc w:val="center"/>
        <w:rPr>
          <w:rFonts w:ascii="仿宋" w:hAnsi="仿宋" w:eastAsia="仿宋" w:cs="仿宋"/>
          <w:b/>
          <w:sz w:val="24"/>
          <w:szCs w:val="24"/>
        </w:rPr>
      </w:pPr>
      <w:r>
        <w:rPr>
          <w:rFonts w:hint="eastAsia" w:ascii="仿宋" w:hAnsi="仿宋" w:eastAsia="仿宋" w:cs="仿宋"/>
          <w:b/>
          <w:sz w:val="24"/>
          <w:szCs w:val="24"/>
        </w:rPr>
        <w:t>格式7、承诺书</w:t>
      </w:r>
    </w:p>
    <w:p w14:paraId="7CAABB0B">
      <w:pPr>
        <w:spacing w:line="360" w:lineRule="auto"/>
        <w:jc w:val="center"/>
        <w:rPr>
          <w:rFonts w:ascii="仿宋" w:hAnsi="仿宋" w:eastAsia="仿宋" w:cs="仿宋"/>
          <w:b/>
          <w:sz w:val="24"/>
          <w:szCs w:val="24"/>
        </w:rPr>
      </w:pPr>
    </w:p>
    <w:p w14:paraId="17EE389D">
      <w:pPr>
        <w:adjustRightInd w:val="0"/>
        <w:snapToGrid w:val="0"/>
        <w:spacing w:line="360" w:lineRule="auto"/>
        <w:jc w:val="center"/>
        <w:rPr>
          <w:rFonts w:ascii="仿宋" w:hAnsi="仿宋" w:eastAsia="仿宋" w:cs="仿宋"/>
          <w:b/>
          <w:sz w:val="24"/>
          <w:szCs w:val="24"/>
        </w:rPr>
      </w:pPr>
      <w:r>
        <w:rPr>
          <w:rFonts w:hint="eastAsia" w:ascii="仿宋" w:hAnsi="仿宋" w:eastAsia="仿宋" w:cs="仿宋"/>
          <w:b/>
          <w:sz w:val="24"/>
          <w:szCs w:val="24"/>
        </w:rPr>
        <w:t>无行贿犯罪记录承诺书</w:t>
      </w:r>
    </w:p>
    <w:p w14:paraId="4E6C1C71">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致：（填写采购人名称）</w:t>
      </w:r>
    </w:p>
    <w:p w14:paraId="096C60AF">
      <w:pPr>
        <w:widowControl/>
        <w:spacing w:line="360" w:lineRule="auto"/>
        <w:ind w:firstLine="960" w:firstLineChars="400"/>
        <w:jc w:val="left"/>
        <w:rPr>
          <w:rFonts w:ascii="仿宋" w:hAnsi="仿宋" w:eastAsia="仿宋" w:cs="仿宋"/>
          <w:sz w:val="24"/>
          <w:szCs w:val="24"/>
        </w:rPr>
      </w:pPr>
      <w:r>
        <w:rPr>
          <w:rFonts w:hint="eastAsia" w:ascii="仿宋" w:hAnsi="仿宋" w:eastAsia="仿宋" w:cs="仿宋"/>
          <w:sz w:val="24"/>
          <w:szCs w:val="24"/>
        </w:rPr>
        <w:t>我公司参加</w:t>
      </w:r>
      <w:r>
        <w:rPr>
          <w:rFonts w:hint="eastAsia" w:ascii="仿宋" w:hAnsi="仿宋" w:eastAsia="仿宋" w:cs="仿宋"/>
          <w:sz w:val="24"/>
          <w:szCs w:val="24"/>
          <w:u w:val="single"/>
        </w:rPr>
        <w:t>（填写项目名称）</w:t>
      </w:r>
      <w:r>
        <w:rPr>
          <w:rFonts w:hint="eastAsia" w:ascii="仿宋" w:hAnsi="仿宋" w:eastAsia="仿宋" w:cs="仿宋"/>
          <w:sz w:val="24"/>
          <w:szCs w:val="24"/>
        </w:rPr>
        <w:t>项目，我公司此承诺，我公司无任何行贿犯罪记录。 </w:t>
      </w:r>
    </w:p>
    <w:p w14:paraId="62743BB0">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特此承诺 </w:t>
      </w:r>
    </w:p>
    <w:p w14:paraId="2322500E">
      <w:pPr>
        <w:widowControl/>
        <w:spacing w:line="360" w:lineRule="auto"/>
        <w:ind w:firstLine="480" w:firstLineChars="200"/>
        <w:jc w:val="left"/>
        <w:rPr>
          <w:rFonts w:ascii="仿宋" w:hAnsi="仿宋" w:eastAsia="仿宋" w:cs="仿宋"/>
          <w:sz w:val="24"/>
          <w:szCs w:val="24"/>
        </w:rPr>
      </w:pPr>
    </w:p>
    <w:p w14:paraId="235E9399">
      <w:pPr>
        <w:spacing w:line="360" w:lineRule="auto"/>
        <w:ind w:firstLine="480" w:firstLineChars="200"/>
        <w:jc w:val="right"/>
        <w:rPr>
          <w:rFonts w:ascii="仿宋" w:hAnsi="仿宋" w:eastAsia="仿宋" w:cs="仿宋"/>
          <w:snapToGrid w:val="0"/>
          <w:kern w:val="0"/>
          <w:sz w:val="24"/>
          <w:szCs w:val="24"/>
          <w:u w:val="single"/>
        </w:rPr>
      </w:pPr>
      <w:r>
        <w:rPr>
          <w:rFonts w:hint="eastAsia" w:ascii="仿宋" w:hAnsi="仿宋" w:eastAsia="仿宋" w:cs="仿宋"/>
          <w:snapToGrid w:val="0"/>
          <w:kern w:val="0"/>
          <w:sz w:val="24"/>
          <w:szCs w:val="24"/>
        </w:rPr>
        <w:t xml:space="preserve"> 供应商：</w:t>
      </w:r>
      <w:r>
        <w:rPr>
          <w:rFonts w:hint="eastAsia" w:ascii="仿宋" w:hAnsi="仿宋" w:eastAsia="仿宋" w:cs="仿宋"/>
          <w:snapToGrid w:val="0"/>
          <w:kern w:val="0"/>
          <w:sz w:val="24"/>
          <w:szCs w:val="24"/>
          <w:u w:val="single"/>
        </w:rPr>
        <w:t>（全称并加盖公章）</w:t>
      </w:r>
    </w:p>
    <w:p w14:paraId="581E98DD">
      <w:pPr>
        <w:spacing w:line="360" w:lineRule="auto"/>
        <w:ind w:firstLine="480" w:firstLineChars="200"/>
        <w:jc w:val="right"/>
        <w:rPr>
          <w:rFonts w:ascii="仿宋" w:hAnsi="仿宋" w:eastAsia="仿宋" w:cs="仿宋"/>
          <w:snapToGrid w:val="0"/>
          <w:kern w:val="0"/>
          <w:sz w:val="24"/>
          <w:szCs w:val="24"/>
          <w:u w:val="single"/>
        </w:rPr>
      </w:pPr>
      <w:r>
        <w:rPr>
          <w:rFonts w:hint="eastAsia" w:ascii="仿宋" w:hAnsi="仿宋" w:eastAsia="仿宋" w:cs="仿宋"/>
          <w:snapToGrid w:val="0"/>
          <w:kern w:val="0"/>
          <w:sz w:val="24"/>
          <w:szCs w:val="24"/>
        </w:rPr>
        <w:t>法定代表人或其授权委托人：</w:t>
      </w:r>
      <w:r>
        <w:rPr>
          <w:rFonts w:hint="eastAsia" w:ascii="仿宋" w:hAnsi="仿宋" w:eastAsia="仿宋" w:cs="仿宋"/>
          <w:snapToGrid w:val="0"/>
          <w:kern w:val="0"/>
          <w:sz w:val="24"/>
          <w:szCs w:val="24"/>
          <w:u w:val="single"/>
        </w:rPr>
        <w:t xml:space="preserve">   （签字或盖章） </w:t>
      </w:r>
    </w:p>
    <w:bookmarkEnd w:id="132"/>
    <w:p w14:paraId="055BD0F1">
      <w:pPr>
        <w:spacing w:line="360" w:lineRule="auto"/>
        <w:jc w:val="right"/>
        <w:rPr>
          <w:rFonts w:ascii="仿宋" w:hAnsi="仿宋" w:eastAsia="仿宋" w:cs="仿宋"/>
          <w:sz w:val="24"/>
          <w:szCs w:val="24"/>
        </w:rPr>
      </w:pPr>
      <w:bookmarkStart w:id="133" w:name="_Toc195427244"/>
      <w:bookmarkStart w:id="134" w:name="_Toc245740663"/>
      <w:bookmarkStart w:id="135" w:name="_Toc243946214"/>
      <w:bookmarkStart w:id="136" w:name="_Toc243680621"/>
      <w:bookmarkStart w:id="137" w:name="_Hlk525932776"/>
      <w:r>
        <w:rPr>
          <w:rFonts w:hint="eastAsia" w:ascii="仿宋" w:hAnsi="仿宋" w:eastAsia="仿宋" w:cs="仿宋"/>
          <w:sz w:val="24"/>
          <w:szCs w:val="24"/>
        </w:rPr>
        <w:br w:type="page"/>
      </w:r>
    </w:p>
    <w:p w14:paraId="44DEA1FD">
      <w:pPr>
        <w:widowControl/>
        <w:spacing w:line="360" w:lineRule="auto"/>
        <w:jc w:val="center"/>
        <w:rPr>
          <w:rFonts w:ascii="仿宋" w:hAnsi="仿宋" w:eastAsia="仿宋" w:cs="仿宋"/>
          <w:sz w:val="24"/>
          <w:szCs w:val="24"/>
        </w:rPr>
      </w:pPr>
      <w:r>
        <w:rPr>
          <w:rFonts w:hint="eastAsia" w:ascii="仿宋" w:hAnsi="仿宋" w:eastAsia="仿宋" w:cs="仿宋"/>
          <w:b/>
          <w:bCs/>
          <w:sz w:val="24"/>
          <w:szCs w:val="24"/>
          <w:lang w:val="zh-CN"/>
        </w:rPr>
        <w:t>格式</w:t>
      </w:r>
      <w:r>
        <w:rPr>
          <w:rFonts w:hint="eastAsia" w:ascii="仿宋" w:hAnsi="仿宋" w:eastAsia="仿宋" w:cs="仿宋"/>
          <w:b/>
          <w:bCs/>
          <w:sz w:val="24"/>
          <w:szCs w:val="24"/>
        </w:rPr>
        <w:t>8</w:t>
      </w:r>
      <w:r>
        <w:rPr>
          <w:rFonts w:hint="eastAsia" w:ascii="仿宋" w:hAnsi="仿宋" w:eastAsia="仿宋" w:cs="仿宋"/>
          <w:b/>
          <w:bCs/>
          <w:sz w:val="24"/>
          <w:szCs w:val="24"/>
          <w:lang w:val="zh-CN"/>
        </w:rPr>
        <w:t>、</w:t>
      </w:r>
      <w:bookmarkEnd w:id="133"/>
      <w:bookmarkEnd w:id="134"/>
      <w:bookmarkEnd w:id="135"/>
      <w:bookmarkEnd w:id="136"/>
      <w:r>
        <w:rPr>
          <w:rFonts w:hint="eastAsia" w:ascii="仿宋" w:hAnsi="仿宋" w:eastAsia="仿宋" w:cs="仿宋"/>
          <w:b/>
          <w:bCs/>
          <w:sz w:val="24"/>
          <w:szCs w:val="24"/>
          <w:lang w:val="zh-CN"/>
        </w:rPr>
        <w:t>中小企业声明函</w:t>
      </w:r>
    </w:p>
    <w:p w14:paraId="68A75BCE">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本公司郑重声明，根据《政府采购促进中小企业发展暂行办法》（财库〔2011〕181号）的规定，本公司为______（请填写：小型、微型）企业。即，本公司同时满足以下条件：</w:t>
      </w:r>
    </w:p>
    <w:p w14:paraId="6B36E0B0">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 根据《工业和信息化部、国家统计局、国家发展和改革委员会、财政部关于印发中小企业划型标准规定的通知》（工信部联企业〔2011〕300号）规定的划分标准，本公司为______（请填写：小型、微型）企业。</w:t>
      </w:r>
    </w:p>
    <w:p w14:paraId="53B26CE1">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 xml:space="preserve">2. 本公司参加______单位的______项目采购活动提供本企业制造的货物，由本企业承担工程、提供服务，或者提供其他______（请填写：小型、微型）企业制造的货物。本条所称货物不包括使用大型企业注册商标的货物。 本公司对上述声明的真实性负责。如有虚假，将依法承担相应责任。 </w:t>
      </w:r>
    </w:p>
    <w:p w14:paraId="4F5EA756">
      <w:pPr>
        <w:spacing w:line="360" w:lineRule="auto"/>
        <w:ind w:firstLine="480" w:firstLineChars="200"/>
        <w:jc w:val="left"/>
        <w:rPr>
          <w:rFonts w:ascii="仿宋" w:hAnsi="仿宋" w:eastAsia="仿宋" w:cs="仿宋"/>
          <w:sz w:val="24"/>
          <w:szCs w:val="24"/>
        </w:rPr>
      </w:pPr>
    </w:p>
    <w:p w14:paraId="588DD85A">
      <w:pPr>
        <w:spacing w:line="360" w:lineRule="auto"/>
        <w:ind w:firstLine="480" w:firstLineChars="200"/>
        <w:jc w:val="right"/>
        <w:rPr>
          <w:rFonts w:ascii="仿宋" w:hAnsi="仿宋" w:eastAsia="仿宋" w:cs="仿宋"/>
          <w:sz w:val="24"/>
          <w:szCs w:val="24"/>
        </w:rPr>
      </w:pPr>
      <w:r>
        <w:rPr>
          <w:rFonts w:hint="eastAsia" w:ascii="仿宋" w:hAnsi="仿宋" w:eastAsia="仿宋" w:cs="仿宋"/>
          <w:sz w:val="24"/>
          <w:szCs w:val="24"/>
        </w:rPr>
        <w:t>供应商：</w:t>
      </w:r>
      <w:r>
        <w:rPr>
          <w:rFonts w:hint="eastAsia" w:ascii="仿宋" w:hAnsi="仿宋" w:eastAsia="仿宋" w:cs="仿宋"/>
          <w:snapToGrid w:val="0"/>
          <w:kern w:val="0"/>
          <w:sz w:val="24"/>
          <w:szCs w:val="24"/>
          <w:u w:val="single"/>
        </w:rPr>
        <w:t>（全称并加盖公章）</w:t>
      </w:r>
      <w:r>
        <w:rPr>
          <w:rFonts w:hint="eastAsia" w:ascii="仿宋" w:hAnsi="仿宋" w:eastAsia="仿宋" w:cs="仿宋"/>
          <w:sz w:val="24"/>
          <w:szCs w:val="24"/>
        </w:rPr>
        <w:t xml:space="preserve"> </w:t>
      </w:r>
    </w:p>
    <w:p w14:paraId="7953334E">
      <w:pPr>
        <w:spacing w:line="360" w:lineRule="auto"/>
        <w:ind w:right="480" w:firstLine="6360" w:firstLineChars="2650"/>
        <w:rPr>
          <w:rFonts w:ascii="仿宋" w:hAnsi="仿宋" w:eastAsia="仿宋" w:cs="仿宋"/>
          <w:sz w:val="24"/>
          <w:szCs w:val="24"/>
        </w:rPr>
      </w:pPr>
      <w:r>
        <w:rPr>
          <w:rFonts w:hint="eastAsia" w:ascii="仿宋" w:hAnsi="仿宋" w:eastAsia="仿宋" w:cs="仿宋"/>
          <w:sz w:val="24"/>
          <w:szCs w:val="24"/>
        </w:rPr>
        <w:t xml:space="preserve">日 期：            </w:t>
      </w:r>
    </w:p>
    <w:bookmarkEnd w:id="137"/>
    <w:p w14:paraId="3797FC96">
      <w:pPr>
        <w:spacing w:line="360" w:lineRule="auto"/>
        <w:rPr>
          <w:rFonts w:ascii="仿宋" w:hAnsi="仿宋" w:eastAsia="仿宋" w:cs="仿宋"/>
          <w:b/>
          <w:bCs/>
          <w:sz w:val="24"/>
          <w:szCs w:val="24"/>
        </w:rPr>
      </w:pPr>
      <w:r>
        <w:rPr>
          <w:rFonts w:hint="eastAsia" w:ascii="仿宋" w:hAnsi="仿宋" w:eastAsia="仿宋" w:cs="仿宋"/>
          <w:b/>
          <w:bCs/>
          <w:sz w:val="24"/>
          <w:szCs w:val="24"/>
        </w:rPr>
        <w:t>注：</w:t>
      </w:r>
      <w:r>
        <w:rPr>
          <w:rFonts w:hint="eastAsia" w:ascii="仿宋" w:hAnsi="仿宋" w:eastAsia="仿宋" w:cs="仿宋"/>
          <w:sz w:val="24"/>
          <w:szCs w:val="24"/>
        </w:rPr>
        <w:t>1、提供《中小企业声明函》的中小微企业中，其中</w:t>
      </w:r>
      <w:r>
        <w:rPr>
          <w:rFonts w:hint="eastAsia" w:ascii="仿宋" w:hAnsi="仿宋" w:eastAsia="仿宋" w:cs="仿宋"/>
          <w:b/>
          <w:bCs/>
          <w:sz w:val="24"/>
          <w:szCs w:val="24"/>
        </w:rPr>
        <w:t>①中型</w:t>
      </w:r>
      <w:r>
        <w:rPr>
          <w:rFonts w:hint="eastAsia" w:ascii="仿宋" w:hAnsi="仿宋" w:eastAsia="仿宋" w:cs="仿宋"/>
          <w:sz w:val="24"/>
          <w:szCs w:val="24"/>
        </w:rPr>
        <w:t>企业提供《中小企业声明函》；</w:t>
      </w:r>
      <w:r>
        <w:rPr>
          <w:rFonts w:hint="eastAsia" w:ascii="仿宋" w:hAnsi="仿宋" w:eastAsia="仿宋" w:cs="仿宋"/>
          <w:b/>
          <w:bCs/>
          <w:sz w:val="24"/>
          <w:szCs w:val="24"/>
        </w:rPr>
        <w:t>②小型</w:t>
      </w:r>
      <w:r>
        <w:rPr>
          <w:rFonts w:hint="eastAsia" w:ascii="仿宋" w:hAnsi="仿宋" w:eastAsia="仿宋" w:cs="仿宋"/>
          <w:sz w:val="24"/>
          <w:szCs w:val="24"/>
        </w:rPr>
        <w:t>和</w:t>
      </w:r>
      <w:r>
        <w:rPr>
          <w:rFonts w:hint="eastAsia" w:ascii="仿宋" w:hAnsi="仿宋" w:eastAsia="仿宋" w:cs="仿宋"/>
          <w:b/>
          <w:bCs/>
          <w:sz w:val="24"/>
          <w:szCs w:val="24"/>
        </w:rPr>
        <w:t>③微型</w:t>
      </w:r>
      <w:r>
        <w:rPr>
          <w:rFonts w:hint="eastAsia" w:ascii="仿宋" w:hAnsi="仿宋" w:eastAsia="仿宋" w:cs="仿宋"/>
          <w:sz w:val="24"/>
          <w:szCs w:val="24"/>
        </w:rPr>
        <w:t>企业除提供《中小企业声明函》外，还必须随《中小企业声明函》同时提供声明单位在国家企业信用信息公示系统</w:t>
      </w:r>
      <w:r>
        <w:rPr>
          <w:rFonts w:hint="eastAsia" w:ascii="仿宋" w:hAnsi="仿宋" w:eastAsia="仿宋" w:cs="仿宋"/>
          <w:b/>
          <w:bCs/>
          <w:sz w:val="24"/>
          <w:szCs w:val="24"/>
        </w:rPr>
        <w:t>“小微企业名录”</w:t>
      </w:r>
      <w:r>
        <w:rPr>
          <w:rFonts w:hint="eastAsia" w:ascii="仿宋" w:hAnsi="仿宋" w:eastAsia="仿宋" w:cs="仿宋"/>
          <w:sz w:val="24"/>
          <w:szCs w:val="24"/>
        </w:rPr>
        <w:t>中的网页查询截图作为声明函的佐证，否则视为《中小企业声明函》无效。</w:t>
      </w:r>
    </w:p>
    <w:p w14:paraId="3F1286E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依据《政府采购促进中小企业发展暂行办法》以及安徽省财政厅安徽省经济和信息化委员会转发《财政部工业和信息化部关于印发政府采购促进中小企业发展暂行办法》的通知财购〔2012〕142号。对提交《中小企业声明函》的中型企业和提交《中小企业声明函》及国家企业信用信息公示系统</w:t>
      </w:r>
      <w:r>
        <w:rPr>
          <w:rFonts w:hint="eastAsia" w:ascii="仿宋" w:hAnsi="仿宋" w:eastAsia="仿宋" w:cs="仿宋"/>
          <w:b/>
          <w:bCs/>
          <w:sz w:val="24"/>
          <w:szCs w:val="24"/>
        </w:rPr>
        <w:t>“小微企业名录”</w:t>
      </w:r>
      <w:r>
        <w:rPr>
          <w:rFonts w:hint="eastAsia" w:ascii="仿宋" w:hAnsi="仿宋" w:eastAsia="仿宋" w:cs="仿宋"/>
          <w:sz w:val="24"/>
          <w:szCs w:val="24"/>
        </w:rPr>
        <w:t>网页查询截图的小型和微型企业的产品和服务给与价格折算。</w:t>
      </w:r>
    </w:p>
    <w:p w14:paraId="092C808D">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3、针对小型和微型企业：</w:t>
      </w:r>
      <w:r>
        <w:rPr>
          <w:rFonts w:hint="eastAsia" w:ascii="仿宋" w:hAnsi="仿宋" w:eastAsia="仿宋" w:cs="仿宋"/>
          <w:sz w:val="24"/>
          <w:szCs w:val="24"/>
        </w:rPr>
        <w:t>如供应商采用非本单位生产的货物参与投标，除提供本单位《中小企业声明函》及网页截图之外，还必须提供货物生产商的《中小企业声明函》以及在国家企业信用信息公示系统小微企业名录中的网页查询截图，否则所提供该项产品不享受价格折算政策。</w:t>
      </w:r>
    </w:p>
    <w:p w14:paraId="4989E2C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b/>
          <w:bCs/>
          <w:sz w:val="24"/>
          <w:szCs w:val="24"/>
        </w:rPr>
        <w:t>、针对中型企业：</w:t>
      </w:r>
      <w:r>
        <w:rPr>
          <w:rFonts w:hint="eastAsia" w:ascii="仿宋" w:hAnsi="仿宋" w:eastAsia="仿宋" w:cs="仿宋"/>
          <w:sz w:val="24"/>
          <w:szCs w:val="24"/>
        </w:rPr>
        <w:t>如供应商采用非本单位生产的货物参与投标，除提供本单位《中小企业声明函》之外，还必须提供货物生产商的《中小企业声明函》，否则所提供该项产品不享受价格折算政策。</w:t>
      </w:r>
    </w:p>
    <w:p w14:paraId="279F3BA4">
      <w:pPr>
        <w:spacing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5、中型企业提供小微企业的产品视同中型企业；小微企业提供中型企业生产的产品视同中型企业。</w:t>
      </w:r>
    </w:p>
    <w:p w14:paraId="053FB3D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6、《中小企业声明函》中需要注明该企业所提供货物对应在采购需求清单中的货物编号，仅对于符合政府采购价格折算政策的单位及对应产品进行价格折算。</w:t>
      </w:r>
    </w:p>
    <w:p w14:paraId="77A1BA0B">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7、政府采购价格折算后的价格仅用于计算供应商的报价分值，并非投标报价。投标报价是签订合同的依据。</w:t>
      </w:r>
    </w:p>
    <w:p w14:paraId="6331611C">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8、《中小企业声明函》随中标、成交结果同时公告，接受社会监督。供应商提供的资料与事实不符的，将依据政府采购法第七十七条第一款的规定追究法律责任。</w:t>
      </w:r>
    </w:p>
    <w:p w14:paraId="2C06F767">
      <w:pPr>
        <w:spacing w:line="360" w:lineRule="auto"/>
        <w:ind w:firstLine="480" w:firstLineChars="200"/>
        <w:rPr>
          <w:rFonts w:ascii="仿宋" w:hAnsi="仿宋" w:eastAsia="仿宋" w:cs="仿宋"/>
          <w:sz w:val="24"/>
          <w:szCs w:val="24"/>
        </w:rPr>
      </w:pPr>
    </w:p>
    <w:p w14:paraId="6D1582D9">
      <w:pPr>
        <w:pStyle w:val="3"/>
        <w:spacing w:line="360" w:lineRule="auto"/>
        <w:ind w:firstLine="0"/>
        <w:jc w:val="center"/>
        <w:rPr>
          <w:rFonts w:ascii="仿宋" w:hAnsi="仿宋" w:eastAsia="仿宋" w:cs="仿宋"/>
          <w:sz w:val="24"/>
          <w:szCs w:val="24"/>
        </w:rPr>
      </w:pPr>
    </w:p>
    <w:p w14:paraId="2F71AA0E">
      <w:pPr>
        <w:pStyle w:val="3"/>
        <w:spacing w:line="360" w:lineRule="auto"/>
        <w:ind w:firstLine="0"/>
        <w:jc w:val="center"/>
        <w:rPr>
          <w:rFonts w:ascii="仿宋" w:hAnsi="仿宋" w:eastAsia="仿宋" w:cs="仿宋"/>
          <w:sz w:val="24"/>
          <w:szCs w:val="24"/>
        </w:rPr>
      </w:pPr>
    </w:p>
    <w:p w14:paraId="2D6413E8">
      <w:pPr>
        <w:pStyle w:val="5"/>
        <w:jc w:val="both"/>
        <w:rPr>
          <w:rFonts w:ascii="仿宋" w:hAnsi="仿宋" w:eastAsia="仿宋" w:cs="仿宋"/>
          <w:highlight w:val="cyan"/>
        </w:rPr>
      </w:pPr>
    </w:p>
    <w:sectPr>
      <w:headerReference r:id="rId5" w:type="default"/>
      <w:footerReference r:id="rId6" w:type="default"/>
      <w:footerReference r:id="rId7" w:type="even"/>
      <w:type w:val="nextColumn"/>
      <w:pgSz w:w="11907" w:h="16840"/>
      <w:pgMar w:top="1440" w:right="1080" w:bottom="1440" w:left="1080" w:header="851" w:footer="1134" w:gutter="0"/>
      <w:cols w:space="720" w:num="1"/>
      <w:docGrid w:linePitch="381" w:charSpace="26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10006FF" w:usb1="4000205B" w:usb2="0000001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7DAA6">
    <w:pPr>
      <w:pStyle w:val="35"/>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C7EAF">
    <w:pPr>
      <w:pStyle w:val="35"/>
      <w:jc w:val="center"/>
    </w:pPr>
    <w:r>
      <w:fldChar w:fldCharType="begin"/>
    </w:r>
    <w:r>
      <w:instrText xml:space="preserve"> PAGE   \* MERGEFORMAT </w:instrText>
    </w:r>
    <w:r>
      <w:fldChar w:fldCharType="separate"/>
    </w:r>
    <w:r>
      <w:rPr>
        <w:lang w:val="zh-CN"/>
      </w:rPr>
      <w:t>3</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03DB6">
    <w:pPr>
      <w:pStyle w:val="35"/>
      <w:framePr w:wrap="around" w:vAnchor="text" w:hAnchor="margin" w:xAlign="center" w:y="1"/>
      <w:rPr>
        <w:rStyle w:val="57"/>
      </w:rPr>
    </w:pPr>
    <w:r>
      <w:fldChar w:fldCharType="begin"/>
    </w:r>
    <w:r>
      <w:rPr>
        <w:rStyle w:val="57"/>
      </w:rPr>
      <w:instrText xml:space="preserve">PAGE  </w:instrText>
    </w:r>
    <w:r>
      <w:fldChar w:fldCharType="end"/>
    </w:r>
  </w:p>
  <w:p w14:paraId="264622DF">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82840">
    <w:pPr>
      <w:pStyle w:val="36"/>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6313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4EB8C4"/>
    <w:multiLevelType w:val="singleLevel"/>
    <w:tmpl w:val="A84EB8C4"/>
    <w:lvl w:ilvl="0" w:tentative="0">
      <w:start w:val="1"/>
      <w:numFmt w:val="decimal"/>
      <w:suff w:val="space"/>
      <w:lvlText w:val="%1、"/>
      <w:lvlJc w:val="left"/>
    </w:lvl>
  </w:abstractNum>
  <w:abstractNum w:abstractNumId="1">
    <w:nsid w:val="BD3EBB38"/>
    <w:multiLevelType w:val="singleLevel"/>
    <w:tmpl w:val="BD3EBB38"/>
    <w:lvl w:ilvl="0" w:tentative="0">
      <w:start w:val="1"/>
      <w:numFmt w:val="chineseCounting"/>
      <w:suff w:val="nothing"/>
      <w:lvlText w:val="%1、"/>
      <w:lvlJc w:val="left"/>
      <w:rPr>
        <w:rFonts w:hint="eastAsia"/>
      </w:rPr>
    </w:lvl>
  </w:abstractNum>
  <w:abstractNum w:abstractNumId="2">
    <w:nsid w:val="CF6F70F2"/>
    <w:multiLevelType w:val="singleLevel"/>
    <w:tmpl w:val="CF6F70F2"/>
    <w:lvl w:ilvl="0" w:tentative="0">
      <w:start w:val="1"/>
      <w:numFmt w:val="chineseCounting"/>
      <w:suff w:val="nothing"/>
      <w:lvlText w:val="%1、"/>
      <w:lvlJc w:val="left"/>
      <w:rPr>
        <w:rFonts w:hint="eastAsia"/>
      </w:rPr>
    </w:lvl>
  </w:abstractNum>
  <w:abstractNum w:abstractNumId="3">
    <w:nsid w:val="FD3365E4"/>
    <w:multiLevelType w:val="singleLevel"/>
    <w:tmpl w:val="FD3365E4"/>
    <w:lvl w:ilvl="0" w:tentative="0">
      <w:start w:val="9"/>
      <w:numFmt w:val="chineseCounting"/>
      <w:suff w:val="space"/>
      <w:lvlText w:val="第%1条"/>
      <w:lvlJc w:val="left"/>
      <w:rPr>
        <w:rFonts w:hint="eastAsia"/>
      </w:rPr>
    </w:lvl>
  </w:abstractNum>
  <w:abstractNum w:abstractNumId="4">
    <w:nsid w:val="07DC3BE2"/>
    <w:multiLevelType w:val="multilevel"/>
    <w:tmpl w:val="07DC3BE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620170D"/>
    <w:multiLevelType w:val="singleLevel"/>
    <w:tmpl w:val="3620170D"/>
    <w:lvl w:ilvl="0" w:tentative="0">
      <w:start w:val="1"/>
      <w:numFmt w:val="decimal"/>
      <w:suff w:val="nothing"/>
      <w:lvlText w:val="%1、"/>
      <w:lvlJc w:val="left"/>
    </w:lvl>
  </w:abstractNum>
  <w:abstractNum w:abstractNumId="6">
    <w:nsid w:val="4418EFCE"/>
    <w:multiLevelType w:val="singleLevel"/>
    <w:tmpl w:val="4418EFCE"/>
    <w:lvl w:ilvl="0" w:tentative="0">
      <w:start w:val="2"/>
      <w:numFmt w:val="chineseCounting"/>
      <w:suff w:val="nothing"/>
      <w:lvlText w:val="%1、"/>
      <w:lvlJc w:val="left"/>
      <w:rPr>
        <w:rFonts w:hint="eastAsia"/>
      </w:rPr>
    </w:lvl>
  </w:abstractNum>
  <w:abstractNum w:abstractNumId="7">
    <w:nsid w:val="49187D6A"/>
    <w:multiLevelType w:val="singleLevel"/>
    <w:tmpl w:val="49187D6A"/>
    <w:lvl w:ilvl="0" w:tentative="0">
      <w:start w:val="1"/>
      <w:numFmt w:val="decimal"/>
      <w:suff w:val="nothing"/>
      <w:lvlText w:val="%1、"/>
      <w:lvlJc w:val="left"/>
    </w:lvl>
  </w:abstractNum>
  <w:abstractNum w:abstractNumId="8">
    <w:nsid w:val="7DC259D5"/>
    <w:multiLevelType w:val="multilevel"/>
    <w:tmpl w:val="7DC259D5"/>
    <w:lvl w:ilvl="0" w:tentative="0">
      <w:start w:val="6"/>
      <w:numFmt w:val="japaneseCounting"/>
      <w:lvlText w:val="第%1条"/>
      <w:lvlJc w:val="left"/>
      <w:pPr>
        <w:tabs>
          <w:tab w:val="left" w:pos="1125"/>
        </w:tabs>
        <w:ind w:left="1125" w:hanging="1125"/>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7"/>
  </w:num>
  <w:num w:numId="3">
    <w:abstractNumId w:val="1"/>
  </w:num>
  <w:num w:numId="4">
    <w:abstractNumId w:val="6"/>
  </w:num>
  <w:num w:numId="5">
    <w:abstractNumId w:val="2"/>
  </w:num>
  <w:num w:numId="6">
    <w:abstractNumId w:val="3"/>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5"/>
  <w:drawingGridHorizontalSpacing w:val="105"/>
  <w:drawingGridVerticalSpacing w:val="303"/>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E242DC"/>
    <w:rsid w:val="00002F51"/>
    <w:rsid w:val="00003FD0"/>
    <w:rsid w:val="00004A92"/>
    <w:rsid w:val="0001653C"/>
    <w:rsid w:val="0003127E"/>
    <w:rsid w:val="0003378A"/>
    <w:rsid w:val="000349D0"/>
    <w:rsid w:val="00040707"/>
    <w:rsid w:val="00040C8C"/>
    <w:rsid w:val="00041A05"/>
    <w:rsid w:val="00044660"/>
    <w:rsid w:val="00053948"/>
    <w:rsid w:val="00055DF3"/>
    <w:rsid w:val="00056DFA"/>
    <w:rsid w:val="00060980"/>
    <w:rsid w:val="00062250"/>
    <w:rsid w:val="00071185"/>
    <w:rsid w:val="00071A2B"/>
    <w:rsid w:val="00073197"/>
    <w:rsid w:val="0007336D"/>
    <w:rsid w:val="00090A0B"/>
    <w:rsid w:val="00096C8C"/>
    <w:rsid w:val="00096E55"/>
    <w:rsid w:val="000A611A"/>
    <w:rsid w:val="000A6273"/>
    <w:rsid w:val="000B0F9D"/>
    <w:rsid w:val="000C4060"/>
    <w:rsid w:val="000C5A9D"/>
    <w:rsid w:val="000C75E4"/>
    <w:rsid w:val="000D1115"/>
    <w:rsid w:val="000D2541"/>
    <w:rsid w:val="000E4989"/>
    <w:rsid w:val="000F15D2"/>
    <w:rsid w:val="000F19D7"/>
    <w:rsid w:val="000F34B4"/>
    <w:rsid w:val="000F5039"/>
    <w:rsid w:val="00100440"/>
    <w:rsid w:val="0011014E"/>
    <w:rsid w:val="00111F39"/>
    <w:rsid w:val="00112A19"/>
    <w:rsid w:val="001253DC"/>
    <w:rsid w:val="0012620B"/>
    <w:rsid w:val="00126F9B"/>
    <w:rsid w:val="00132125"/>
    <w:rsid w:val="00132CB4"/>
    <w:rsid w:val="00140892"/>
    <w:rsid w:val="00144123"/>
    <w:rsid w:val="00145ECF"/>
    <w:rsid w:val="00146CF3"/>
    <w:rsid w:val="00165266"/>
    <w:rsid w:val="00177C8D"/>
    <w:rsid w:val="00180923"/>
    <w:rsid w:val="0018271D"/>
    <w:rsid w:val="00192C6C"/>
    <w:rsid w:val="00192D57"/>
    <w:rsid w:val="001A09F0"/>
    <w:rsid w:val="001A1A02"/>
    <w:rsid w:val="001A25C7"/>
    <w:rsid w:val="001A3D13"/>
    <w:rsid w:val="001B0513"/>
    <w:rsid w:val="001B1C93"/>
    <w:rsid w:val="001B6614"/>
    <w:rsid w:val="001C2BE6"/>
    <w:rsid w:val="001C5063"/>
    <w:rsid w:val="001C75BA"/>
    <w:rsid w:val="001D0694"/>
    <w:rsid w:val="001D080D"/>
    <w:rsid w:val="001D1B28"/>
    <w:rsid w:val="001E0AEA"/>
    <w:rsid w:val="001E7F9A"/>
    <w:rsid w:val="001F06A6"/>
    <w:rsid w:val="001F1ACB"/>
    <w:rsid w:val="001F3CE8"/>
    <w:rsid w:val="001F7648"/>
    <w:rsid w:val="00200D69"/>
    <w:rsid w:val="00211137"/>
    <w:rsid w:val="00212542"/>
    <w:rsid w:val="00213CF9"/>
    <w:rsid w:val="00215325"/>
    <w:rsid w:val="00217E46"/>
    <w:rsid w:val="00221784"/>
    <w:rsid w:val="0022421B"/>
    <w:rsid w:val="00225FCB"/>
    <w:rsid w:val="00230328"/>
    <w:rsid w:val="00231781"/>
    <w:rsid w:val="00233B4D"/>
    <w:rsid w:val="0023497A"/>
    <w:rsid w:val="002349EB"/>
    <w:rsid w:val="002352A0"/>
    <w:rsid w:val="002439D4"/>
    <w:rsid w:val="00247804"/>
    <w:rsid w:val="00257204"/>
    <w:rsid w:val="00260C39"/>
    <w:rsid w:val="002614D2"/>
    <w:rsid w:val="00262342"/>
    <w:rsid w:val="00262B8A"/>
    <w:rsid w:val="00272636"/>
    <w:rsid w:val="00282D22"/>
    <w:rsid w:val="00282E2C"/>
    <w:rsid w:val="002937D7"/>
    <w:rsid w:val="002A025B"/>
    <w:rsid w:val="002A18CE"/>
    <w:rsid w:val="002A22EF"/>
    <w:rsid w:val="002B6EE6"/>
    <w:rsid w:val="002C487C"/>
    <w:rsid w:val="002D0BBF"/>
    <w:rsid w:val="002D176C"/>
    <w:rsid w:val="002D6242"/>
    <w:rsid w:val="002D7AC8"/>
    <w:rsid w:val="002E0B2A"/>
    <w:rsid w:val="002E3259"/>
    <w:rsid w:val="002E40D8"/>
    <w:rsid w:val="002E5B44"/>
    <w:rsid w:val="002E7BEF"/>
    <w:rsid w:val="002F6208"/>
    <w:rsid w:val="00307DD5"/>
    <w:rsid w:val="0031175D"/>
    <w:rsid w:val="00316690"/>
    <w:rsid w:val="00317484"/>
    <w:rsid w:val="00332570"/>
    <w:rsid w:val="00335A06"/>
    <w:rsid w:val="00344176"/>
    <w:rsid w:val="00345C9D"/>
    <w:rsid w:val="00346D63"/>
    <w:rsid w:val="003501F9"/>
    <w:rsid w:val="00350471"/>
    <w:rsid w:val="003529F6"/>
    <w:rsid w:val="003559D0"/>
    <w:rsid w:val="00355D57"/>
    <w:rsid w:val="00366A1E"/>
    <w:rsid w:val="00381DB3"/>
    <w:rsid w:val="00387117"/>
    <w:rsid w:val="00391F06"/>
    <w:rsid w:val="00395F9B"/>
    <w:rsid w:val="003A3A8A"/>
    <w:rsid w:val="003A5AC0"/>
    <w:rsid w:val="003B2F5E"/>
    <w:rsid w:val="003B7E1B"/>
    <w:rsid w:val="003C0DEE"/>
    <w:rsid w:val="003C7D2E"/>
    <w:rsid w:val="003E098E"/>
    <w:rsid w:val="003E1BB9"/>
    <w:rsid w:val="003E2446"/>
    <w:rsid w:val="003E581D"/>
    <w:rsid w:val="00417622"/>
    <w:rsid w:val="00425234"/>
    <w:rsid w:val="00431B48"/>
    <w:rsid w:val="00432AD2"/>
    <w:rsid w:val="004336BA"/>
    <w:rsid w:val="0043394F"/>
    <w:rsid w:val="0043681D"/>
    <w:rsid w:val="00447CD1"/>
    <w:rsid w:val="00453887"/>
    <w:rsid w:val="00453A25"/>
    <w:rsid w:val="004548C9"/>
    <w:rsid w:val="004605C5"/>
    <w:rsid w:val="00463239"/>
    <w:rsid w:val="004633EA"/>
    <w:rsid w:val="00465906"/>
    <w:rsid w:val="00466676"/>
    <w:rsid w:val="00480C85"/>
    <w:rsid w:val="004917DE"/>
    <w:rsid w:val="00491AD8"/>
    <w:rsid w:val="00493B70"/>
    <w:rsid w:val="004965E8"/>
    <w:rsid w:val="004A1FD4"/>
    <w:rsid w:val="004A4867"/>
    <w:rsid w:val="004A68F2"/>
    <w:rsid w:val="004A6CD6"/>
    <w:rsid w:val="004B10B9"/>
    <w:rsid w:val="004B404D"/>
    <w:rsid w:val="004B547A"/>
    <w:rsid w:val="004C2275"/>
    <w:rsid w:val="004D33B2"/>
    <w:rsid w:val="004D54E0"/>
    <w:rsid w:val="004D6585"/>
    <w:rsid w:val="004E07D5"/>
    <w:rsid w:val="004F534C"/>
    <w:rsid w:val="005003EC"/>
    <w:rsid w:val="0051238C"/>
    <w:rsid w:val="0051765C"/>
    <w:rsid w:val="00520C9D"/>
    <w:rsid w:val="00520E51"/>
    <w:rsid w:val="005319F7"/>
    <w:rsid w:val="00535EC9"/>
    <w:rsid w:val="00536BCA"/>
    <w:rsid w:val="00541605"/>
    <w:rsid w:val="005443AA"/>
    <w:rsid w:val="00544EBE"/>
    <w:rsid w:val="00545948"/>
    <w:rsid w:val="005473A7"/>
    <w:rsid w:val="0055125B"/>
    <w:rsid w:val="005618EE"/>
    <w:rsid w:val="00565C4F"/>
    <w:rsid w:val="00566667"/>
    <w:rsid w:val="00572808"/>
    <w:rsid w:val="00574B1C"/>
    <w:rsid w:val="00580995"/>
    <w:rsid w:val="005822E2"/>
    <w:rsid w:val="00592FA7"/>
    <w:rsid w:val="005971BD"/>
    <w:rsid w:val="005A0EC4"/>
    <w:rsid w:val="005A702A"/>
    <w:rsid w:val="005B116C"/>
    <w:rsid w:val="005B3F5B"/>
    <w:rsid w:val="005B58EF"/>
    <w:rsid w:val="005B5A56"/>
    <w:rsid w:val="005C1770"/>
    <w:rsid w:val="005C5DAC"/>
    <w:rsid w:val="005C6DDD"/>
    <w:rsid w:val="005D0057"/>
    <w:rsid w:val="005D05EB"/>
    <w:rsid w:val="005D0635"/>
    <w:rsid w:val="005D114C"/>
    <w:rsid w:val="005D293D"/>
    <w:rsid w:val="005D2988"/>
    <w:rsid w:val="005D2B81"/>
    <w:rsid w:val="005E2D87"/>
    <w:rsid w:val="005F0685"/>
    <w:rsid w:val="005F1959"/>
    <w:rsid w:val="005F302C"/>
    <w:rsid w:val="005F473A"/>
    <w:rsid w:val="00605C09"/>
    <w:rsid w:val="006109E7"/>
    <w:rsid w:val="00611252"/>
    <w:rsid w:val="0061143F"/>
    <w:rsid w:val="006122A2"/>
    <w:rsid w:val="00616D4F"/>
    <w:rsid w:val="006170DD"/>
    <w:rsid w:val="00620FFF"/>
    <w:rsid w:val="00623B91"/>
    <w:rsid w:val="00623F4C"/>
    <w:rsid w:val="006247D1"/>
    <w:rsid w:val="006309C9"/>
    <w:rsid w:val="00631A52"/>
    <w:rsid w:val="0063201C"/>
    <w:rsid w:val="00646FBE"/>
    <w:rsid w:val="00652C36"/>
    <w:rsid w:val="00655ADF"/>
    <w:rsid w:val="00656394"/>
    <w:rsid w:val="00657699"/>
    <w:rsid w:val="00660415"/>
    <w:rsid w:val="0066124A"/>
    <w:rsid w:val="0066347D"/>
    <w:rsid w:val="006653D1"/>
    <w:rsid w:val="00672CB4"/>
    <w:rsid w:val="00675F78"/>
    <w:rsid w:val="00681802"/>
    <w:rsid w:val="0068242B"/>
    <w:rsid w:val="00682651"/>
    <w:rsid w:val="00684F52"/>
    <w:rsid w:val="006878B6"/>
    <w:rsid w:val="006933E5"/>
    <w:rsid w:val="0069441C"/>
    <w:rsid w:val="00694C67"/>
    <w:rsid w:val="006A6872"/>
    <w:rsid w:val="006A7E64"/>
    <w:rsid w:val="006B1A99"/>
    <w:rsid w:val="006B3428"/>
    <w:rsid w:val="006B3832"/>
    <w:rsid w:val="006B7A12"/>
    <w:rsid w:val="006C24AC"/>
    <w:rsid w:val="006C5BA9"/>
    <w:rsid w:val="006D20AB"/>
    <w:rsid w:val="006D21E7"/>
    <w:rsid w:val="006D28A7"/>
    <w:rsid w:val="006D3523"/>
    <w:rsid w:val="006E4D5F"/>
    <w:rsid w:val="006F1C6E"/>
    <w:rsid w:val="007013C6"/>
    <w:rsid w:val="007014FD"/>
    <w:rsid w:val="00702DEA"/>
    <w:rsid w:val="007062F3"/>
    <w:rsid w:val="007106D4"/>
    <w:rsid w:val="00731F9D"/>
    <w:rsid w:val="00733C57"/>
    <w:rsid w:val="007360DD"/>
    <w:rsid w:val="00740A69"/>
    <w:rsid w:val="00740C35"/>
    <w:rsid w:val="00740D90"/>
    <w:rsid w:val="007524BA"/>
    <w:rsid w:val="00755FF0"/>
    <w:rsid w:val="0075681B"/>
    <w:rsid w:val="00765684"/>
    <w:rsid w:val="007701AA"/>
    <w:rsid w:val="00771EBA"/>
    <w:rsid w:val="007722C3"/>
    <w:rsid w:val="007759D2"/>
    <w:rsid w:val="0078399D"/>
    <w:rsid w:val="00787C0D"/>
    <w:rsid w:val="00793233"/>
    <w:rsid w:val="0079596D"/>
    <w:rsid w:val="007A06A1"/>
    <w:rsid w:val="007A4784"/>
    <w:rsid w:val="007A5B5A"/>
    <w:rsid w:val="007A62A5"/>
    <w:rsid w:val="007B0244"/>
    <w:rsid w:val="007B4E10"/>
    <w:rsid w:val="007B7599"/>
    <w:rsid w:val="007C4E7B"/>
    <w:rsid w:val="007C7B1D"/>
    <w:rsid w:val="007D067B"/>
    <w:rsid w:val="007D3DF9"/>
    <w:rsid w:val="007D4E1B"/>
    <w:rsid w:val="007E0869"/>
    <w:rsid w:val="007E154C"/>
    <w:rsid w:val="007E1929"/>
    <w:rsid w:val="007E3642"/>
    <w:rsid w:val="007F08F8"/>
    <w:rsid w:val="00802903"/>
    <w:rsid w:val="00811BF3"/>
    <w:rsid w:val="00821033"/>
    <w:rsid w:val="008252BC"/>
    <w:rsid w:val="00826C23"/>
    <w:rsid w:val="00833BB9"/>
    <w:rsid w:val="00833BFE"/>
    <w:rsid w:val="00835293"/>
    <w:rsid w:val="00836312"/>
    <w:rsid w:val="00845BA5"/>
    <w:rsid w:val="00846CA1"/>
    <w:rsid w:val="00846FB6"/>
    <w:rsid w:val="00851C15"/>
    <w:rsid w:val="0085306E"/>
    <w:rsid w:val="00856486"/>
    <w:rsid w:val="00861AB6"/>
    <w:rsid w:val="00862B6C"/>
    <w:rsid w:val="00866EE1"/>
    <w:rsid w:val="00875222"/>
    <w:rsid w:val="00892A9C"/>
    <w:rsid w:val="008A391F"/>
    <w:rsid w:val="008B5CD7"/>
    <w:rsid w:val="008C0F36"/>
    <w:rsid w:val="008C14BC"/>
    <w:rsid w:val="008C2317"/>
    <w:rsid w:val="008C23C4"/>
    <w:rsid w:val="008C392C"/>
    <w:rsid w:val="008C6718"/>
    <w:rsid w:val="008C78F8"/>
    <w:rsid w:val="008D3A45"/>
    <w:rsid w:val="008D3A62"/>
    <w:rsid w:val="008D4C5C"/>
    <w:rsid w:val="008D4EA8"/>
    <w:rsid w:val="008D6AE5"/>
    <w:rsid w:val="008E0831"/>
    <w:rsid w:val="008E1A68"/>
    <w:rsid w:val="0090040F"/>
    <w:rsid w:val="0090203D"/>
    <w:rsid w:val="00914BFC"/>
    <w:rsid w:val="00915063"/>
    <w:rsid w:val="00924F05"/>
    <w:rsid w:val="00925C01"/>
    <w:rsid w:val="0092780D"/>
    <w:rsid w:val="0093188A"/>
    <w:rsid w:val="00932021"/>
    <w:rsid w:val="0093752B"/>
    <w:rsid w:val="00944E41"/>
    <w:rsid w:val="0094698F"/>
    <w:rsid w:val="00950784"/>
    <w:rsid w:val="00955B2A"/>
    <w:rsid w:val="00957FD7"/>
    <w:rsid w:val="00961E4E"/>
    <w:rsid w:val="009716C6"/>
    <w:rsid w:val="0098053B"/>
    <w:rsid w:val="00980D39"/>
    <w:rsid w:val="00984A9A"/>
    <w:rsid w:val="00991BDF"/>
    <w:rsid w:val="00994F34"/>
    <w:rsid w:val="009A3590"/>
    <w:rsid w:val="009A7C2A"/>
    <w:rsid w:val="009A7EA4"/>
    <w:rsid w:val="009B04CE"/>
    <w:rsid w:val="009B301C"/>
    <w:rsid w:val="009C12E6"/>
    <w:rsid w:val="009C2B88"/>
    <w:rsid w:val="009C3D71"/>
    <w:rsid w:val="009D215A"/>
    <w:rsid w:val="009D6349"/>
    <w:rsid w:val="009E5C07"/>
    <w:rsid w:val="009E6C20"/>
    <w:rsid w:val="009F1922"/>
    <w:rsid w:val="009F5565"/>
    <w:rsid w:val="009F61A0"/>
    <w:rsid w:val="009F69EF"/>
    <w:rsid w:val="009F6EAE"/>
    <w:rsid w:val="00A01BB7"/>
    <w:rsid w:val="00A021D0"/>
    <w:rsid w:val="00A0276B"/>
    <w:rsid w:val="00A033F7"/>
    <w:rsid w:val="00A04D2F"/>
    <w:rsid w:val="00A05989"/>
    <w:rsid w:val="00A05C3E"/>
    <w:rsid w:val="00A07C38"/>
    <w:rsid w:val="00A10B04"/>
    <w:rsid w:val="00A17E93"/>
    <w:rsid w:val="00A242F3"/>
    <w:rsid w:val="00A30FF4"/>
    <w:rsid w:val="00A31DF8"/>
    <w:rsid w:val="00A36BF5"/>
    <w:rsid w:val="00A45368"/>
    <w:rsid w:val="00A501B4"/>
    <w:rsid w:val="00A5199D"/>
    <w:rsid w:val="00A51D7F"/>
    <w:rsid w:val="00A53549"/>
    <w:rsid w:val="00A54364"/>
    <w:rsid w:val="00A54C15"/>
    <w:rsid w:val="00A557CA"/>
    <w:rsid w:val="00A55B08"/>
    <w:rsid w:val="00A6446E"/>
    <w:rsid w:val="00A71CA1"/>
    <w:rsid w:val="00A743E8"/>
    <w:rsid w:val="00A7612F"/>
    <w:rsid w:val="00A77542"/>
    <w:rsid w:val="00A853B8"/>
    <w:rsid w:val="00A870DD"/>
    <w:rsid w:val="00A91147"/>
    <w:rsid w:val="00A913C3"/>
    <w:rsid w:val="00A93610"/>
    <w:rsid w:val="00AB01A4"/>
    <w:rsid w:val="00AB5254"/>
    <w:rsid w:val="00AC4D8A"/>
    <w:rsid w:val="00AD3885"/>
    <w:rsid w:val="00AD53FA"/>
    <w:rsid w:val="00AD6331"/>
    <w:rsid w:val="00AD71CB"/>
    <w:rsid w:val="00AD7D28"/>
    <w:rsid w:val="00AD7E8E"/>
    <w:rsid w:val="00AE3942"/>
    <w:rsid w:val="00AE411C"/>
    <w:rsid w:val="00AE5A9A"/>
    <w:rsid w:val="00AE7558"/>
    <w:rsid w:val="00AF6B15"/>
    <w:rsid w:val="00B06A9A"/>
    <w:rsid w:val="00B2137F"/>
    <w:rsid w:val="00B23C8D"/>
    <w:rsid w:val="00B24AB1"/>
    <w:rsid w:val="00B24B3E"/>
    <w:rsid w:val="00B32A15"/>
    <w:rsid w:val="00B32A7C"/>
    <w:rsid w:val="00B36551"/>
    <w:rsid w:val="00B41B2D"/>
    <w:rsid w:val="00B51B1D"/>
    <w:rsid w:val="00B63A3F"/>
    <w:rsid w:val="00B63B0E"/>
    <w:rsid w:val="00B6401E"/>
    <w:rsid w:val="00B64701"/>
    <w:rsid w:val="00B74BE4"/>
    <w:rsid w:val="00B85DB5"/>
    <w:rsid w:val="00B85F82"/>
    <w:rsid w:val="00B87B9F"/>
    <w:rsid w:val="00B900C8"/>
    <w:rsid w:val="00B957B1"/>
    <w:rsid w:val="00B95910"/>
    <w:rsid w:val="00BA2A66"/>
    <w:rsid w:val="00BA33BE"/>
    <w:rsid w:val="00BA53B1"/>
    <w:rsid w:val="00BB2689"/>
    <w:rsid w:val="00BB48BC"/>
    <w:rsid w:val="00BB4ED7"/>
    <w:rsid w:val="00BC051A"/>
    <w:rsid w:val="00BC6983"/>
    <w:rsid w:val="00BE1095"/>
    <w:rsid w:val="00BE2E18"/>
    <w:rsid w:val="00BF4744"/>
    <w:rsid w:val="00BF6FE5"/>
    <w:rsid w:val="00C0531D"/>
    <w:rsid w:val="00C10733"/>
    <w:rsid w:val="00C1557C"/>
    <w:rsid w:val="00C17AE8"/>
    <w:rsid w:val="00C20AD5"/>
    <w:rsid w:val="00C26A7F"/>
    <w:rsid w:val="00C322A4"/>
    <w:rsid w:val="00C32F0B"/>
    <w:rsid w:val="00C35612"/>
    <w:rsid w:val="00C42176"/>
    <w:rsid w:val="00C42D06"/>
    <w:rsid w:val="00C502CD"/>
    <w:rsid w:val="00C50795"/>
    <w:rsid w:val="00C5307C"/>
    <w:rsid w:val="00C56110"/>
    <w:rsid w:val="00C644F3"/>
    <w:rsid w:val="00C65A60"/>
    <w:rsid w:val="00C662D5"/>
    <w:rsid w:val="00C677D0"/>
    <w:rsid w:val="00C8090E"/>
    <w:rsid w:val="00C83F5F"/>
    <w:rsid w:val="00C911E7"/>
    <w:rsid w:val="00C93271"/>
    <w:rsid w:val="00CA416E"/>
    <w:rsid w:val="00CB2904"/>
    <w:rsid w:val="00CB308B"/>
    <w:rsid w:val="00CB5076"/>
    <w:rsid w:val="00CB6171"/>
    <w:rsid w:val="00CB6282"/>
    <w:rsid w:val="00CC2EA2"/>
    <w:rsid w:val="00CC7F57"/>
    <w:rsid w:val="00CD262D"/>
    <w:rsid w:val="00CD3A6D"/>
    <w:rsid w:val="00CE27BB"/>
    <w:rsid w:val="00CE4779"/>
    <w:rsid w:val="00CE7120"/>
    <w:rsid w:val="00CF2711"/>
    <w:rsid w:val="00CF2DA8"/>
    <w:rsid w:val="00D02BA5"/>
    <w:rsid w:val="00D05A1C"/>
    <w:rsid w:val="00D141C0"/>
    <w:rsid w:val="00D1647A"/>
    <w:rsid w:val="00D16668"/>
    <w:rsid w:val="00D207B4"/>
    <w:rsid w:val="00D32657"/>
    <w:rsid w:val="00D33E92"/>
    <w:rsid w:val="00D37915"/>
    <w:rsid w:val="00D40AF0"/>
    <w:rsid w:val="00D5324C"/>
    <w:rsid w:val="00D60C85"/>
    <w:rsid w:val="00D65919"/>
    <w:rsid w:val="00D664A2"/>
    <w:rsid w:val="00D708A3"/>
    <w:rsid w:val="00D71C51"/>
    <w:rsid w:val="00D7328B"/>
    <w:rsid w:val="00D73653"/>
    <w:rsid w:val="00D77B56"/>
    <w:rsid w:val="00D77E3C"/>
    <w:rsid w:val="00D83304"/>
    <w:rsid w:val="00D8375D"/>
    <w:rsid w:val="00D8588A"/>
    <w:rsid w:val="00D92AF0"/>
    <w:rsid w:val="00D92B40"/>
    <w:rsid w:val="00D958E8"/>
    <w:rsid w:val="00D96EC2"/>
    <w:rsid w:val="00DA2063"/>
    <w:rsid w:val="00DC0A66"/>
    <w:rsid w:val="00DC347F"/>
    <w:rsid w:val="00DC7F35"/>
    <w:rsid w:val="00DE388E"/>
    <w:rsid w:val="00E014F3"/>
    <w:rsid w:val="00E035F5"/>
    <w:rsid w:val="00E038A2"/>
    <w:rsid w:val="00E0509A"/>
    <w:rsid w:val="00E0509E"/>
    <w:rsid w:val="00E064B3"/>
    <w:rsid w:val="00E06727"/>
    <w:rsid w:val="00E12057"/>
    <w:rsid w:val="00E1471D"/>
    <w:rsid w:val="00E20096"/>
    <w:rsid w:val="00E23771"/>
    <w:rsid w:val="00E2388E"/>
    <w:rsid w:val="00E242DC"/>
    <w:rsid w:val="00E27E8E"/>
    <w:rsid w:val="00E31FC6"/>
    <w:rsid w:val="00E455B1"/>
    <w:rsid w:val="00E57D67"/>
    <w:rsid w:val="00E676BB"/>
    <w:rsid w:val="00E72F79"/>
    <w:rsid w:val="00E74DEE"/>
    <w:rsid w:val="00E761BE"/>
    <w:rsid w:val="00E81D4D"/>
    <w:rsid w:val="00E82DDB"/>
    <w:rsid w:val="00E83FB8"/>
    <w:rsid w:val="00E940AE"/>
    <w:rsid w:val="00E973FB"/>
    <w:rsid w:val="00EA4498"/>
    <w:rsid w:val="00EA4654"/>
    <w:rsid w:val="00EA5DC4"/>
    <w:rsid w:val="00EA6989"/>
    <w:rsid w:val="00EB34DF"/>
    <w:rsid w:val="00EC2924"/>
    <w:rsid w:val="00ED0B68"/>
    <w:rsid w:val="00ED3054"/>
    <w:rsid w:val="00ED3DAD"/>
    <w:rsid w:val="00ED58DB"/>
    <w:rsid w:val="00EE3193"/>
    <w:rsid w:val="00EE590B"/>
    <w:rsid w:val="00EF3D7B"/>
    <w:rsid w:val="00EF57C0"/>
    <w:rsid w:val="00EF6AA0"/>
    <w:rsid w:val="00F11D16"/>
    <w:rsid w:val="00F125D9"/>
    <w:rsid w:val="00F12758"/>
    <w:rsid w:val="00F13632"/>
    <w:rsid w:val="00F21F64"/>
    <w:rsid w:val="00F24599"/>
    <w:rsid w:val="00F2539E"/>
    <w:rsid w:val="00F26D2B"/>
    <w:rsid w:val="00F31928"/>
    <w:rsid w:val="00F32019"/>
    <w:rsid w:val="00F34465"/>
    <w:rsid w:val="00F3661D"/>
    <w:rsid w:val="00F431D0"/>
    <w:rsid w:val="00F45328"/>
    <w:rsid w:val="00F5502E"/>
    <w:rsid w:val="00F578C3"/>
    <w:rsid w:val="00F60CF4"/>
    <w:rsid w:val="00F6226C"/>
    <w:rsid w:val="00F62C0B"/>
    <w:rsid w:val="00F63940"/>
    <w:rsid w:val="00F76B84"/>
    <w:rsid w:val="00F911E3"/>
    <w:rsid w:val="00F93C1E"/>
    <w:rsid w:val="00F9457D"/>
    <w:rsid w:val="00F95F3E"/>
    <w:rsid w:val="00FB2207"/>
    <w:rsid w:val="00FB69B1"/>
    <w:rsid w:val="00FB78FA"/>
    <w:rsid w:val="00FC6639"/>
    <w:rsid w:val="00FC7161"/>
    <w:rsid w:val="00FC791B"/>
    <w:rsid w:val="00FD0998"/>
    <w:rsid w:val="00FD168C"/>
    <w:rsid w:val="00FD2862"/>
    <w:rsid w:val="00FD3DAA"/>
    <w:rsid w:val="00FD4CBD"/>
    <w:rsid w:val="00FD555C"/>
    <w:rsid w:val="00FE4784"/>
    <w:rsid w:val="00FE6B98"/>
    <w:rsid w:val="00FF05DE"/>
    <w:rsid w:val="00FF1E7C"/>
    <w:rsid w:val="00FF2B66"/>
    <w:rsid w:val="00FF34AA"/>
    <w:rsid w:val="00FF5C7B"/>
    <w:rsid w:val="01207840"/>
    <w:rsid w:val="017B18CA"/>
    <w:rsid w:val="01A301C9"/>
    <w:rsid w:val="02A76C87"/>
    <w:rsid w:val="02CE4078"/>
    <w:rsid w:val="02EA0642"/>
    <w:rsid w:val="04DB2074"/>
    <w:rsid w:val="052B14B8"/>
    <w:rsid w:val="05413483"/>
    <w:rsid w:val="057C4A5D"/>
    <w:rsid w:val="05EB0880"/>
    <w:rsid w:val="068E6D7A"/>
    <w:rsid w:val="06906975"/>
    <w:rsid w:val="06980C5E"/>
    <w:rsid w:val="06FE77AB"/>
    <w:rsid w:val="0759682D"/>
    <w:rsid w:val="0766518E"/>
    <w:rsid w:val="07CF3DA1"/>
    <w:rsid w:val="080333DF"/>
    <w:rsid w:val="08423B07"/>
    <w:rsid w:val="086A6D5B"/>
    <w:rsid w:val="08D128BC"/>
    <w:rsid w:val="08F5249C"/>
    <w:rsid w:val="092E266F"/>
    <w:rsid w:val="097218AE"/>
    <w:rsid w:val="09890719"/>
    <w:rsid w:val="09C44836"/>
    <w:rsid w:val="09CF0B2B"/>
    <w:rsid w:val="09D47B29"/>
    <w:rsid w:val="0A48265F"/>
    <w:rsid w:val="0A684484"/>
    <w:rsid w:val="0A807BF9"/>
    <w:rsid w:val="0ADD32C0"/>
    <w:rsid w:val="0AF1719A"/>
    <w:rsid w:val="0B10636E"/>
    <w:rsid w:val="0B494B6D"/>
    <w:rsid w:val="0B822D73"/>
    <w:rsid w:val="0B8D61E3"/>
    <w:rsid w:val="0BDA236E"/>
    <w:rsid w:val="0C0E4705"/>
    <w:rsid w:val="0CA42DB1"/>
    <w:rsid w:val="0CAA2923"/>
    <w:rsid w:val="0D2E57ED"/>
    <w:rsid w:val="0D5D331C"/>
    <w:rsid w:val="0D7426FB"/>
    <w:rsid w:val="0DCC7E64"/>
    <w:rsid w:val="0DCD657A"/>
    <w:rsid w:val="0E167621"/>
    <w:rsid w:val="0E30707F"/>
    <w:rsid w:val="0E35677C"/>
    <w:rsid w:val="0E7261B4"/>
    <w:rsid w:val="0F422796"/>
    <w:rsid w:val="0F5E5EAE"/>
    <w:rsid w:val="0F8C39AA"/>
    <w:rsid w:val="10226D07"/>
    <w:rsid w:val="10890FBA"/>
    <w:rsid w:val="108F46DF"/>
    <w:rsid w:val="109150E6"/>
    <w:rsid w:val="11955150"/>
    <w:rsid w:val="123E4AE6"/>
    <w:rsid w:val="1251521B"/>
    <w:rsid w:val="1279354C"/>
    <w:rsid w:val="13490A90"/>
    <w:rsid w:val="143752F8"/>
    <w:rsid w:val="143C61FC"/>
    <w:rsid w:val="14715C13"/>
    <w:rsid w:val="147268E2"/>
    <w:rsid w:val="14E31908"/>
    <w:rsid w:val="15A658B7"/>
    <w:rsid w:val="15B57AA2"/>
    <w:rsid w:val="160732E4"/>
    <w:rsid w:val="16892A6D"/>
    <w:rsid w:val="16D50F46"/>
    <w:rsid w:val="1826678E"/>
    <w:rsid w:val="183A375A"/>
    <w:rsid w:val="187A5546"/>
    <w:rsid w:val="18A60201"/>
    <w:rsid w:val="193A3EFB"/>
    <w:rsid w:val="197E143D"/>
    <w:rsid w:val="1A027EB4"/>
    <w:rsid w:val="1A0371FA"/>
    <w:rsid w:val="1A331444"/>
    <w:rsid w:val="1A3F0F29"/>
    <w:rsid w:val="1A6A2AEE"/>
    <w:rsid w:val="1A99121F"/>
    <w:rsid w:val="1ACE4C5B"/>
    <w:rsid w:val="1B357228"/>
    <w:rsid w:val="1B3D03F1"/>
    <w:rsid w:val="1BC70DB8"/>
    <w:rsid w:val="1C18163F"/>
    <w:rsid w:val="1C833807"/>
    <w:rsid w:val="1CC740CF"/>
    <w:rsid w:val="1CDA5EF2"/>
    <w:rsid w:val="1D9E74DB"/>
    <w:rsid w:val="1DA465D1"/>
    <w:rsid w:val="1DB12658"/>
    <w:rsid w:val="1EAD3244"/>
    <w:rsid w:val="1F5943D4"/>
    <w:rsid w:val="1F5972D2"/>
    <w:rsid w:val="1FB228C0"/>
    <w:rsid w:val="1FF6754E"/>
    <w:rsid w:val="202D3727"/>
    <w:rsid w:val="208E38F6"/>
    <w:rsid w:val="212D65C0"/>
    <w:rsid w:val="217E517A"/>
    <w:rsid w:val="21C140A4"/>
    <w:rsid w:val="22191AB0"/>
    <w:rsid w:val="22280092"/>
    <w:rsid w:val="23237689"/>
    <w:rsid w:val="244567C6"/>
    <w:rsid w:val="24F149CC"/>
    <w:rsid w:val="254D7E66"/>
    <w:rsid w:val="261A407D"/>
    <w:rsid w:val="265A3AC9"/>
    <w:rsid w:val="268C20E9"/>
    <w:rsid w:val="26B661A6"/>
    <w:rsid w:val="27524C4E"/>
    <w:rsid w:val="27DB34BA"/>
    <w:rsid w:val="280C2B3E"/>
    <w:rsid w:val="28214A76"/>
    <w:rsid w:val="28F66AD3"/>
    <w:rsid w:val="29806F21"/>
    <w:rsid w:val="29846987"/>
    <w:rsid w:val="2A176E3B"/>
    <w:rsid w:val="2A2F55AD"/>
    <w:rsid w:val="2B69280A"/>
    <w:rsid w:val="2B716510"/>
    <w:rsid w:val="2B8961FB"/>
    <w:rsid w:val="2BB62BDF"/>
    <w:rsid w:val="2C4E49A0"/>
    <w:rsid w:val="2CF20DE1"/>
    <w:rsid w:val="2D0014B0"/>
    <w:rsid w:val="2DCE3FEF"/>
    <w:rsid w:val="2E642A11"/>
    <w:rsid w:val="2F597C39"/>
    <w:rsid w:val="2FAB1AED"/>
    <w:rsid w:val="2FD5550B"/>
    <w:rsid w:val="30EF6FD2"/>
    <w:rsid w:val="31134407"/>
    <w:rsid w:val="314C06EF"/>
    <w:rsid w:val="31C8397C"/>
    <w:rsid w:val="31F570D9"/>
    <w:rsid w:val="31FE5A8F"/>
    <w:rsid w:val="335F33D8"/>
    <w:rsid w:val="3378455F"/>
    <w:rsid w:val="345345BC"/>
    <w:rsid w:val="345B165D"/>
    <w:rsid w:val="349746EF"/>
    <w:rsid w:val="34A83234"/>
    <w:rsid w:val="34AD7182"/>
    <w:rsid w:val="35423878"/>
    <w:rsid w:val="355F52D6"/>
    <w:rsid w:val="35B56BAF"/>
    <w:rsid w:val="361125C6"/>
    <w:rsid w:val="361E3567"/>
    <w:rsid w:val="36561A07"/>
    <w:rsid w:val="36AE739A"/>
    <w:rsid w:val="36B234FD"/>
    <w:rsid w:val="373D21CF"/>
    <w:rsid w:val="37E66FE3"/>
    <w:rsid w:val="381A04F2"/>
    <w:rsid w:val="38246CD9"/>
    <w:rsid w:val="38281CAE"/>
    <w:rsid w:val="38715810"/>
    <w:rsid w:val="391D5FF9"/>
    <w:rsid w:val="39AB04FE"/>
    <w:rsid w:val="3AAC31C2"/>
    <w:rsid w:val="3AD515A8"/>
    <w:rsid w:val="3AF20357"/>
    <w:rsid w:val="3AF57B3C"/>
    <w:rsid w:val="3B6A645A"/>
    <w:rsid w:val="3B7155DC"/>
    <w:rsid w:val="3B783BD2"/>
    <w:rsid w:val="3BAE6146"/>
    <w:rsid w:val="3BAF2825"/>
    <w:rsid w:val="3BC84A8B"/>
    <w:rsid w:val="3BFC2BDD"/>
    <w:rsid w:val="3BFF0178"/>
    <w:rsid w:val="3C361D26"/>
    <w:rsid w:val="3CB44D78"/>
    <w:rsid w:val="3CF5320F"/>
    <w:rsid w:val="3D492F6F"/>
    <w:rsid w:val="3D6C6AFE"/>
    <w:rsid w:val="3DA33848"/>
    <w:rsid w:val="3E4009C2"/>
    <w:rsid w:val="3EC40672"/>
    <w:rsid w:val="3EF11F4F"/>
    <w:rsid w:val="3F106B9D"/>
    <w:rsid w:val="3F3659F7"/>
    <w:rsid w:val="3FB441F8"/>
    <w:rsid w:val="40326E33"/>
    <w:rsid w:val="4082554F"/>
    <w:rsid w:val="41005029"/>
    <w:rsid w:val="41EB508D"/>
    <w:rsid w:val="427E5D33"/>
    <w:rsid w:val="430D596D"/>
    <w:rsid w:val="433E46CF"/>
    <w:rsid w:val="43723BE8"/>
    <w:rsid w:val="43A61B06"/>
    <w:rsid w:val="44650CFD"/>
    <w:rsid w:val="44727111"/>
    <w:rsid w:val="44843133"/>
    <w:rsid w:val="44F81DD0"/>
    <w:rsid w:val="45557D28"/>
    <w:rsid w:val="45757108"/>
    <w:rsid w:val="462420C0"/>
    <w:rsid w:val="463B22D1"/>
    <w:rsid w:val="4661340F"/>
    <w:rsid w:val="46705728"/>
    <w:rsid w:val="46DB27C0"/>
    <w:rsid w:val="46E6658E"/>
    <w:rsid w:val="47676037"/>
    <w:rsid w:val="47873726"/>
    <w:rsid w:val="479B0DBC"/>
    <w:rsid w:val="47B91CB2"/>
    <w:rsid w:val="47BF4986"/>
    <w:rsid w:val="47CE00FB"/>
    <w:rsid w:val="48011812"/>
    <w:rsid w:val="48206A55"/>
    <w:rsid w:val="49E01E95"/>
    <w:rsid w:val="4A4D358E"/>
    <w:rsid w:val="4A914C43"/>
    <w:rsid w:val="4AB17D65"/>
    <w:rsid w:val="4ABA482E"/>
    <w:rsid w:val="4ABF4586"/>
    <w:rsid w:val="4AD76445"/>
    <w:rsid w:val="4B5C4D1D"/>
    <w:rsid w:val="4BBD1498"/>
    <w:rsid w:val="4C0A0D88"/>
    <w:rsid w:val="4CA52592"/>
    <w:rsid w:val="4D2D7CE3"/>
    <w:rsid w:val="4D78480E"/>
    <w:rsid w:val="4D8E0F33"/>
    <w:rsid w:val="4DA92240"/>
    <w:rsid w:val="4DD044B4"/>
    <w:rsid w:val="4E435705"/>
    <w:rsid w:val="4E600B70"/>
    <w:rsid w:val="4F017A22"/>
    <w:rsid w:val="4F8E08EA"/>
    <w:rsid w:val="504133B9"/>
    <w:rsid w:val="50500742"/>
    <w:rsid w:val="50CA0C2D"/>
    <w:rsid w:val="512D481F"/>
    <w:rsid w:val="516E26A6"/>
    <w:rsid w:val="52360E9F"/>
    <w:rsid w:val="52867CF5"/>
    <w:rsid w:val="52C66AA1"/>
    <w:rsid w:val="53295898"/>
    <w:rsid w:val="5387311F"/>
    <w:rsid w:val="53F7372A"/>
    <w:rsid w:val="545B7261"/>
    <w:rsid w:val="54801B96"/>
    <w:rsid w:val="54A27538"/>
    <w:rsid w:val="54B15F7A"/>
    <w:rsid w:val="552D2BDB"/>
    <w:rsid w:val="5591153F"/>
    <w:rsid w:val="569B7641"/>
    <w:rsid w:val="56EE0810"/>
    <w:rsid w:val="572D18AD"/>
    <w:rsid w:val="57324646"/>
    <w:rsid w:val="57C22424"/>
    <w:rsid w:val="581648E0"/>
    <w:rsid w:val="581F7F35"/>
    <w:rsid w:val="582A5BBC"/>
    <w:rsid w:val="58703F91"/>
    <w:rsid w:val="58C0588C"/>
    <w:rsid w:val="58D21598"/>
    <w:rsid w:val="594666B0"/>
    <w:rsid w:val="597064C5"/>
    <w:rsid w:val="599D06DA"/>
    <w:rsid w:val="59E17A35"/>
    <w:rsid w:val="5A3E0799"/>
    <w:rsid w:val="5AE214A2"/>
    <w:rsid w:val="5B565B38"/>
    <w:rsid w:val="5BBA2651"/>
    <w:rsid w:val="5BEA6BC7"/>
    <w:rsid w:val="5BFD1F1D"/>
    <w:rsid w:val="5C1B235A"/>
    <w:rsid w:val="5C1E1735"/>
    <w:rsid w:val="5C484548"/>
    <w:rsid w:val="5CA472B4"/>
    <w:rsid w:val="5D7655F3"/>
    <w:rsid w:val="5DD34E16"/>
    <w:rsid w:val="5DE9639B"/>
    <w:rsid w:val="5E3F085F"/>
    <w:rsid w:val="5E5D33B4"/>
    <w:rsid w:val="5EA904D0"/>
    <w:rsid w:val="5F01482A"/>
    <w:rsid w:val="5F392501"/>
    <w:rsid w:val="5F7F5D44"/>
    <w:rsid w:val="5F8A5BF1"/>
    <w:rsid w:val="60316920"/>
    <w:rsid w:val="609571E2"/>
    <w:rsid w:val="61513695"/>
    <w:rsid w:val="61CC7042"/>
    <w:rsid w:val="61CD124A"/>
    <w:rsid w:val="61E32C83"/>
    <w:rsid w:val="6219217B"/>
    <w:rsid w:val="622B42BA"/>
    <w:rsid w:val="624E160F"/>
    <w:rsid w:val="633528A5"/>
    <w:rsid w:val="63376BAD"/>
    <w:rsid w:val="63B91BF2"/>
    <w:rsid w:val="63D641A1"/>
    <w:rsid w:val="63EB79B6"/>
    <w:rsid w:val="63F36700"/>
    <w:rsid w:val="640556D6"/>
    <w:rsid w:val="64095CB0"/>
    <w:rsid w:val="645F1AF7"/>
    <w:rsid w:val="657C7FF0"/>
    <w:rsid w:val="65BD7EE7"/>
    <w:rsid w:val="65D0053B"/>
    <w:rsid w:val="66B236BD"/>
    <w:rsid w:val="6719417D"/>
    <w:rsid w:val="67373A93"/>
    <w:rsid w:val="67702A32"/>
    <w:rsid w:val="68241CB6"/>
    <w:rsid w:val="68444415"/>
    <w:rsid w:val="686D183C"/>
    <w:rsid w:val="689B20AE"/>
    <w:rsid w:val="68A208F2"/>
    <w:rsid w:val="68BC092D"/>
    <w:rsid w:val="68F33EB2"/>
    <w:rsid w:val="697F3411"/>
    <w:rsid w:val="69E43939"/>
    <w:rsid w:val="69E7115E"/>
    <w:rsid w:val="69F7394D"/>
    <w:rsid w:val="69FA038A"/>
    <w:rsid w:val="6A1048D3"/>
    <w:rsid w:val="6AD960ED"/>
    <w:rsid w:val="6B123E70"/>
    <w:rsid w:val="6B591A72"/>
    <w:rsid w:val="6C855207"/>
    <w:rsid w:val="6C9856F7"/>
    <w:rsid w:val="6CB73DA1"/>
    <w:rsid w:val="6CD50046"/>
    <w:rsid w:val="6CDB0772"/>
    <w:rsid w:val="6D2D004B"/>
    <w:rsid w:val="6DEA0531"/>
    <w:rsid w:val="6E0853E3"/>
    <w:rsid w:val="6E2E0D01"/>
    <w:rsid w:val="6E4106C2"/>
    <w:rsid w:val="6E4C768C"/>
    <w:rsid w:val="6FFC7464"/>
    <w:rsid w:val="705F08F6"/>
    <w:rsid w:val="70A85CDD"/>
    <w:rsid w:val="717131B4"/>
    <w:rsid w:val="71A15B1B"/>
    <w:rsid w:val="71B62DCA"/>
    <w:rsid w:val="71B7521E"/>
    <w:rsid w:val="724B6BD5"/>
    <w:rsid w:val="72590AD1"/>
    <w:rsid w:val="72E5793F"/>
    <w:rsid w:val="73544B41"/>
    <w:rsid w:val="73A212CC"/>
    <w:rsid w:val="73E34726"/>
    <w:rsid w:val="742060D7"/>
    <w:rsid w:val="75801ADC"/>
    <w:rsid w:val="76390D6E"/>
    <w:rsid w:val="76B20414"/>
    <w:rsid w:val="76E2753E"/>
    <w:rsid w:val="77616C4B"/>
    <w:rsid w:val="786A0D1D"/>
    <w:rsid w:val="78A2075B"/>
    <w:rsid w:val="78A64A89"/>
    <w:rsid w:val="79357CCF"/>
    <w:rsid w:val="79393E35"/>
    <w:rsid w:val="79B4447E"/>
    <w:rsid w:val="79DB412C"/>
    <w:rsid w:val="7A2C28F4"/>
    <w:rsid w:val="7C2646DD"/>
    <w:rsid w:val="7C2D7EF7"/>
    <w:rsid w:val="7C4F23BA"/>
    <w:rsid w:val="7CA2555D"/>
    <w:rsid w:val="7D570EFA"/>
    <w:rsid w:val="7D620124"/>
    <w:rsid w:val="7DED2F11"/>
    <w:rsid w:val="7DEF4BF8"/>
    <w:rsid w:val="7E3D4E90"/>
    <w:rsid w:val="7E4B7CA1"/>
    <w:rsid w:val="7E6570A3"/>
    <w:rsid w:val="7F9254AC"/>
    <w:rsid w:val="7FA542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iPriority="0" w:name="caption"/>
    <w:lsdException w:uiPriority="0" w:name="table of figures"/>
    <w:lsdException w:uiPriority="0" w:name="envelope address"/>
    <w:lsdException w:qFormat="1" w:uiPriority="0" w:semiHidden="0" w:name="envelope return"/>
    <w:lsdException w:uiPriority="0" w:name="footnote reference"/>
    <w:lsdException w:qFormat="1"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qFormat="1" w:unhideWhenUsed="0" w:uiPriority="0" w:name="table of authorities"/>
    <w:lsdException w:uiPriority="0" w:name="macro"/>
    <w:lsdException w:qFormat="1" w:unhideWhenUsed="0" w:uiPriority="0" w:name="toa heading"/>
    <w:lsdException w:uiPriority="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99"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70"/>
    <w:qFormat/>
    <w:uiPriority w:val="0"/>
    <w:pPr>
      <w:keepNext/>
      <w:keepLines/>
      <w:spacing w:line="360" w:lineRule="auto"/>
      <w:jc w:val="center"/>
      <w:outlineLvl w:val="0"/>
    </w:pPr>
    <w:rPr>
      <w:b/>
      <w:bCs/>
      <w:kern w:val="44"/>
      <w:sz w:val="30"/>
      <w:szCs w:val="44"/>
    </w:rPr>
  </w:style>
  <w:style w:type="paragraph" w:styleId="6">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7">
    <w:name w:val="heading 3"/>
    <w:basedOn w:val="1"/>
    <w:next w:val="1"/>
    <w:link w:val="71"/>
    <w:qFormat/>
    <w:uiPriority w:val="0"/>
    <w:pPr>
      <w:keepNext/>
      <w:keepLines/>
      <w:spacing w:before="260" w:after="260" w:line="416" w:lineRule="auto"/>
      <w:jc w:val="center"/>
      <w:outlineLvl w:val="2"/>
    </w:pPr>
    <w:rPr>
      <w:rFonts w:ascii="宋体"/>
      <w:b/>
      <w:bCs/>
      <w:sz w:val="32"/>
      <w:szCs w:val="32"/>
    </w:rPr>
  </w:style>
  <w:style w:type="paragraph" w:styleId="8">
    <w:name w:val="heading 4"/>
    <w:basedOn w:val="1"/>
    <w:next w:val="1"/>
    <w:link w:val="72"/>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73"/>
    <w:qFormat/>
    <w:uiPriority w:val="0"/>
    <w:pPr>
      <w:keepNext/>
      <w:outlineLvl w:val="4"/>
    </w:pPr>
    <w:rPr>
      <w:rFonts w:ascii="宋体" w:hAnsi="Arial"/>
      <w:bCs/>
      <w:sz w:val="28"/>
    </w:rPr>
  </w:style>
  <w:style w:type="paragraph" w:styleId="10">
    <w:name w:val="heading 6"/>
    <w:basedOn w:val="1"/>
    <w:next w:val="1"/>
    <w:link w:val="74"/>
    <w:qFormat/>
    <w:uiPriority w:val="0"/>
    <w:pPr>
      <w:keepNext/>
      <w:autoSpaceDE w:val="0"/>
      <w:autoSpaceDN w:val="0"/>
      <w:adjustRightInd w:val="0"/>
      <w:spacing w:beforeLines="50" w:afterLines="50" w:line="300" w:lineRule="exact"/>
      <w:jc w:val="center"/>
      <w:outlineLvl w:val="5"/>
    </w:pPr>
    <w:rPr>
      <w:rFonts w:ascii="宋体" w:hAnsi="宋体"/>
      <w:kern w:val="0"/>
      <w:sz w:val="28"/>
    </w:rPr>
  </w:style>
  <w:style w:type="paragraph" w:styleId="11">
    <w:name w:val="heading 7"/>
    <w:basedOn w:val="1"/>
    <w:next w:val="1"/>
    <w:link w:val="75"/>
    <w:qFormat/>
    <w:uiPriority w:val="0"/>
    <w:pPr>
      <w:keepNext/>
      <w:keepLines/>
      <w:spacing w:before="240" w:after="64" w:line="320" w:lineRule="auto"/>
      <w:ind w:right="-24" w:rightChars="-10" w:firstLine="464" w:firstLineChars="225"/>
      <w:jc w:val="left"/>
      <w:outlineLvl w:val="6"/>
    </w:pPr>
    <w:rPr>
      <w:rFonts w:ascii="Arial" w:hAnsi="Arial" w:eastAsia="仿宋_GB2312" w:cs="Arial"/>
      <w:b/>
      <w:bCs/>
      <w:spacing w:val="-4"/>
      <w:sz w:val="24"/>
      <w:szCs w:val="24"/>
    </w:rPr>
  </w:style>
  <w:style w:type="paragraph" w:styleId="12">
    <w:name w:val="heading 8"/>
    <w:basedOn w:val="1"/>
    <w:next w:val="1"/>
    <w:link w:val="76"/>
    <w:qFormat/>
    <w:uiPriority w:val="0"/>
    <w:pPr>
      <w:keepNext/>
      <w:keepLines/>
      <w:snapToGrid w:val="0"/>
      <w:spacing w:line="360" w:lineRule="auto"/>
      <w:outlineLvl w:val="7"/>
    </w:pPr>
    <w:rPr>
      <w:rFonts w:ascii="Times New Roman" w:hAnsi="Cambria"/>
      <w:b/>
      <w:sz w:val="24"/>
      <w:szCs w:val="24"/>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next w:val="4"/>
    <w:link w:val="96"/>
    <w:qFormat/>
    <w:uiPriority w:val="99"/>
    <w:pPr>
      <w:ind w:firstLine="645"/>
    </w:pPr>
    <w:rPr>
      <w:rFonts w:ascii="楷体_GB2312" w:eastAsia="楷体_GB2312"/>
      <w:sz w:val="32"/>
    </w:rPr>
  </w:style>
  <w:style w:type="paragraph" w:styleId="4">
    <w:name w:val="envelope return"/>
    <w:basedOn w:val="1"/>
    <w:unhideWhenUsed/>
    <w:qFormat/>
    <w:uiPriority w:val="0"/>
    <w:pPr>
      <w:snapToGrid w:val="0"/>
    </w:pPr>
    <w:rPr>
      <w:rFonts w:ascii="Arial" w:hAnsi="Arial"/>
    </w:rPr>
  </w:style>
  <w:style w:type="paragraph" w:styleId="13">
    <w:name w:val="toc 7"/>
    <w:basedOn w:val="1"/>
    <w:next w:val="1"/>
    <w:semiHidden/>
    <w:qFormat/>
    <w:uiPriority w:val="0"/>
    <w:pPr>
      <w:ind w:left="1260"/>
      <w:jc w:val="left"/>
    </w:pPr>
    <w:rPr>
      <w:szCs w:val="21"/>
    </w:rPr>
  </w:style>
  <w:style w:type="paragraph" w:styleId="14">
    <w:name w:val="table of authorities"/>
    <w:basedOn w:val="1"/>
    <w:next w:val="1"/>
    <w:semiHidden/>
    <w:qFormat/>
    <w:uiPriority w:val="0"/>
    <w:pPr>
      <w:ind w:left="420" w:leftChars="200"/>
    </w:pPr>
  </w:style>
  <w:style w:type="paragraph" w:styleId="15">
    <w:name w:val="index 8"/>
    <w:basedOn w:val="1"/>
    <w:next w:val="1"/>
    <w:semiHidden/>
    <w:qFormat/>
    <w:uiPriority w:val="0"/>
    <w:pPr>
      <w:ind w:left="1400" w:leftChars="1400"/>
    </w:pPr>
  </w:style>
  <w:style w:type="paragraph" w:styleId="16">
    <w:name w:val="Normal Indent"/>
    <w:basedOn w:val="1"/>
    <w:qFormat/>
    <w:uiPriority w:val="0"/>
    <w:pPr>
      <w:widowControl/>
      <w:ind w:firstLine="420"/>
      <w:jc w:val="left"/>
    </w:pPr>
    <w:rPr>
      <w:kern w:val="0"/>
      <w:sz w:val="20"/>
      <w:szCs w:val="20"/>
    </w:rPr>
  </w:style>
  <w:style w:type="paragraph" w:styleId="17">
    <w:name w:val="index 5"/>
    <w:basedOn w:val="1"/>
    <w:next w:val="1"/>
    <w:semiHidden/>
    <w:qFormat/>
    <w:uiPriority w:val="0"/>
    <w:pPr>
      <w:ind w:left="800" w:leftChars="800"/>
    </w:pPr>
  </w:style>
  <w:style w:type="paragraph" w:styleId="18">
    <w:name w:val="Document Map"/>
    <w:basedOn w:val="1"/>
    <w:link w:val="88"/>
    <w:semiHidden/>
    <w:qFormat/>
    <w:uiPriority w:val="0"/>
    <w:pPr>
      <w:shd w:val="clear" w:color="auto" w:fill="000080"/>
    </w:pPr>
  </w:style>
  <w:style w:type="paragraph" w:styleId="19">
    <w:name w:val="toa heading"/>
    <w:basedOn w:val="1"/>
    <w:next w:val="1"/>
    <w:semiHidden/>
    <w:qFormat/>
    <w:uiPriority w:val="0"/>
    <w:pPr>
      <w:spacing w:before="120"/>
    </w:pPr>
    <w:rPr>
      <w:rFonts w:ascii="Arial" w:hAnsi="Arial"/>
      <w:b/>
      <w:bCs/>
      <w:szCs w:val="24"/>
    </w:rPr>
  </w:style>
  <w:style w:type="paragraph" w:styleId="20">
    <w:name w:val="annotation text"/>
    <w:basedOn w:val="1"/>
    <w:link w:val="100"/>
    <w:qFormat/>
    <w:uiPriority w:val="99"/>
    <w:pPr>
      <w:jc w:val="left"/>
    </w:pPr>
  </w:style>
  <w:style w:type="paragraph" w:styleId="21">
    <w:name w:val="index 6"/>
    <w:basedOn w:val="1"/>
    <w:next w:val="1"/>
    <w:semiHidden/>
    <w:qFormat/>
    <w:uiPriority w:val="0"/>
    <w:pPr>
      <w:ind w:left="1000" w:leftChars="1000"/>
    </w:pPr>
  </w:style>
  <w:style w:type="paragraph" w:styleId="22">
    <w:name w:val="Body Text 3"/>
    <w:basedOn w:val="1"/>
    <w:link w:val="95"/>
    <w:qFormat/>
    <w:uiPriority w:val="0"/>
    <w:rPr>
      <w:rFonts w:ascii="黑体" w:hAnsi="Arial" w:eastAsia="黑体"/>
      <w:b/>
      <w:sz w:val="28"/>
    </w:rPr>
  </w:style>
  <w:style w:type="paragraph" w:styleId="23">
    <w:name w:val="Body Text"/>
    <w:basedOn w:val="1"/>
    <w:next w:val="24"/>
    <w:qFormat/>
    <w:uiPriority w:val="0"/>
    <w:rPr>
      <w:rFonts w:ascii="宋体" w:hAnsi="Arial"/>
      <w:sz w:val="28"/>
    </w:rPr>
  </w:style>
  <w:style w:type="paragraph" w:styleId="24">
    <w:name w:val="toc 2"/>
    <w:basedOn w:val="1"/>
    <w:next w:val="1"/>
    <w:qFormat/>
    <w:uiPriority w:val="39"/>
    <w:pPr>
      <w:ind w:left="210"/>
      <w:jc w:val="left"/>
    </w:pPr>
    <w:rPr>
      <w:smallCaps/>
      <w:sz w:val="28"/>
      <w:szCs w:val="24"/>
    </w:rPr>
  </w:style>
  <w:style w:type="paragraph" w:styleId="25">
    <w:name w:val="List 2"/>
    <w:basedOn w:val="1"/>
    <w:qFormat/>
    <w:uiPriority w:val="0"/>
    <w:pPr>
      <w:ind w:left="100" w:leftChars="200" w:hanging="200" w:hangingChars="200"/>
    </w:pPr>
    <w:rPr>
      <w:rFonts w:ascii="Times New Roman" w:hAnsi="Times New Roman"/>
      <w:szCs w:val="24"/>
    </w:rPr>
  </w:style>
  <w:style w:type="paragraph" w:styleId="26">
    <w:name w:val="index 4"/>
    <w:basedOn w:val="1"/>
    <w:next w:val="1"/>
    <w:semiHidden/>
    <w:qFormat/>
    <w:uiPriority w:val="0"/>
    <w:pPr>
      <w:ind w:left="600" w:leftChars="600"/>
    </w:pPr>
  </w:style>
  <w:style w:type="paragraph" w:styleId="27">
    <w:name w:val="toc 5"/>
    <w:basedOn w:val="1"/>
    <w:next w:val="1"/>
    <w:semiHidden/>
    <w:qFormat/>
    <w:uiPriority w:val="0"/>
    <w:pPr>
      <w:ind w:left="840"/>
      <w:jc w:val="left"/>
    </w:pPr>
    <w:rPr>
      <w:szCs w:val="21"/>
    </w:rPr>
  </w:style>
  <w:style w:type="paragraph" w:styleId="28">
    <w:name w:val="toc 3"/>
    <w:basedOn w:val="1"/>
    <w:next w:val="1"/>
    <w:qFormat/>
    <w:uiPriority w:val="39"/>
    <w:pPr>
      <w:ind w:left="420"/>
      <w:jc w:val="left"/>
    </w:pPr>
    <w:rPr>
      <w:i/>
      <w:iCs/>
      <w:szCs w:val="24"/>
    </w:rPr>
  </w:style>
  <w:style w:type="paragraph" w:styleId="29">
    <w:name w:val="Plain Text"/>
    <w:basedOn w:val="1"/>
    <w:qFormat/>
    <w:uiPriority w:val="0"/>
    <w:rPr>
      <w:rFonts w:ascii="宋体" w:hAnsi="Courier New"/>
    </w:rPr>
  </w:style>
  <w:style w:type="paragraph" w:styleId="30">
    <w:name w:val="toc 8"/>
    <w:basedOn w:val="1"/>
    <w:next w:val="1"/>
    <w:semiHidden/>
    <w:qFormat/>
    <w:uiPriority w:val="0"/>
    <w:pPr>
      <w:ind w:left="1470"/>
      <w:jc w:val="left"/>
    </w:pPr>
    <w:rPr>
      <w:szCs w:val="21"/>
    </w:rPr>
  </w:style>
  <w:style w:type="paragraph" w:styleId="31">
    <w:name w:val="index 3"/>
    <w:basedOn w:val="1"/>
    <w:next w:val="1"/>
    <w:semiHidden/>
    <w:qFormat/>
    <w:uiPriority w:val="0"/>
    <w:pPr>
      <w:ind w:left="400" w:leftChars="400"/>
    </w:pPr>
  </w:style>
  <w:style w:type="paragraph" w:styleId="32">
    <w:name w:val="Date"/>
    <w:basedOn w:val="1"/>
    <w:next w:val="1"/>
    <w:link w:val="80"/>
    <w:qFormat/>
    <w:uiPriority w:val="99"/>
    <w:rPr>
      <w:b/>
      <w:sz w:val="28"/>
    </w:rPr>
  </w:style>
  <w:style w:type="paragraph" w:styleId="33">
    <w:name w:val="Body Text Indent 2"/>
    <w:basedOn w:val="1"/>
    <w:qFormat/>
    <w:uiPriority w:val="0"/>
    <w:pPr>
      <w:ind w:left="630" w:firstLine="645"/>
    </w:pPr>
    <w:rPr>
      <w:rFonts w:ascii="Arial" w:hAnsi="Arial" w:eastAsia="仿宋_GB2312"/>
      <w:sz w:val="32"/>
    </w:rPr>
  </w:style>
  <w:style w:type="paragraph" w:styleId="34">
    <w:name w:val="Balloon Text"/>
    <w:basedOn w:val="1"/>
    <w:link w:val="79"/>
    <w:qFormat/>
    <w:uiPriority w:val="99"/>
    <w:rPr>
      <w:sz w:val="18"/>
      <w:szCs w:val="18"/>
    </w:rPr>
  </w:style>
  <w:style w:type="paragraph" w:styleId="35">
    <w:name w:val="footer"/>
    <w:basedOn w:val="1"/>
    <w:link w:val="86"/>
    <w:qFormat/>
    <w:uiPriority w:val="99"/>
    <w:pPr>
      <w:tabs>
        <w:tab w:val="center" w:pos="4153"/>
        <w:tab w:val="right" w:pos="8306"/>
      </w:tabs>
      <w:snapToGrid w:val="0"/>
      <w:jc w:val="left"/>
    </w:pPr>
    <w:rPr>
      <w:sz w:val="18"/>
    </w:rPr>
  </w:style>
  <w:style w:type="paragraph" w:styleId="36">
    <w:name w:val="header"/>
    <w:basedOn w:val="1"/>
    <w:next w:val="1"/>
    <w:link w:val="78"/>
    <w:qFormat/>
    <w:uiPriority w:val="99"/>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39"/>
    <w:pPr>
      <w:tabs>
        <w:tab w:val="right" w:leader="dot" w:pos="9403"/>
      </w:tabs>
      <w:spacing w:before="120" w:after="120"/>
      <w:jc w:val="left"/>
    </w:pPr>
    <w:rPr>
      <w:rFonts w:ascii="宋体"/>
      <w:caps/>
      <w:sz w:val="28"/>
      <w:szCs w:val="28"/>
    </w:rPr>
  </w:style>
  <w:style w:type="paragraph" w:styleId="38">
    <w:name w:val="toc 4"/>
    <w:basedOn w:val="1"/>
    <w:next w:val="1"/>
    <w:semiHidden/>
    <w:qFormat/>
    <w:uiPriority w:val="0"/>
    <w:pPr>
      <w:ind w:left="630"/>
      <w:jc w:val="left"/>
    </w:pPr>
    <w:rPr>
      <w:szCs w:val="21"/>
    </w:rPr>
  </w:style>
  <w:style w:type="paragraph" w:styleId="39">
    <w:name w:val="index heading"/>
    <w:basedOn w:val="1"/>
    <w:next w:val="40"/>
    <w:semiHidden/>
    <w:qFormat/>
    <w:uiPriority w:val="0"/>
  </w:style>
  <w:style w:type="paragraph" w:styleId="40">
    <w:name w:val="index 1"/>
    <w:basedOn w:val="1"/>
    <w:next w:val="1"/>
    <w:semiHidden/>
    <w:qFormat/>
    <w:uiPriority w:val="0"/>
    <w:pPr>
      <w:jc w:val="center"/>
    </w:pPr>
    <w:rPr>
      <w:rFonts w:ascii="仿宋_GB2312" w:eastAsia="仿宋_GB2312"/>
      <w:b/>
      <w:bCs/>
      <w:sz w:val="28"/>
    </w:rPr>
  </w:style>
  <w:style w:type="paragraph" w:styleId="41">
    <w:name w:val="toc 6"/>
    <w:basedOn w:val="1"/>
    <w:next w:val="1"/>
    <w:semiHidden/>
    <w:qFormat/>
    <w:uiPriority w:val="0"/>
    <w:pPr>
      <w:ind w:left="1050"/>
      <w:jc w:val="left"/>
    </w:pPr>
    <w:rPr>
      <w:szCs w:val="21"/>
    </w:rPr>
  </w:style>
  <w:style w:type="paragraph" w:styleId="42">
    <w:name w:val="Body Text Indent 3"/>
    <w:basedOn w:val="1"/>
    <w:qFormat/>
    <w:uiPriority w:val="0"/>
    <w:pPr>
      <w:ind w:firstLine="645"/>
    </w:pPr>
    <w:rPr>
      <w:rFonts w:ascii="仿宋_GB2312" w:hAnsi="Arial" w:eastAsia="仿宋_GB2312"/>
      <w:color w:val="000000"/>
      <w:sz w:val="30"/>
    </w:rPr>
  </w:style>
  <w:style w:type="paragraph" w:styleId="43">
    <w:name w:val="index 7"/>
    <w:basedOn w:val="1"/>
    <w:next w:val="1"/>
    <w:semiHidden/>
    <w:qFormat/>
    <w:uiPriority w:val="0"/>
    <w:pPr>
      <w:ind w:left="1200" w:leftChars="1200"/>
    </w:pPr>
  </w:style>
  <w:style w:type="paragraph" w:styleId="44">
    <w:name w:val="index 9"/>
    <w:basedOn w:val="1"/>
    <w:next w:val="1"/>
    <w:semiHidden/>
    <w:qFormat/>
    <w:uiPriority w:val="0"/>
    <w:pPr>
      <w:ind w:left="1600" w:leftChars="1600"/>
    </w:pPr>
  </w:style>
  <w:style w:type="paragraph" w:styleId="45">
    <w:name w:val="toc 9"/>
    <w:basedOn w:val="1"/>
    <w:next w:val="1"/>
    <w:semiHidden/>
    <w:qFormat/>
    <w:uiPriority w:val="0"/>
    <w:pPr>
      <w:ind w:left="1680"/>
      <w:jc w:val="left"/>
    </w:pPr>
    <w:rPr>
      <w:szCs w:val="21"/>
    </w:rPr>
  </w:style>
  <w:style w:type="paragraph" w:styleId="46">
    <w:name w:val="Body Text 2"/>
    <w:basedOn w:val="1"/>
    <w:qFormat/>
    <w:uiPriority w:val="0"/>
    <w:rPr>
      <w:rFonts w:ascii="仿宋_GB2312" w:eastAsia="仿宋_GB2312"/>
      <w:b/>
      <w:sz w:val="24"/>
    </w:rPr>
  </w:style>
  <w:style w:type="paragraph" w:styleId="47">
    <w:name w:val="HTML Preformatted"/>
    <w:basedOn w:val="1"/>
    <w:link w:val="8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48">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49">
    <w:name w:val="index 2"/>
    <w:basedOn w:val="1"/>
    <w:next w:val="1"/>
    <w:semiHidden/>
    <w:qFormat/>
    <w:uiPriority w:val="0"/>
    <w:pPr>
      <w:ind w:left="200" w:leftChars="200"/>
    </w:pPr>
  </w:style>
  <w:style w:type="paragraph" w:styleId="50">
    <w:name w:val="Title"/>
    <w:basedOn w:val="1"/>
    <w:next w:val="1"/>
    <w:link w:val="94"/>
    <w:qFormat/>
    <w:uiPriority w:val="10"/>
    <w:pPr>
      <w:spacing w:before="240" w:after="60"/>
      <w:jc w:val="center"/>
      <w:outlineLvl w:val="0"/>
    </w:pPr>
    <w:rPr>
      <w:rFonts w:ascii="Cambria" w:hAnsi="Cambria"/>
      <w:b/>
      <w:bCs/>
      <w:kern w:val="0"/>
      <w:sz w:val="32"/>
      <w:szCs w:val="32"/>
    </w:rPr>
  </w:style>
  <w:style w:type="paragraph" w:styleId="51">
    <w:name w:val="annotation subject"/>
    <w:basedOn w:val="20"/>
    <w:next w:val="20"/>
    <w:link w:val="195"/>
    <w:unhideWhenUsed/>
    <w:qFormat/>
    <w:uiPriority w:val="99"/>
    <w:rPr>
      <w:b/>
      <w:bCs/>
    </w:rPr>
  </w:style>
  <w:style w:type="paragraph" w:styleId="52">
    <w:name w:val="Body Text First Indent"/>
    <w:basedOn w:val="1"/>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table" w:styleId="54">
    <w:name w:val="Table Grid"/>
    <w:basedOn w:val="5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qFormat/>
    <w:uiPriority w:val="22"/>
    <w:rPr>
      <w:b/>
      <w:bCs/>
    </w:rPr>
  </w:style>
  <w:style w:type="character" w:styleId="57">
    <w:name w:val="page number"/>
    <w:basedOn w:val="55"/>
    <w:qFormat/>
    <w:uiPriority w:val="99"/>
  </w:style>
  <w:style w:type="character" w:styleId="58">
    <w:name w:val="FollowedHyperlink"/>
    <w:qFormat/>
    <w:uiPriority w:val="99"/>
    <w:rPr>
      <w:color w:val="800080"/>
      <w:u w:val="single"/>
    </w:rPr>
  </w:style>
  <w:style w:type="character" w:styleId="59">
    <w:name w:val="Emphasis"/>
    <w:qFormat/>
    <w:uiPriority w:val="0"/>
    <w:rPr>
      <w:color w:val="CC0033"/>
    </w:rPr>
  </w:style>
  <w:style w:type="character" w:styleId="60">
    <w:name w:val="HTML Definition"/>
    <w:basedOn w:val="55"/>
    <w:semiHidden/>
    <w:unhideWhenUsed/>
    <w:qFormat/>
    <w:uiPriority w:val="0"/>
  </w:style>
  <w:style w:type="character" w:styleId="61">
    <w:name w:val="HTML Typewriter"/>
    <w:basedOn w:val="55"/>
    <w:semiHidden/>
    <w:unhideWhenUsed/>
    <w:qFormat/>
    <w:uiPriority w:val="0"/>
    <w:rPr>
      <w:rFonts w:ascii="monospace" w:hAnsi="monospace" w:eastAsia="monospace" w:cs="monospace"/>
      <w:sz w:val="20"/>
    </w:rPr>
  </w:style>
  <w:style w:type="character" w:styleId="62">
    <w:name w:val="HTML Acronym"/>
    <w:basedOn w:val="55"/>
    <w:semiHidden/>
    <w:unhideWhenUsed/>
    <w:qFormat/>
    <w:uiPriority w:val="0"/>
  </w:style>
  <w:style w:type="character" w:styleId="63">
    <w:name w:val="HTML Variable"/>
    <w:basedOn w:val="55"/>
    <w:semiHidden/>
    <w:unhideWhenUsed/>
    <w:qFormat/>
    <w:uiPriority w:val="0"/>
  </w:style>
  <w:style w:type="character" w:styleId="64">
    <w:name w:val="Hyperlink"/>
    <w:qFormat/>
    <w:uiPriority w:val="99"/>
    <w:rPr>
      <w:color w:val="0000FF"/>
      <w:u w:val="single"/>
    </w:rPr>
  </w:style>
  <w:style w:type="character" w:styleId="65">
    <w:name w:val="HTML Code"/>
    <w:basedOn w:val="55"/>
    <w:semiHidden/>
    <w:unhideWhenUsed/>
    <w:qFormat/>
    <w:uiPriority w:val="0"/>
    <w:rPr>
      <w:rFonts w:hint="default" w:ascii="monospace" w:hAnsi="monospace" w:eastAsia="monospace" w:cs="monospace"/>
      <w:sz w:val="20"/>
    </w:rPr>
  </w:style>
  <w:style w:type="character" w:styleId="66">
    <w:name w:val="annotation reference"/>
    <w:unhideWhenUsed/>
    <w:qFormat/>
    <w:uiPriority w:val="99"/>
    <w:rPr>
      <w:sz w:val="21"/>
      <w:szCs w:val="21"/>
    </w:rPr>
  </w:style>
  <w:style w:type="character" w:styleId="67">
    <w:name w:val="HTML Cite"/>
    <w:basedOn w:val="55"/>
    <w:semiHidden/>
    <w:unhideWhenUsed/>
    <w:qFormat/>
    <w:uiPriority w:val="0"/>
  </w:style>
  <w:style w:type="character" w:styleId="68">
    <w:name w:val="HTML Keyboard"/>
    <w:basedOn w:val="55"/>
    <w:semiHidden/>
    <w:unhideWhenUsed/>
    <w:qFormat/>
    <w:uiPriority w:val="0"/>
    <w:rPr>
      <w:rFonts w:hint="default" w:ascii="monospace" w:hAnsi="monospace" w:eastAsia="monospace" w:cs="monospace"/>
      <w:sz w:val="20"/>
    </w:rPr>
  </w:style>
  <w:style w:type="character" w:styleId="69">
    <w:name w:val="HTML Sample"/>
    <w:basedOn w:val="55"/>
    <w:semiHidden/>
    <w:unhideWhenUsed/>
    <w:qFormat/>
    <w:uiPriority w:val="0"/>
    <w:rPr>
      <w:rFonts w:hint="default" w:ascii="monospace" w:hAnsi="monospace" w:eastAsia="monospace" w:cs="monospace"/>
    </w:rPr>
  </w:style>
  <w:style w:type="character" w:customStyle="1" w:styleId="70">
    <w:name w:val="标题 1 Char"/>
    <w:link w:val="5"/>
    <w:qFormat/>
    <w:uiPriority w:val="0"/>
    <w:rPr>
      <w:rFonts w:ascii="Calibri" w:hAnsi="Calibri"/>
      <w:b/>
      <w:bCs/>
      <w:kern w:val="44"/>
      <w:sz w:val="30"/>
      <w:szCs w:val="44"/>
    </w:rPr>
  </w:style>
  <w:style w:type="character" w:customStyle="1" w:styleId="71">
    <w:name w:val="标题 3 Char"/>
    <w:link w:val="7"/>
    <w:qFormat/>
    <w:uiPriority w:val="0"/>
    <w:rPr>
      <w:rFonts w:ascii="宋体" w:hAnsi="Calibri"/>
      <w:b/>
      <w:bCs/>
      <w:kern w:val="2"/>
      <w:sz w:val="32"/>
      <w:szCs w:val="32"/>
    </w:rPr>
  </w:style>
  <w:style w:type="character" w:customStyle="1" w:styleId="72">
    <w:name w:val="标题 4 Char"/>
    <w:link w:val="8"/>
    <w:qFormat/>
    <w:uiPriority w:val="0"/>
    <w:rPr>
      <w:rFonts w:ascii="Arial" w:hAnsi="Arial" w:eastAsia="黑体"/>
      <w:b/>
      <w:bCs/>
      <w:kern w:val="2"/>
      <w:sz w:val="28"/>
      <w:szCs w:val="28"/>
    </w:rPr>
  </w:style>
  <w:style w:type="character" w:customStyle="1" w:styleId="73">
    <w:name w:val="标题 5 Char"/>
    <w:link w:val="9"/>
    <w:qFormat/>
    <w:uiPriority w:val="0"/>
    <w:rPr>
      <w:rFonts w:ascii="宋体" w:hAnsi="Arial"/>
      <w:bCs/>
      <w:kern w:val="2"/>
      <w:sz w:val="28"/>
      <w:szCs w:val="22"/>
    </w:rPr>
  </w:style>
  <w:style w:type="character" w:customStyle="1" w:styleId="74">
    <w:name w:val="标题 6 Char"/>
    <w:link w:val="10"/>
    <w:qFormat/>
    <w:uiPriority w:val="0"/>
    <w:rPr>
      <w:rFonts w:ascii="宋体" w:hAnsi="宋体"/>
      <w:sz w:val="28"/>
      <w:szCs w:val="22"/>
    </w:rPr>
  </w:style>
  <w:style w:type="character" w:customStyle="1" w:styleId="75">
    <w:name w:val="标题 7 Char"/>
    <w:link w:val="11"/>
    <w:qFormat/>
    <w:uiPriority w:val="0"/>
    <w:rPr>
      <w:rFonts w:ascii="Arial" w:hAnsi="Arial" w:eastAsia="仿宋_GB2312" w:cs="Arial"/>
      <w:b/>
      <w:bCs/>
      <w:spacing w:val="-4"/>
      <w:kern w:val="2"/>
      <w:sz w:val="24"/>
      <w:szCs w:val="24"/>
    </w:rPr>
  </w:style>
  <w:style w:type="character" w:customStyle="1" w:styleId="76">
    <w:name w:val="标题 8 Char"/>
    <w:link w:val="12"/>
    <w:qFormat/>
    <w:uiPriority w:val="0"/>
    <w:rPr>
      <w:rFonts w:hAnsi="Cambria" w:cs="Times New Roman"/>
      <w:b/>
      <w:kern w:val="2"/>
      <w:sz w:val="24"/>
      <w:szCs w:val="24"/>
    </w:rPr>
  </w:style>
  <w:style w:type="character" w:customStyle="1" w:styleId="77">
    <w:name w:val="param-name"/>
    <w:basedOn w:val="55"/>
    <w:qFormat/>
    <w:uiPriority w:val="0"/>
  </w:style>
  <w:style w:type="character" w:customStyle="1" w:styleId="78">
    <w:name w:val="页眉 Char"/>
    <w:link w:val="36"/>
    <w:qFormat/>
    <w:uiPriority w:val="99"/>
    <w:rPr>
      <w:rFonts w:ascii="Calibri" w:hAnsi="Calibri" w:eastAsia="宋体" w:cs="Times New Roman"/>
      <w:kern w:val="2"/>
      <w:sz w:val="18"/>
      <w:szCs w:val="22"/>
    </w:rPr>
  </w:style>
  <w:style w:type="character" w:customStyle="1" w:styleId="79">
    <w:name w:val="批注框文本 Char"/>
    <w:link w:val="34"/>
    <w:qFormat/>
    <w:uiPriority w:val="99"/>
    <w:rPr>
      <w:rFonts w:ascii="Calibri" w:hAnsi="Calibri"/>
      <w:kern w:val="2"/>
      <w:sz w:val="18"/>
      <w:szCs w:val="18"/>
    </w:rPr>
  </w:style>
  <w:style w:type="character" w:customStyle="1" w:styleId="80">
    <w:name w:val="日期 Char"/>
    <w:link w:val="32"/>
    <w:qFormat/>
    <w:uiPriority w:val="99"/>
    <w:rPr>
      <w:rFonts w:ascii="Calibri" w:hAnsi="Calibri"/>
      <w:b/>
      <w:kern w:val="2"/>
      <w:sz w:val="28"/>
      <w:szCs w:val="22"/>
    </w:rPr>
  </w:style>
  <w:style w:type="character" w:customStyle="1" w:styleId="81">
    <w:name w:val="标题 2 Char"/>
    <w:qFormat/>
    <w:uiPriority w:val="0"/>
    <w:rPr>
      <w:rFonts w:ascii="Arial" w:hAnsi="Arial" w:eastAsia="黑体"/>
      <w:b/>
      <w:bCs/>
      <w:kern w:val="2"/>
      <w:sz w:val="32"/>
      <w:szCs w:val="32"/>
      <w:lang w:val="en-US" w:eastAsia="zh-CN" w:bidi="ar-SA"/>
    </w:rPr>
  </w:style>
  <w:style w:type="character" w:customStyle="1" w:styleId="82">
    <w:name w:val="lv12"/>
    <w:basedOn w:val="55"/>
    <w:qFormat/>
    <w:uiPriority w:val="0"/>
  </w:style>
  <w:style w:type="character" w:customStyle="1" w:styleId="83">
    <w:name w:val="正文文本缩进 2 Char"/>
    <w:link w:val="84"/>
    <w:qFormat/>
    <w:uiPriority w:val="0"/>
    <w:rPr>
      <w:rFonts w:ascii="Arial" w:hAnsi="Arial" w:eastAsia="仿宋_GB2312" w:cs="Times New Roman"/>
      <w:sz w:val="32"/>
      <w:szCs w:val="20"/>
    </w:rPr>
  </w:style>
  <w:style w:type="paragraph" w:customStyle="1" w:styleId="84">
    <w:name w:val="正文文本缩进 2_0"/>
    <w:basedOn w:val="85"/>
    <w:link w:val="83"/>
    <w:qFormat/>
    <w:uiPriority w:val="0"/>
    <w:pPr>
      <w:ind w:left="630" w:firstLine="645"/>
    </w:pPr>
    <w:rPr>
      <w:rFonts w:ascii="Arial" w:hAnsi="Arial" w:eastAsia="仿宋_GB2312"/>
      <w:kern w:val="0"/>
      <w:sz w:val="32"/>
    </w:rPr>
  </w:style>
  <w:style w:type="paragraph" w:customStyle="1" w:styleId="85">
    <w:name w:val="正文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6">
    <w:name w:val="页脚 Char"/>
    <w:link w:val="35"/>
    <w:qFormat/>
    <w:uiPriority w:val="99"/>
    <w:rPr>
      <w:rFonts w:ascii="Calibri" w:hAnsi="Calibri"/>
      <w:kern w:val="2"/>
      <w:sz w:val="18"/>
      <w:szCs w:val="22"/>
    </w:rPr>
  </w:style>
  <w:style w:type="character" w:customStyle="1" w:styleId="87">
    <w:name w:val="apple-converted-space"/>
    <w:qFormat/>
    <w:uiPriority w:val="0"/>
  </w:style>
  <w:style w:type="character" w:customStyle="1" w:styleId="88">
    <w:name w:val="文档结构图 Char"/>
    <w:link w:val="18"/>
    <w:semiHidden/>
    <w:qFormat/>
    <w:uiPriority w:val="0"/>
    <w:rPr>
      <w:rFonts w:ascii="Calibri" w:hAnsi="Calibri"/>
      <w:kern w:val="2"/>
      <w:sz w:val="21"/>
      <w:szCs w:val="22"/>
      <w:shd w:val="clear" w:color="auto" w:fill="000080"/>
    </w:rPr>
  </w:style>
  <w:style w:type="character" w:customStyle="1" w:styleId="89">
    <w:name w:val="HTML 预设格式 Char"/>
    <w:link w:val="47"/>
    <w:qFormat/>
    <w:uiPriority w:val="99"/>
    <w:rPr>
      <w:rFonts w:ascii="宋体" w:hAnsi="宋体" w:cs="宋体"/>
      <w:sz w:val="24"/>
      <w:szCs w:val="24"/>
    </w:rPr>
  </w:style>
  <w:style w:type="character" w:customStyle="1" w:styleId="90">
    <w:name w:val="正文文本缩进 Char"/>
    <w:link w:val="91"/>
    <w:qFormat/>
    <w:uiPriority w:val="99"/>
    <w:rPr>
      <w:rFonts w:ascii="楷体_GB2312" w:hAnsi="Times New Roman" w:eastAsia="楷体_GB2312" w:cs="Times New Roman"/>
      <w:sz w:val="32"/>
      <w:szCs w:val="20"/>
    </w:rPr>
  </w:style>
  <w:style w:type="paragraph" w:customStyle="1" w:styleId="91">
    <w:name w:val="正文文本缩进_0"/>
    <w:basedOn w:val="85"/>
    <w:link w:val="90"/>
    <w:qFormat/>
    <w:uiPriority w:val="99"/>
    <w:pPr>
      <w:ind w:firstLine="645"/>
    </w:pPr>
    <w:rPr>
      <w:rFonts w:ascii="楷体_GB2312" w:eastAsia="楷体_GB2312"/>
      <w:kern w:val="0"/>
      <w:sz w:val="32"/>
    </w:rPr>
  </w:style>
  <w:style w:type="character" w:customStyle="1" w:styleId="92">
    <w:name w:val="标题 字符1"/>
    <w:qFormat/>
    <w:uiPriority w:val="10"/>
    <w:rPr>
      <w:rFonts w:ascii="Cambria" w:hAnsi="Cambria" w:eastAsia="宋体" w:cs="Times New Roman"/>
      <w:b/>
      <w:bCs/>
      <w:sz w:val="32"/>
      <w:szCs w:val="32"/>
    </w:rPr>
  </w:style>
  <w:style w:type="character" w:customStyle="1" w:styleId="93">
    <w:name w:val="标题 Char1"/>
    <w:qFormat/>
    <w:uiPriority w:val="10"/>
    <w:rPr>
      <w:rFonts w:ascii="Cambria" w:hAnsi="Cambria" w:cs="Times New Roman"/>
      <w:b/>
      <w:bCs/>
      <w:kern w:val="2"/>
      <w:sz w:val="32"/>
      <w:szCs w:val="32"/>
    </w:rPr>
  </w:style>
  <w:style w:type="character" w:customStyle="1" w:styleId="94">
    <w:name w:val="标题 Char"/>
    <w:link w:val="50"/>
    <w:qFormat/>
    <w:uiPriority w:val="10"/>
    <w:rPr>
      <w:rFonts w:ascii="Cambria" w:hAnsi="Cambria"/>
      <w:b/>
      <w:bCs/>
      <w:sz w:val="32"/>
      <w:szCs w:val="32"/>
    </w:rPr>
  </w:style>
  <w:style w:type="character" w:customStyle="1" w:styleId="95">
    <w:name w:val="正文文本 3 Char"/>
    <w:link w:val="22"/>
    <w:qFormat/>
    <w:uiPriority w:val="0"/>
    <w:rPr>
      <w:rFonts w:ascii="黑体" w:hAnsi="Arial" w:eastAsia="黑体"/>
      <w:b/>
      <w:kern w:val="2"/>
      <w:sz w:val="28"/>
      <w:szCs w:val="22"/>
    </w:rPr>
  </w:style>
  <w:style w:type="character" w:customStyle="1" w:styleId="96">
    <w:name w:val="正文文本缩进 Char1"/>
    <w:link w:val="3"/>
    <w:qFormat/>
    <w:uiPriority w:val="99"/>
    <w:rPr>
      <w:rFonts w:ascii="楷体_GB2312" w:hAnsi="Calibri" w:eastAsia="楷体_GB2312"/>
      <w:kern w:val="2"/>
      <w:sz w:val="32"/>
      <w:szCs w:val="22"/>
    </w:rPr>
  </w:style>
  <w:style w:type="paragraph" w:customStyle="1" w:styleId="97">
    <w:name w:val="正文1"/>
    <w:qFormat/>
    <w:uiPriority w:val="0"/>
    <w:rPr>
      <w:rFonts w:ascii="Times New Roman" w:hAnsi="Times New Roman" w:eastAsia="宋体" w:cs="Times New Roman"/>
      <w:sz w:val="24"/>
      <w:szCs w:val="24"/>
      <w:lang w:val="en-US" w:eastAsia="zh-CN" w:bidi="ar-SA"/>
    </w:rPr>
  </w:style>
  <w:style w:type="paragraph" w:customStyle="1" w:styleId="98">
    <w:name w:val="xl11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99">
    <w:name w:val="文章正文"/>
    <w:basedOn w:val="1"/>
    <w:qFormat/>
    <w:uiPriority w:val="0"/>
    <w:pPr>
      <w:tabs>
        <w:tab w:val="left" w:pos="992"/>
      </w:tabs>
      <w:spacing w:beforeLines="50" w:afterLines="50" w:line="320" w:lineRule="exact"/>
      <w:ind w:firstLine="200" w:firstLineChars="200"/>
    </w:pPr>
    <w:rPr>
      <w:rFonts w:ascii="仿宋_GB2312" w:eastAsia="仿宋_GB2312"/>
      <w:sz w:val="28"/>
      <w:szCs w:val="24"/>
    </w:rPr>
  </w:style>
  <w:style w:type="character" w:customStyle="1" w:styleId="100">
    <w:name w:val="批注文字 Char"/>
    <w:link w:val="20"/>
    <w:qFormat/>
    <w:uiPriority w:val="99"/>
    <w:rPr>
      <w:rFonts w:ascii="Calibri" w:hAnsi="Calibri"/>
      <w:kern w:val="2"/>
      <w:sz w:val="21"/>
      <w:szCs w:val="22"/>
    </w:rPr>
  </w:style>
  <w:style w:type="paragraph" w:customStyle="1" w:styleId="101">
    <w:name w:val="国内正文"/>
    <w:basedOn w:val="1"/>
    <w:qFormat/>
    <w:uiPriority w:val="0"/>
    <w:rPr>
      <w:rFonts w:ascii="Times New Roman" w:hAnsi="Times New Roman"/>
      <w:sz w:val="28"/>
      <w:szCs w:val="28"/>
    </w:rPr>
  </w:style>
  <w:style w:type="paragraph" w:customStyle="1" w:styleId="102">
    <w:name w:val="xl10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32"/>
      <w:szCs w:val="32"/>
    </w:rPr>
  </w:style>
  <w:style w:type="paragraph" w:customStyle="1" w:styleId="103">
    <w:name w:val="xl9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04">
    <w:name w:val="xl90"/>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styleId="105">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0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8"/>
      <w:szCs w:val="28"/>
    </w:rPr>
  </w:style>
  <w:style w:type="paragraph" w:customStyle="1" w:styleId="107">
    <w:name w:val="二级标题"/>
    <w:basedOn w:val="1"/>
    <w:next w:val="99"/>
    <w:qFormat/>
    <w:uiPriority w:val="0"/>
    <w:pPr>
      <w:tabs>
        <w:tab w:val="left" w:pos="992"/>
      </w:tabs>
      <w:ind w:left="992" w:hanging="567"/>
      <w:outlineLvl w:val="1"/>
    </w:pPr>
    <w:rPr>
      <w:rFonts w:ascii="黑体" w:eastAsia="黑体"/>
      <w:sz w:val="28"/>
      <w:szCs w:val="24"/>
    </w:rPr>
  </w:style>
  <w:style w:type="paragraph" w:customStyle="1" w:styleId="108">
    <w:name w:val="基本文字 Char"/>
    <w:basedOn w:val="1"/>
    <w:qFormat/>
    <w:uiPriority w:val="0"/>
    <w:pPr>
      <w:spacing w:before="156" w:line="400" w:lineRule="atLeast"/>
      <w:ind w:firstLine="540" w:firstLineChars="225"/>
    </w:pPr>
    <w:rPr>
      <w:sz w:val="24"/>
    </w:rPr>
  </w:style>
  <w:style w:type="paragraph" w:customStyle="1" w:styleId="109">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10">
    <w:name w:val="普通(网站)4"/>
    <w:basedOn w:val="1"/>
    <w:qFormat/>
    <w:uiPriority w:val="0"/>
    <w:pPr>
      <w:widowControl/>
      <w:spacing w:before="100" w:beforeAutospacing="1" w:after="100" w:afterAutospacing="1"/>
      <w:jc w:val="left"/>
    </w:pPr>
    <w:rPr>
      <w:rFonts w:ascii="宋体" w:hAnsi="宋体"/>
      <w:kern w:val="0"/>
      <w:sz w:val="24"/>
      <w:szCs w:val="20"/>
    </w:rPr>
  </w:style>
  <w:style w:type="paragraph" w:styleId="111">
    <w:name w:val="List Paragraph"/>
    <w:basedOn w:val="1"/>
    <w:qFormat/>
    <w:uiPriority w:val="34"/>
    <w:pPr>
      <w:ind w:firstLine="420" w:firstLineChars="200"/>
    </w:pPr>
    <w:rPr>
      <w:rFonts w:ascii="Times New Roman" w:hAnsi="Times New Roman"/>
      <w:szCs w:val="20"/>
    </w:rPr>
  </w:style>
  <w:style w:type="paragraph" w:customStyle="1" w:styleId="112">
    <w:name w:val="正文首行缩进两字符"/>
    <w:basedOn w:val="1"/>
    <w:qFormat/>
    <w:uiPriority w:val="0"/>
    <w:pPr>
      <w:spacing w:line="360" w:lineRule="auto"/>
      <w:ind w:firstLine="200" w:firstLineChars="200"/>
    </w:pPr>
    <w:rPr>
      <w:rFonts w:ascii="宋体" w:hAnsi="Times New Roman"/>
      <w:kern w:val="0"/>
      <w:sz w:val="34"/>
      <w:szCs w:val="20"/>
    </w:rPr>
  </w:style>
  <w:style w:type="paragraph" w:customStyle="1" w:styleId="11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8"/>
      <w:szCs w:val="28"/>
    </w:rPr>
  </w:style>
  <w:style w:type="paragraph" w:customStyle="1" w:styleId="11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115">
    <w:name w:val="font12"/>
    <w:basedOn w:val="1"/>
    <w:qFormat/>
    <w:uiPriority w:val="0"/>
    <w:pPr>
      <w:widowControl/>
      <w:spacing w:before="100" w:beforeAutospacing="1" w:after="100" w:afterAutospacing="1"/>
      <w:jc w:val="left"/>
    </w:pPr>
    <w:rPr>
      <w:rFonts w:ascii="宋体" w:hAnsi="宋体" w:cs="宋体"/>
      <w:color w:val="800000"/>
      <w:kern w:val="0"/>
      <w:sz w:val="28"/>
      <w:szCs w:val="28"/>
    </w:rPr>
  </w:style>
  <w:style w:type="paragraph" w:customStyle="1" w:styleId="116">
    <w:name w:val="样式1"/>
    <w:basedOn w:val="1"/>
    <w:qFormat/>
    <w:uiPriority w:val="0"/>
    <w:pPr>
      <w:tabs>
        <w:tab w:val="left" w:pos="709"/>
      </w:tabs>
      <w:adjustRightInd w:val="0"/>
      <w:ind w:left="709" w:hanging="709"/>
      <w:textAlignment w:val="baseline"/>
    </w:pPr>
    <w:rPr>
      <w:rFonts w:ascii="宋体" w:hAnsi="宋体"/>
      <w:kern w:val="0"/>
    </w:rPr>
  </w:style>
  <w:style w:type="paragraph" w:customStyle="1" w:styleId="117">
    <w:name w:val="font13"/>
    <w:basedOn w:val="1"/>
    <w:qFormat/>
    <w:uiPriority w:val="0"/>
    <w:pPr>
      <w:widowControl/>
      <w:spacing w:before="100" w:beforeAutospacing="1" w:after="100" w:afterAutospacing="1"/>
      <w:jc w:val="left"/>
    </w:pPr>
    <w:rPr>
      <w:rFonts w:ascii="宋体" w:hAnsi="宋体" w:cs="宋体"/>
      <w:color w:val="800000"/>
      <w:kern w:val="0"/>
      <w:sz w:val="28"/>
      <w:szCs w:val="28"/>
    </w:rPr>
  </w:style>
  <w:style w:type="paragraph" w:customStyle="1" w:styleId="118">
    <w:name w:val="Char1 Char Char Char"/>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19">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20">
    <w:name w:val="普通(网站)1"/>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2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2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123">
    <w:name w:val="MsoNormal"/>
    <w:basedOn w:val="97"/>
    <w:qFormat/>
    <w:uiPriority w:val="0"/>
    <w:rPr>
      <w:rFonts w:ascii="Calibri" w:hAnsi="Calibri" w:eastAsia="Calibri"/>
      <w:sz w:val="21"/>
    </w:rPr>
  </w:style>
  <w:style w:type="paragraph" w:customStyle="1" w:styleId="124">
    <w:name w:val="xl91"/>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28"/>
      <w:szCs w:val="28"/>
    </w:rPr>
  </w:style>
  <w:style w:type="paragraph" w:customStyle="1" w:styleId="125">
    <w:name w:val="Char Char Char Char Char Char1 Char Char Char Char2"/>
    <w:basedOn w:val="18"/>
    <w:qFormat/>
    <w:uiPriority w:val="0"/>
    <w:rPr>
      <w:rFonts w:ascii="Times New Roman" w:hAnsi="Times New Roman"/>
      <w:szCs w:val="20"/>
    </w:rPr>
  </w:style>
  <w:style w:type="paragraph" w:customStyle="1" w:styleId="126">
    <w:name w:val="xl11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8"/>
      <w:szCs w:val="28"/>
    </w:rPr>
  </w:style>
  <w:style w:type="paragraph" w:customStyle="1" w:styleId="127">
    <w:name w:val="普通(网站)2"/>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28">
    <w:name w:val="xl99"/>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129">
    <w:name w:val="列出段落1"/>
    <w:basedOn w:val="1"/>
    <w:qFormat/>
    <w:uiPriority w:val="0"/>
    <w:pPr>
      <w:ind w:firstLine="420" w:firstLineChars="200"/>
    </w:pPr>
    <w:rPr>
      <w:rFonts w:ascii="Times New Roman" w:hAnsi="Times New Roman"/>
      <w:szCs w:val="20"/>
    </w:rPr>
  </w:style>
  <w:style w:type="paragraph" w:customStyle="1" w:styleId="13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3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32">
    <w:name w:val="p0"/>
    <w:basedOn w:val="1"/>
    <w:qFormat/>
    <w:uiPriority w:val="0"/>
    <w:pPr>
      <w:widowControl/>
    </w:pPr>
    <w:rPr>
      <w:rFonts w:ascii="Times New Roman" w:hAnsi="Times New Roman"/>
      <w:kern w:val="0"/>
      <w:szCs w:val="20"/>
    </w:rPr>
  </w:style>
  <w:style w:type="paragraph" w:customStyle="1" w:styleId="13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8"/>
      <w:szCs w:val="28"/>
    </w:rPr>
  </w:style>
  <w:style w:type="paragraph" w:customStyle="1" w:styleId="13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color w:val="000000"/>
      <w:kern w:val="0"/>
      <w:sz w:val="28"/>
      <w:szCs w:val="28"/>
    </w:rPr>
  </w:style>
  <w:style w:type="paragraph" w:customStyle="1" w:styleId="135">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8"/>
      <w:szCs w:val="28"/>
    </w:rPr>
  </w:style>
  <w:style w:type="paragraph" w:customStyle="1" w:styleId="136">
    <w:name w:val="xl11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8"/>
      <w:szCs w:val="28"/>
    </w:rPr>
  </w:style>
  <w:style w:type="paragraph" w:customStyle="1" w:styleId="137">
    <w:name w:val="xl89"/>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3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8"/>
      <w:szCs w:val="28"/>
    </w:rPr>
  </w:style>
  <w:style w:type="paragraph" w:customStyle="1" w:styleId="13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800080"/>
      <w:kern w:val="0"/>
      <w:sz w:val="28"/>
      <w:szCs w:val="28"/>
    </w:rPr>
  </w:style>
  <w:style w:type="paragraph" w:customStyle="1" w:styleId="140">
    <w:name w:val="xl83"/>
    <w:basedOn w:val="1"/>
    <w:qFormat/>
    <w:uiPriority w:val="0"/>
    <w:pPr>
      <w:widowControl/>
      <w:spacing w:before="100" w:beforeAutospacing="1" w:after="100" w:afterAutospacing="1"/>
      <w:jc w:val="left"/>
    </w:pPr>
    <w:rPr>
      <w:rFonts w:ascii="宋体" w:hAnsi="宋体" w:cs="宋体"/>
      <w:color w:val="000000"/>
      <w:kern w:val="0"/>
      <w:sz w:val="28"/>
      <w:szCs w:val="28"/>
    </w:rPr>
  </w:style>
  <w:style w:type="paragraph" w:customStyle="1" w:styleId="141">
    <w:name w:val="正文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2">
    <w:name w:val="xl98"/>
    <w:basedOn w:val="1"/>
    <w:qFormat/>
    <w:uiPriority w:val="0"/>
    <w:pPr>
      <w:widowControl/>
      <w:spacing w:before="100" w:beforeAutospacing="1" w:after="100" w:afterAutospacing="1"/>
      <w:jc w:val="center"/>
    </w:pPr>
    <w:rPr>
      <w:rFonts w:ascii="宋体" w:hAnsi="宋体" w:cs="宋体"/>
      <w:b/>
      <w:bCs/>
      <w:color w:val="000000"/>
      <w:kern w:val="0"/>
      <w:sz w:val="32"/>
      <w:szCs w:val="32"/>
    </w:rPr>
  </w:style>
  <w:style w:type="paragraph" w:customStyle="1" w:styleId="143">
    <w:name w:val="普通(网站)3"/>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44">
    <w:name w:val="font7"/>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145">
    <w:name w:val="font10"/>
    <w:basedOn w:val="1"/>
    <w:qFormat/>
    <w:uiPriority w:val="0"/>
    <w:pPr>
      <w:widowControl/>
      <w:spacing w:before="100" w:beforeAutospacing="1" w:after="100" w:afterAutospacing="1"/>
      <w:jc w:val="left"/>
    </w:pPr>
    <w:rPr>
      <w:rFonts w:ascii="宋体" w:hAnsi="宋体" w:cs="宋体"/>
      <w:color w:val="FF0000"/>
      <w:kern w:val="0"/>
      <w:sz w:val="28"/>
      <w:szCs w:val="28"/>
    </w:rPr>
  </w:style>
  <w:style w:type="paragraph" w:customStyle="1" w:styleId="146">
    <w:name w:val="Char Char Char Char Char Char Char1 Char_1"/>
    <w:basedOn w:val="85"/>
    <w:qFormat/>
    <w:uiPriority w:val="0"/>
    <w:rPr>
      <w:rFonts w:ascii="Tahoma" w:hAnsi="Tahoma"/>
      <w:sz w:val="24"/>
    </w:rPr>
  </w:style>
  <w:style w:type="paragraph" w:customStyle="1" w:styleId="14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szCs w:val="24"/>
    </w:rPr>
  </w:style>
  <w:style w:type="paragraph" w:customStyle="1" w:styleId="148">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49">
    <w:name w:val="font8"/>
    <w:basedOn w:val="1"/>
    <w:qFormat/>
    <w:uiPriority w:val="0"/>
    <w:pPr>
      <w:widowControl/>
      <w:spacing w:before="100" w:beforeAutospacing="1" w:after="100" w:afterAutospacing="1"/>
      <w:jc w:val="left"/>
    </w:pPr>
    <w:rPr>
      <w:rFonts w:hint="eastAsia" w:ascii="宋体" w:hAnsi="宋体"/>
      <w:color w:val="000000"/>
      <w:kern w:val="0"/>
      <w:sz w:val="32"/>
      <w:szCs w:val="32"/>
    </w:rPr>
  </w:style>
  <w:style w:type="paragraph" w:customStyle="1" w:styleId="15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32"/>
      <w:szCs w:val="32"/>
    </w:rPr>
  </w:style>
  <w:style w:type="paragraph" w:customStyle="1" w:styleId="15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幼圆" w:hAnsi="宋体" w:eastAsia="幼圆"/>
      <w:kern w:val="0"/>
      <w:sz w:val="32"/>
      <w:szCs w:val="32"/>
    </w:rPr>
  </w:style>
  <w:style w:type="paragraph" w:customStyle="1" w:styleId="152">
    <w:name w:val="xl92"/>
    <w:basedOn w:val="1"/>
    <w:qFormat/>
    <w:uiPriority w:val="0"/>
    <w:pPr>
      <w:widowControl/>
      <w:pBdr>
        <w:bottom w:val="single" w:color="auto" w:sz="4" w:space="0"/>
      </w:pBdr>
      <w:spacing w:before="100" w:beforeAutospacing="1" w:after="100" w:afterAutospacing="1"/>
      <w:jc w:val="center"/>
    </w:pPr>
    <w:rPr>
      <w:rFonts w:ascii="宋体" w:hAnsi="宋体" w:cs="宋体"/>
      <w:kern w:val="0"/>
      <w:sz w:val="28"/>
      <w:szCs w:val="28"/>
    </w:rPr>
  </w:style>
  <w:style w:type="paragraph" w:customStyle="1" w:styleId="15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36"/>
      <w:szCs w:val="36"/>
    </w:rPr>
  </w:style>
  <w:style w:type="paragraph" w:customStyle="1" w:styleId="154">
    <w:name w:val="xl105"/>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55">
    <w:name w:val="_Style 2"/>
    <w:basedOn w:val="1"/>
    <w:qFormat/>
    <w:uiPriority w:val="99"/>
    <w:pPr>
      <w:ind w:firstLine="200" w:firstLineChars="200"/>
    </w:pPr>
    <w:rPr>
      <w:rFonts w:ascii="Times New Roman" w:hAnsi="Times New Roman"/>
      <w:szCs w:val="21"/>
    </w:rPr>
  </w:style>
  <w:style w:type="paragraph" w:customStyle="1" w:styleId="156">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7">
    <w:name w:val="D&amp;L"/>
    <w:basedOn w:val="36"/>
    <w:qFormat/>
    <w:uiPriority w:val="99"/>
    <w:pPr>
      <w:pBdr>
        <w:bottom w:val="thinThickSmallGap" w:color="auto" w:sz="18" w:space="1"/>
      </w:pBdr>
      <w:adjustRightInd w:val="0"/>
      <w:snapToGrid/>
      <w:spacing w:line="240" w:lineRule="atLeast"/>
      <w:textAlignment w:val="baseline"/>
    </w:pPr>
    <w:rPr>
      <w:kern w:val="0"/>
      <w:sz w:val="24"/>
    </w:rPr>
  </w:style>
  <w:style w:type="paragraph" w:customStyle="1" w:styleId="158">
    <w:name w:val="xl7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8"/>
      <w:szCs w:val="28"/>
    </w:rPr>
  </w:style>
  <w:style w:type="paragraph" w:customStyle="1" w:styleId="159">
    <w:name w:val="xl10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b/>
      <w:bCs/>
      <w:color w:val="000000"/>
      <w:kern w:val="0"/>
      <w:sz w:val="32"/>
      <w:szCs w:val="32"/>
    </w:rPr>
  </w:style>
  <w:style w:type="paragraph" w:customStyle="1" w:styleId="160">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61">
    <w:name w:val="xl66"/>
    <w:basedOn w:val="1"/>
    <w:qFormat/>
    <w:uiPriority w:val="0"/>
    <w:pPr>
      <w:widowControl/>
      <w:spacing w:before="100" w:beforeAutospacing="1" w:after="100" w:afterAutospacing="1"/>
      <w:jc w:val="left"/>
    </w:pPr>
    <w:rPr>
      <w:rFonts w:ascii="宋体" w:hAnsi="宋体" w:cs="宋体"/>
      <w:kern w:val="0"/>
      <w:sz w:val="28"/>
      <w:szCs w:val="28"/>
    </w:rPr>
  </w:style>
  <w:style w:type="paragraph" w:customStyle="1" w:styleId="162">
    <w:name w:val="Char Char Char Char Char Char1 Char Char Char Char1"/>
    <w:basedOn w:val="18"/>
    <w:qFormat/>
    <w:uiPriority w:val="0"/>
    <w:rPr>
      <w:rFonts w:ascii="Times New Roman" w:hAnsi="Times New Roman"/>
      <w:szCs w:val="20"/>
    </w:rPr>
  </w:style>
  <w:style w:type="paragraph" w:customStyle="1" w:styleId="163">
    <w:name w:val="font9"/>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164">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16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幼圆" w:hAnsi="宋体" w:eastAsia="幼圆"/>
      <w:kern w:val="0"/>
      <w:sz w:val="32"/>
      <w:szCs w:val="32"/>
    </w:rPr>
  </w:style>
  <w:style w:type="paragraph" w:customStyle="1" w:styleId="166">
    <w:name w:val="普通(网站)5"/>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67">
    <w:name w:val="xl11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68">
    <w:name w:val="一级标题"/>
    <w:basedOn w:val="1"/>
    <w:next w:val="107"/>
    <w:qFormat/>
    <w:uiPriority w:val="0"/>
    <w:pPr>
      <w:tabs>
        <w:tab w:val="left" w:pos="425"/>
        <w:tab w:val="left" w:pos="1418"/>
      </w:tabs>
      <w:spacing w:afterLines="100"/>
      <w:ind w:left="850" w:hanging="425"/>
      <w:outlineLvl w:val="0"/>
    </w:pPr>
    <w:rPr>
      <w:rFonts w:ascii="黑体" w:eastAsia="黑体"/>
      <w:sz w:val="30"/>
      <w:szCs w:val="28"/>
    </w:rPr>
  </w:style>
  <w:style w:type="paragraph" w:customStyle="1" w:styleId="169">
    <w:name w:val="xl7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32"/>
      <w:szCs w:val="32"/>
    </w:rPr>
  </w:style>
  <w:style w:type="paragraph" w:customStyle="1" w:styleId="17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color w:val="000000"/>
      <w:kern w:val="0"/>
      <w:sz w:val="28"/>
      <w:szCs w:val="28"/>
    </w:rPr>
  </w:style>
  <w:style w:type="paragraph" w:customStyle="1" w:styleId="171">
    <w:name w:val="font11"/>
    <w:basedOn w:val="1"/>
    <w:qFormat/>
    <w:uiPriority w:val="0"/>
    <w:pPr>
      <w:widowControl/>
      <w:spacing w:before="100" w:beforeAutospacing="1" w:after="100" w:afterAutospacing="1"/>
      <w:jc w:val="left"/>
    </w:pPr>
    <w:rPr>
      <w:rFonts w:ascii="宋体" w:hAnsi="宋体" w:cs="宋体"/>
      <w:kern w:val="0"/>
      <w:sz w:val="28"/>
      <w:szCs w:val="28"/>
    </w:rPr>
  </w:style>
  <w:style w:type="paragraph" w:customStyle="1" w:styleId="172">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174">
    <w:name w:val="样式 标题 2 + Times New Roman 四号 非加粗 段前: 5 磅 段后: 0 磅 行距: 固定值 20..."/>
    <w:basedOn w:val="6"/>
    <w:qFormat/>
    <w:uiPriority w:val="0"/>
    <w:pPr>
      <w:spacing w:before="100" w:after="0" w:line="400" w:lineRule="exact"/>
      <w:ind w:firstLine="0"/>
      <w:jc w:val="both"/>
    </w:pPr>
    <w:rPr>
      <w:rFonts w:ascii="Times New Roman" w:hAnsi="Times New Roman" w:cs="宋体"/>
      <w:b w:val="0"/>
      <w:bCs w:val="0"/>
      <w:sz w:val="28"/>
      <w:szCs w:val="20"/>
    </w:rPr>
  </w:style>
  <w:style w:type="paragraph" w:customStyle="1" w:styleId="175">
    <w:name w:val="Char Char Char Char Char Char Char1 Char_0"/>
    <w:basedOn w:val="141"/>
    <w:qFormat/>
    <w:uiPriority w:val="0"/>
    <w:rPr>
      <w:rFonts w:ascii="Tahoma" w:hAnsi="Tahoma"/>
      <w:sz w:val="24"/>
    </w:rPr>
  </w:style>
  <w:style w:type="paragraph" w:customStyle="1" w:styleId="176">
    <w:name w:val="Char"/>
    <w:basedOn w:val="1"/>
    <w:qFormat/>
    <w:uiPriority w:val="0"/>
    <w:rPr>
      <w:rFonts w:ascii="Tahoma" w:hAnsi="Tahoma"/>
      <w:sz w:val="24"/>
    </w:rPr>
  </w:style>
  <w:style w:type="paragraph" w:customStyle="1" w:styleId="17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78">
    <w:name w:val="xl10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b/>
      <w:bCs/>
      <w:color w:val="000000"/>
      <w:kern w:val="0"/>
      <w:sz w:val="32"/>
      <w:szCs w:val="32"/>
    </w:rPr>
  </w:style>
  <w:style w:type="paragraph" w:customStyle="1" w:styleId="17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80">
    <w:name w:val="SUR-需求定义-第4级"/>
    <w:basedOn w:val="8"/>
    <w:next w:val="1"/>
    <w:qFormat/>
    <w:uiPriority w:val="0"/>
    <w:pPr>
      <w:tabs>
        <w:tab w:val="left" w:pos="1080"/>
      </w:tabs>
      <w:spacing w:before="0" w:after="0"/>
      <w:ind w:left="-283" w:firstLine="283"/>
      <w:jc w:val="left"/>
    </w:pPr>
    <w:rPr>
      <w:rFonts w:cs="Arial"/>
      <w:b w:val="0"/>
      <w:color w:val="0000FF"/>
      <w:sz w:val="24"/>
      <w:szCs w:val="24"/>
    </w:rPr>
  </w:style>
  <w:style w:type="paragraph" w:customStyle="1" w:styleId="181">
    <w:name w:val="xl106"/>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82">
    <w:name w:val="xl93"/>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83">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40"/>
      <w:szCs w:val="40"/>
    </w:rPr>
  </w:style>
  <w:style w:type="paragraph" w:customStyle="1" w:styleId="184">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32"/>
      <w:szCs w:val="32"/>
    </w:rPr>
  </w:style>
  <w:style w:type="paragraph" w:customStyle="1" w:styleId="18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8"/>
      <w:szCs w:val="28"/>
    </w:rPr>
  </w:style>
  <w:style w:type="paragraph" w:customStyle="1" w:styleId="186">
    <w:name w:val="列出段落2"/>
    <w:basedOn w:val="1"/>
    <w:qFormat/>
    <w:uiPriority w:val="99"/>
    <w:pPr>
      <w:ind w:firstLine="420" w:firstLineChars="200"/>
    </w:pPr>
  </w:style>
  <w:style w:type="paragraph" w:customStyle="1" w:styleId="187">
    <w:name w:val="Char Char Char Char Char Char1 Char Char Char Char"/>
    <w:basedOn w:val="18"/>
    <w:qFormat/>
    <w:uiPriority w:val="0"/>
    <w:rPr>
      <w:rFonts w:ascii="Times New Roman" w:hAnsi="Times New Roman"/>
      <w:szCs w:val="20"/>
    </w:rPr>
  </w:style>
  <w:style w:type="paragraph" w:customStyle="1" w:styleId="18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000000"/>
      <w:kern w:val="0"/>
      <w:sz w:val="28"/>
      <w:szCs w:val="28"/>
    </w:rPr>
  </w:style>
  <w:style w:type="paragraph" w:customStyle="1" w:styleId="18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9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8"/>
      <w:szCs w:val="28"/>
    </w:rPr>
  </w:style>
  <w:style w:type="paragraph" w:customStyle="1" w:styleId="191">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8"/>
      <w:szCs w:val="28"/>
    </w:rPr>
  </w:style>
  <w:style w:type="paragraph" w:customStyle="1" w:styleId="19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36"/>
      <w:szCs w:val="36"/>
    </w:rPr>
  </w:style>
  <w:style w:type="paragraph" w:customStyle="1" w:styleId="193">
    <w:name w:val="Char Char Char Char Char Char Char1 Char"/>
    <w:basedOn w:val="1"/>
    <w:qFormat/>
    <w:uiPriority w:val="0"/>
    <w:rPr>
      <w:rFonts w:ascii="Tahoma" w:hAnsi="Tahoma"/>
      <w:sz w:val="24"/>
    </w:rPr>
  </w:style>
  <w:style w:type="paragraph" w:customStyle="1" w:styleId="194">
    <w:name w:val="xl101"/>
    <w:basedOn w:val="1"/>
    <w:qFormat/>
    <w:uiPriority w:val="0"/>
    <w:pPr>
      <w:widowControl/>
      <w:pBdr>
        <w:bottom w:val="single" w:color="auto" w:sz="4" w:space="0"/>
      </w:pBdr>
      <w:spacing w:before="100" w:beforeAutospacing="1" w:after="100" w:afterAutospacing="1"/>
      <w:jc w:val="left"/>
    </w:pPr>
    <w:rPr>
      <w:rFonts w:ascii="宋体" w:hAnsi="宋体" w:cs="宋体"/>
      <w:b/>
      <w:bCs/>
      <w:color w:val="000000"/>
      <w:kern w:val="0"/>
      <w:sz w:val="32"/>
      <w:szCs w:val="32"/>
    </w:rPr>
  </w:style>
  <w:style w:type="character" w:customStyle="1" w:styleId="195">
    <w:name w:val="批注主题 Char"/>
    <w:link w:val="51"/>
    <w:qFormat/>
    <w:uiPriority w:val="99"/>
    <w:rPr>
      <w:rFonts w:ascii="Calibri" w:hAnsi="Calibri" w:eastAsia="宋体" w:cs="Times New Roman"/>
      <w:b/>
      <w:bCs/>
      <w:kern w:val="2"/>
      <w:sz w:val="21"/>
      <w:szCs w:val="22"/>
    </w:rPr>
  </w:style>
  <w:style w:type="paragraph" w:customStyle="1" w:styleId="196">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7">
    <w:name w:val="自定义正文"/>
    <w:basedOn w:val="1"/>
    <w:qFormat/>
    <w:uiPriority w:val="99"/>
    <w:pPr>
      <w:spacing w:afterLines="50" w:line="360" w:lineRule="auto"/>
      <w:ind w:firstLine="200" w:firstLineChars="200"/>
      <w:jc w:val="left"/>
    </w:pPr>
    <w:rPr>
      <w:rFonts w:ascii="Times New Roman" w:hAnsi="Times New Roman"/>
      <w:kern w:val="0"/>
      <w:sz w:val="24"/>
      <w:szCs w:val="24"/>
    </w:rPr>
  </w:style>
  <w:style w:type="paragraph" w:customStyle="1" w:styleId="198">
    <w:name w:val="正文缩进_0"/>
    <w:basedOn w:val="1"/>
    <w:qFormat/>
    <w:uiPriority w:val="0"/>
    <w:pPr>
      <w:ind w:firstLine="420"/>
    </w:pPr>
    <w:rPr>
      <w:rFonts w:asciiTheme="minorHAnsi" w:hAnsiTheme="minorHAnsi" w:eastAsiaTheme="minorEastAsia" w:cstheme="minorBidi"/>
      <w:szCs w:val="20"/>
    </w:rPr>
  </w:style>
  <w:style w:type="paragraph" w:customStyle="1" w:styleId="199">
    <w:name w:val="列表段落"/>
    <w:basedOn w:val="1"/>
    <w:qFormat/>
    <w:uiPriority w:val="34"/>
    <w:pPr>
      <w:ind w:firstLine="420" w:firstLineChars="200"/>
    </w:pPr>
    <w:rPr>
      <w:rFonts w:asciiTheme="minorHAnsi" w:hAnsiTheme="minorHAnsi" w:eastAsiaTheme="minorEastAsia" w:cstheme="minorBidi"/>
    </w:rPr>
  </w:style>
  <w:style w:type="paragraph" w:customStyle="1" w:styleId="200">
    <w:name w:val="Table Text"/>
    <w:basedOn w:val="1"/>
    <w:qFormat/>
    <w:uiPriority w:val="0"/>
    <w:pPr>
      <w:widowControl/>
      <w:topLinePunct/>
      <w:adjustRightInd w:val="0"/>
      <w:snapToGrid w:val="0"/>
      <w:spacing w:before="80" w:after="80" w:line="240" w:lineRule="atLeast"/>
      <w:jc w:val="left"/>
    </w:pPr>
    <w:rPr>
      <w:rFonts w:ascii="Times New Roman" w:hAnsi="Times New Roman" w:cs="Arial" w:eastAsiaTheme="minorEastAsia"/>
      <w:snapToGrid w:val="0"/>
      <w:kern w:val="0"/>
    </w:rPr>
  </w:style>
  <w:style w:type="paragraph" w:customStyle="1" w:styleId="201">
    <w:name w:val="章节题目"/>
    <w:basedOn w:val="202"/>
    <w:next w:val="1"/>
    <w:qFormat/>
    <w:uiPriority w:val="0"/>
    <w:pPr>
      <w:spacing w:before="720" w:after="400" w:line="540" w:lineRule="atLeast"/>
      <w:ind w:right="2160"/>
    </w:pPr>
    <w:rPr>
      <w:rFonts w:ascii="Times New Roman" w:hAnsi="Times New Roman"/>
      <w:spacing w:val="-40"/>
      <w:sz w:val="60"/>
    </w:rPr>
  </w:style>
  <w:style w:type="paragraph" w:customStyle="1" w:styleId="202">
    <w:name w:val="基准标题"/>
    <w:basedOn w:val="1"/>
    <w:next w:val="23"/>
    <w:qFormat/>
    <w:uiPriority w:val="0"/>
    <w:pPr>
      <w:keepNext/>
      <w:keepLines/>
      <w:spacing w:before="140" w:line="220" w:lineRule="atLeast"/>
    </w:pPr>
    <w:rPr>
      <w:rFonts w:ascii="Arial" w:hAnsi="Arial"/>
      <w:spacing w:val="-4"/>
      <w:kern w:val="28"/>
    </w:rPr>
  </w:style>
  <w:style w:type="paragraph" w:customStyle="1" w:styleId="203">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204">
    <w:name w:val="WPSOffice手动目录 1"/>
    <w:qFormat/>
    <w:uiPriority w:val="0"/>
    <w:rPr>
      <w:rFonts w:ascii="Times New Roman" w:hAnsi="Times New Roman" w:eastAsia="宋体" w:cs="Times New Roman"/>
      <w:lang w:val="en-US" w:eastAsia="zh-CN" w:bidi="ar-SA"/>
    </w:rPr>
  </w:style>
  <w:style w:type="character" w:customStyle="1" w:styleId="205">
    <w:name w:val="right2"/>
    <w:basedOn w:val="55"/>
    <w:qFormat/>
    <w:uiPriority w:val="0"/>
    <w:rPr>
      <w:color w:val="A1A1A1"/>
    </w:rPr>
  </w:style>
  <w:style w:type="character" w:customStyle="1" w:styleId="206">
    <w:name w:val="red"/>
    <w:basedOn w:val="55"/>
    <w:qFormat/>
    <w:uiPriority w:val="0"/>
    <w:rPr>
      <w:color w:val="FF0000"/>
    </w:rPr>
  </w:style>
  <w:style w:type="character" w:customStyle="1" w:styleId="207">
    <w:name w:val="c1"/>
    <w:basedOn w:val="55"/>
    <w:qFormat/>
    <w:uiPriority w:val="0"/>
  </w:style>
  <w:style w:type="character" w:customStyle="1" w:styleId="208">
    <w:name w:val="starting6"/>
    <w:basedOn w:val="55"/>
    <w:qFormat/>
    <w:uiPriority w:val="0"/>
    <w:rPr>
      <w:color w:val="339900"/>
    </w:rPr>
  </w:style>
  <w:style w:type="character" w:customStyle="1" w:styleId="209">
    <w:name w:val="starting7"/>
    <w:basedOn w:val="55"/>
    <w:qFormat/>
    <w:uiPriority w:val="0"/>
    <w:rPr>
      <w:color w:val="339900"/>
    </w:rPr>
  </w:style>
  <w:style w:type="character" w:customStyle="1" w:styleId="210">
    <w:name w:val="img_title8"/>
    <w:basedOn w:val="55"/>
    <w:qFormat/>
    <w:uiPriority w:val="0"/>
    <w:rPr>
      <w:vanish/>
    </w:rPr>
  </w:style>
  <w:style w:type="character" w:customStyle="1" w:styleId="211">
    <w:name w:val="img_title9"/>
    <w:basedOn w:val="55"/>
    <w:qFormat/>
    <w:uiPriority w:val="0"/>
    <w:rPr>
      <w:vanish/>
    </w:rPr>
  </w:style>
  <w:style w:type="character" w:customStyle="1" w:styleId="212">
    <w:name w:val="msg-box13"/>
    <w:basedOn w:val="55"/>
    <w:qFormat/>
    <w:uiPriority w:val="0"/>
  </w:style>
  <w:style w:type="character" w:customStyle="1" w:styleId="213">
    <w:name w:val="msg-box14"/>
    <w:basedOn w:val="55"/>
    <w:qFormat/>
    <w:uiPriority w:val="0"/>
  </w:style>
  <w:style w:type="character" w:customStyle="1" w:styleId="214">
    <w:name w:val="over6"/>
    <w:basedOn w:val="55"/>
    <w:qFormat/>
    <w:uiPriority w:val="0"/>
    <w:rPr>
      <w:color w:val="B60000"/>
    </w:rPr>
  </w:style>
  <w:style w:type="character" w:customStyle="1" w:styleId="215">
    <w:name w:val="over7"/>
    <w:basedOn w:val="55"/>
    <w:qFormat/>
    <w:uiPriority w:val="0"/>
    <w:rPr>
      <w:color w:val="B60000"/>
    </w:rPr>
  </w:style>
  <w:style w:type="character" w:customStyle="1" w:styleId="216">
    <w:name w:val="nostart6"/>
    <w:basedOn w:val="55"/>
    <w:qFormat/>
    <w:uiPriority w:val="0"/>
    <w:rPr>
      <w:color w:val="FF0000"/>
    </w:rPr>
  </w:style>
  <w:style w:type="character" w:customStyle="1" w:styleId="217">
    <w:name w:val="nostart7"/>
    <w:basedOn w:val="55"/>
    <w:qFormat/>
    <w:uiPriority w:val="0"/>
    <w:rPr>
      <w:color w:val="FF0000"/>
    </w:rPr>
  </w:style>
  <w:style w:type="character" w:customStyle="1" w:styleId="218">
    <w:name w:val="hit"/>
    <w:basedOn w:val="55"/>
    <w:qFormat/>
    <w:uiPriority w:val="0"/>
  </w:style>
  <w:style w:type="character" w:customStyle="1" w:styleId="219">
    <w:name w:val="c2"/>
    <w:basedOn w:val="55"/>
    <w:qFormat/>
    <w:uiPriority w:val="0"/>
  </w:style>
  <w:style w:type="character" w:customStyle="1" w:styleId="220">
    <w:name w:val="c3"/>
    <w:basedOn w:val="55"/>
    <w:qFormat/>
    <w:uiPriority w:val="0"/>
  </w:style>
  <w:style w:type="character" w:customStyle="1" w:styleId="221">
    <w:name w:val="msg-box"/>
    <w:basedOn w:val="55"/>
    <w:qFormat/>
    <w:uiPriority w:val="0"/>
  </w:style>
  <w:style w:type="character" w:customStyle="1" w:styleId="222">
    <w:name w:val="msg-box1"/>
    <w:basedOn w:val="55"/>
    <w:qFormat/>
    <w:uiPriority w:val="0"/>
  </w:style>
  <w:style w:type="character" w:customStyle="1" w:styleId="223">
    <w:name w:val="img_title"/>
    <w:basedOn w:val="55"/>
    <w:qFormat/>
    <w:uiPriority w:val="0"/>
    <w:rPr>
      <w:vanish/>
    </w:rPr>
  </w:style>
  <w:style w:type="character" w:customStyle="1" w:styleId="224">
    <w:name w:val="img_title1"/>
    <w:basedOn w:val="55"/>
    <w:qFormat/>
    <w:uiPriority w:val="0"/>
    <w:rPr>
      <w:vanish/>
    </w:rPr>
  </w:style>
  <w:style w:type="character" w:customStyle="1" w:styleId="225">
    <w:name w:val="right"/>
    <w:basedOn w:val="55"/>
    <w:qFormat/>
    <w:uiPriority w:val="0"/>
    <w:rPr>
      <w:color w:val="A1A1A1"/>
    </w:rPr>
  </w:style>
  <w:style w:type="character" w:customStyle="1" w:styleId="226">
    <w:name w:val="nostart4"/>
    <w:basedOn w:val="55"/>
    <w:qFormat/>
    <w:uiPriority w:val="0"/>
    <w:rPr>
      <w:color w:val="FF0000"/>
    </w:rPr>
  </w:style>
  <w:style w:type="character" w:customStyle="1" w:styleId="227">
    <w:name w:val="nostart5"/>
    <w:basedOn w:val="55"/>
    <w:qFormat/>
    <w:uiPriority w:val="0"/>
    <w:rPr>
      <w:color w:val="FF0000"/>
    </w:rPr>
  </w:style>
  <w:style w:type="paragraph" w:customStyle="1" w:styleId="228">
    <w:name w:val="paragraphindent"/>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42370-C5EC-4FBE-B5DA-955FB489C7E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67</Pages>
  <Words>7511</Words>
  <Characters>7888</Characters>
  <Lines>302</Lines>
  <Paragraphs>85</Paragraphs>
  <TotalTime>10</TotalTime>
  <ScaleCrop>false</ScaleCrop>
  <LinksUpToDate>false</LinksUpToDate>
  <CharactersWithSpaces>8064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2018-07-07T15:22:00Z</dcterms:created>
  <dc:creator>安徽科创工程项目管理有限公司</dc:creator>
  <cp:lastModifiedBy>There</cp:lastModifiedBy>
  <cp:lastPrinted>2018-05-08T08:19:00Z</cp:lastPrinted>
  <dcterms:modified xsi:type="dcterms:W3CDTF">2025-02-28T03:28:48Z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eyJoZGlkIjoiNTJhMWQ5MmFjNWJhZGNjZjQxNTdlMjQzYjkzMjcwMTIiLCJ1c2VySWQiOiIxMTc5NDc1NTkwIn0=</vt:lpwstr>
  </property>
  <property fmtid="{D5CDD505-2E9C-101B-9397-08002B2CF9AE}" pid="4" name="ICV">
    <vt:lpwstr>627D0EEE9E194FDF97E14BE34A5A2E2F_12</vt:lpwstr>
  </property>
</Properties>
</file>