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D5694">
      <w:pPr>
        <w:spacing w:line="480" w:lineRule="auto"/>
        <w:jc w:val="both"/>
        <w:rPr>
          <w:rFonts w:ascii="黑体" w:hAnsi="黑体" w:eastAsia="黑体"/>
          <w:b/>
          <w:bCs/>
          <w:sz w:val="36"/>
          <w:szCs w:val="36"/>
        </w:rPr>
      </w:pPr>
    </w:p>
    <w:p w14:paraId="31CBB19A">
      <w:pPr>
        <w:spacing w:line="480" w:lineRule="auto"/>
        <w:jc w:val="center"/>
        <w:rPr>
          <w:rFonts w:ascii="黑体" w:hAnsi="黑体" w:eastAsia="黑体"/>
          <w:b/>
          <w:bCs/>
          <w:sz w:val="40"/>
          <w:szCs w:val="40"/>
        </w:rPr>
      </w:pPr>
      <w:r>
        <w:rPr>
          <w:rFonts w:hint="eastAsia" w:ascii="黑体" w:hAnsi="黑体" w:eastAsia="黑体"/>
          <w:b/>
          <w:bCs/>
          <w:sz w:val="40"/>
          <w:szCs w:val="40"/>
        </w:rPr>
        <w:t>淮南经开区节水型工业园区建设项目</w:t>
      </w:r>
    </w:p>
    <w:p w14:paraId="073FD3F8">
      <w:pPr>
        <w:spacing w:line="480" w:lineRule="auto"/>
        <w:jc w:val="center"/>
        <w:rPr>
          <w:rFonts w:ascii="仿宋" w:hAnsi="仿宋" w:eastAsia="黑体"/>
          <w:b/>
          <w:bCs/>
          <w:sz w:val="28"/>
          <w:szCs w:val="28"/>
        </w:rPr>
      </w:pPr>
    </w:p>
    <w:p w14:paraId="6E7AACD3">
      <w:pPr>
        <w:spacing w:line="480" w:lineRule="auto"/>
        <w:jc w:val="center"/>
        <w:rPr>
          <w:rFonts w:ascii="仿宋" w:hAnsi="仿宋" w:eastAsia="仿宋"/>
          <w:b/>
          <w:bCs/>
          <w:sz w:val="28"/>
          <w:szCs w:val="28"/>
        </w:rPr>
      </w:pPr>
      <w:r>
        <w:rPr>
          <w:rFonts w:hint="eastAsia" w:ascii="仿宋" w:hAnsi="仿宋" w:eastAsia="仿宋"/>
          <w:b/>
          <w:bCs/>
          <w:sz w:val="28"/>
          <w:szCs w:val="28"/>
        </w:rPr>
        <w:t>项目编号：SYZB2023-05</w:t>
      </w:r>
    </w:p>
    <w:p w14:paraId="3FA57E94">
      <w:pPr>
        <w:pStyle w:val="2"/>
      </w:pPr>
    </w:p>
    <w:p w14:paraId="349DDE09">
      <w:pPr>
        <w:pStyle w:val="3"/>
      </w:pPr>
      <w:bookmarkStart w:id="160" w:name="_GoBack"/>
      <w:bookmarkEnd w:id="160"/>
    </w:p>
    <w:p w14:paraId="347CAFC1"/>
    <w:p w14:paraId="2CC103B9">
      <w:pPr>
        <w:pStyle w:val="2"/>
      </w:pPr>
    </w:p>
    <w:p w14:paraId="5B01F31B">
      <w:pPr>
        <w:spacing w:line="360" w:lineRule="auto"/>
        <w:jc w:val="center"/>
        <w:rPr>
          <w:rFonts w:ascii="宋体" w:hAnsi="宋体"/>
          <w:b/>
          <w:bCs/>
          <w:sz w:val="72"/>
          <w:szCs w:val="72"/>
        </w:rPr>
      </w:pPr>
      <w:r>
        <w:rPr>
          <w:rFonts w:hint="eastAsia" w:ascii="宋体" w:hAnsi="宋体"/>
          <w:b/>
          <w:bCs/>
          <w:sz w:val="72"/>
          <w:szCs w:val="72"/>
        </w:rPr>
        <w:t>竞争性磋商文件</w:t>
      </w:r>
    </w:p>
    <w:p w14:paraId="6328191B">
      <w:pPr>
        <w:pStyle w:val="2"/>
        <w:rPr>
          <w:rFonts w:ascii="仿宋" w:hAnsi="仿宋" w:eastAsia="仿宋"/>
          <w:b/>
          <w:bCs/>
          <w:sz w:val="32"/>
          <w:szCs w:val="32"/>
        </w:rPr>
      </w:pPr>
    </w:p>
    <w:p w14:paraId="4E9103B1"/>
    <w:p w14:paraId="5BC1B091">
      <w:pPr>
        <w:pStyle w:val="3"/>
      </w:pPr>
    </w:p>
    <w:p w14:paraId="6DE90D49"/>
    <w:p w14:paraId="1586EE39">
      <w:pPr>
        <w:spacing w:line="360" w:lineRule="auto"/>
        <w:jc w:val="center"/>
        <w:rPr>
          <w:rFonts w:ascii="仿宋" w:hAnsi="仿宋" w:eastAsia="仿宋"/>
          <w:b/>
          <w:bCs/>
          <w:sz w:val="32"/>
          <w:szCs w:val="32"/>
        </w:rPr>
      </w:pPr>
    </w:p>
    <w:p w14:paraId="40A827A6">
      <w:pPr>
        <w:spacing w:line="360" w:lineRule="auto"/>
        <w:ind w:firstLine="643" w:firstLineChars="200"/>
        <w:rPr>
          <w:rFonts w:ascii="仿宋" w:hAnsi="仿宋" w:eastAsia="仿宋"/>
          <w:b/>
          <w:kern w:val="0"/>
          <w:sz w:val="32"/>
          <w:szCs w:val="32"/>
          <w:u w:val="single"/>
        </w:rPr>
      </w:pPr>
      <w:r>
        <w:rPr>
          <w:rFonts w:hint="eastAsia" w:ascii="仿宋" w:hAnsi="仿宋" w:eastAsia="仿宋"/>
          <w:b/>
          <w:bCs/>
          <w:sz w:val="32"/>
          <w:szCs w:val="32"/>
        </w:rPr>
        <w:t>采   购   人：</w:t>
      </w:r>
      <w:r>
        <w:rPr>
          <w:rFonts w:hint="eastAsia" w:ascii="仿宋" w:hAnsi="仿宋" w:eastAsia="仿宋"/>
          <w:b/>
          <w:bCs/>
          <w:sz w:val="32"/>
          <w:szCs w:val="32"/>
          <w:u w:val="single"/>
        </w:rPr>
        <w:t>淮南经济技术开发区社会发展局</w:t>
      </w:r>
    </w:p>
    <w:p w14:paraId="37356DD0">
      <w:pPr>
        <w:spacing w:line="360" w:lineRule="auto"/>
        <w:ind w:firstLine="643" w:firstLineChars="200"/>
        <w:rPr>
          <w:rFonts w:ascii="仿宋" w:hAnsi="仿宋" w:eastAsia="仿宋"/>
          <w:b/>
          <w:bCs/>
          <w:sz w:val="32"/>
          <w:szCs w:val="32"/>
          <w:u w:val="single"/>
        </w:rPr>
      </w:pPr>
      <w:r>
        <w:rPr>
          <w:rFonts w:hint="eastAsia" w:ascii="仿宋" w:hAnsi="仿宋" w:eastAsia="仿宋"/>
          <w:b/>
          <w:bCs/>
          <w:sz w:val="32"/>
          <w:szCs w:val="32"/>
        </w:rPr>
        <w:t>采购代理单位：</w:t>
      </w:r>
      <w:r>
        <w:rPr>
          <w:rFonts w:hint="eastAsia" w:ascii="仿宋" w:hAnsi="仿宋" w:eastAsia="仿宋"/>
          <w:b/>
          <w:bCs/>
          <w:sz w:val="32"/>
          <w:szCs w:val="32"/>
          <w:u w:val="single"/>
        </w:rPr>
        <w:t>安徽三友建设工程项目管理有限责任公司</w:t>
      </w:r>
    </w:p>
    <w:p w14:paraId="0C9AE96F">
      <w:pPr>
        <w:spacing w:line="360" w:lineRule="auto"/>
        <w:jc w:val="center"/>
        <w:rPr>
          <w:rFonts w:ascii="仿宋" w:hAnsi="仿宋" w:eastAsia="仿宋"/>
          <w:b/>
          <w:bCs/>
          <w:sz w:val="32"/>
          <w:szCs w:val="32"/>
        </w:rPr>
      </w:pPr>
    </w:p>
    <w:p w14:paraId="2B57B5E4">
      <w:pPr>
        <w:pStyle w:val="2"/>
      </w:pPr>
    </w:p>
    <w:p w14:paraId="70AF43A4">
      <w:pPr>
        <w:spacing w:line="360" w:lineRule="auto"/>
        <w:jc w:val="center"/>
        <w:rPr>
          <w:rFonts w:ascii="仿宋" w:hAnsi="仿宋" w:eastAsia="仿宋"/>
          <w:b/>
          <w:bCs/>
          <w:sz w:val="32"/>
          <w:szCs w:val="32"/>
        </w:rPr>
      </w:pPr>
      <w:r>
        <w:rPr>
          <w:rFonts w:hint="eastAsia" w:ascii="仿宋" w:hAnsi="仿宋" w:eastAsia="仿宋"/>
          <w:b/>
          <w:bCs/>
          <w:sz w:val="32"/>
          <w:szCs w:val="32"/>
        </w:rPr>
        <w:t>2023年</w:t>
      </w:r>
      <w:r>
        <w:rPr>
          <w:rFonts w:ascii="仿宋" w:hAnsi="仿宋" w:eastAsia="仿宋"/>
          <w:b/>
          <w:bCs/>
          <w:sz w:val="32"/>
          <w:szCs w:val="32"/>
        </w:rPr>
        <w:t>5</w:t>
      </w:r>
      <w:r>
        <w:rPr>
          <w:rFonts w:hint="eastAsia" w:ascii="仿宋" w:hAnsi="仿宋" w:eastAsia="仿宋"/>
          <w:b/>
          <w:bCs/>
          <w:sz w:val="32"/>
          <w:szCs w:val="32"/>
        </w:rPr>
        <w:t>月</w:t>
      </w:r>
    </w:p>
    <w:p w14:paraId="451CBFD8">
      <w:pPr>
        <w:pStyle w:val="2"/>
        <w:rPr>
          <w:rFonts w:ascii="仿宋" w:hAnsi="仿宋" w:eastAsia="仿宋"/>
          <w:b/>
          <w:bCs/>
          <w:sz w:val="32"/>
          <w:szCs w:val="32"/>
        </w:rPr>
      </w:pPr>
    </w:p>
    <w:p w14:paraId="778D9CC3">
      <w:pPr>
        <w:pStyle w:val="18"/>
        <w:rPr>
          <w:rFonts w:ascii="仿宋" w:hAnsi="仿宋" w:eastAsia="仿宋"/>
          <w:b/>
          <w:bCs/>
          <w:sz w:val="32"/>
          <w:szCs w:val="32"/>
        </w:rPr>
      </w:pPr>
    </w:p>
    <w:p w14:paraId="5D625F9C">
      <w:pPr>
        <w:tabs>
          <w:tab w:val="left" w:pos="4620"/>
        </w:tabs>
        <w:spacing w:line="500" w:lineRule="exact"/>
        <w:jc w:val="center"/>
        <w:rPr>
          <w:rFonts w:ascii="黑体" w:hAnsi="宋体" w:eastAsia="黑体"/>
          <w:b/>
          <w:sz w:val="32"/>
        </w:rPr>
      </w:pPr>
      <w:r>
        <w:rPr>
          <w:rFonts w:hint="eastAsia" w:ascii="黑体" w:hAnsi="宋体" w:eastAsia="黑体"/>
          <w:b/>
          <w:sz w:val="32"/>
          <w:highlight w:val="white"/>
        </w:rPr>
        <w:t>目  录</w:t>
      </w:r>
    </w:p>
    <w:p w14:paraId="31415EFF">
      <w:pPr>
        <w:pStyle w:val="17"/>
        <w:tabs>
          <w:tab w:val="right" w:leader="dot" w:pos="9747"/>
          <w:tab w:val="clear" w:pos="9403"/>
        </w:tabs>
      </w:pPr>
      <w:bookmarkStart w:id="0" w:name="_Hlt533241375"/>
      <w:bookmarkEnd w:id="0"/>
      <w:bookmarkStart w:id="1" w:name="_Hlt526418134"/>
      <w:bookmarkEnd w:id="1"/>
      <w:bookmarkStart w:id="2" w:name="_Hlt519045295"/>
      <w:bookmarkEnd w:id="2"/>
      <w:r>
        <w:fldChar w:fldCharType="begin"/>
      </w:r>
      <w:r>
        <w:instrText xml:space="preserve">TOC \o "1-1" \h \u </w:instrText>
      </w:r>
      <w:r>
        <w:fldChar w:fldCharType="separate"/>
      </w:r>
      <w:r>
        <w:fldChar w:fldCharType="begin"/>
      </w:r>
      <w:r>
        <w:instrText xml:space="preserve"> HYPERLINK \l "_Toc11942" </w:instrText>
      </w:r>
      <w:r>
        <w:fldChar w:fldCharType="separate"/>
      </w:r>
      <w:r>
        <w:rPr>
          <w:rFonts w:hint="eastAsia" w:ascii="黑体" w:hAnsi="黑体" w:eastAsia="黑体"/>
          <w:szCs w:val="32"/>
        </w:rPr>
        <w:t>第一章 竞争性磋商公告</w:t>
      </w:r>
      <w:r>
        <w:tab/>
      </w:r>
      <w:r>
        <w:fldChar w:fldCharType="begin"/>
      </w:r>
      <w:r>
        <w:instrText xml:space="preserve"> PAGEREF _Toc11942 </w:instrText>
      </w:r>
      <w:r>
        <w:fldChar w:fldCharType="separate"/>
      </w:r>
      <w:r>
        <w:t>3</w:t>
      </w:r>
      <w:r>
        <w:fldChar w:fldCharType="end"/>
      </w:r>
      <w:r>
        <w:fldChar w:fldCharType="end"/>
      </w:r>
    </w:p>
    <w:p w14:paraId="3872B954">
      <w:pPr>
        <w:pStyle w:val="17"/>
        <w:tabs>
          <w:tab w:val="right" w:leader="dot" w:pos="9747"/>
          <w:tab w:val="clear" w:pos="9403"/>
        </w:tabs>
      </w:pPr>
      <w:r>
        <w:fldChar w:fldCharType="begin"/>
      </w:r>
      <w:r>
        <w:instrText xml:space="preserve"> HYPERLINK \l "_Toc2283" </w:instrText>
      </w:r>
      <w:r>
        <w:fldChar w:fldCharType="separate"/>
      </w:r>
      <w:r>
        <w:rPr>
          <w:rFonts w:hint="eastAsia" w:ascii="黑体" w:hAnsi="黑体" w:eastAsia="黑体"/>
          <w:bCs/>
        </w:rPr>
        <w:t>第二章 竞争性磋商须知前附表</w:t>
      </w:r>
      <w:r>
        <w:tab/>
      </w:r>
      <w:r>
        <w:rPr>
          <w:rFonts w:hint="eastAsia"/>
        </w:rPr>
        <w:t>6</w:t>
      </w:r>
      <w:r>
        <w:rPr>
          <w:rFonts w:hint="eastAsia"/>
        </w:rPr>
        <w:fldChar w:fldCharType="end"/>
      </w:r>
    </w:p>
    <w:p w14:paraId="22518133">
      <w:pPr>
        <w:pStyle w:val="17"/>
        <w:tabs>
          <w:tab w:val="right" w:leader="dot" w:pos="9747"/>
          <w:tab w:val="clear" w:pos="9403"/>
        </w:tabs>
        <w:rPr>
          <w:rFonts w:ascii="黑体" w:hAnsi="黑体" w:eastAsia="黑体"/>
          <w:bCs/>
        </w:rPr>
      </w:pPr>
      <w:r>
        <w:fldChar w:fldCharType="begin"/>
      </w:r>
      <w:r>
        <w:instrText xml:space="preserve"> HYPERLINK \l "_Toc23012" </w:instrText>
      </w:r>
      <w:r>
        <w:fldChar w:fldCharType="separate"/>
      </w:r>
      <w:r>
        <w:rPr>
          <w:rFonts w:hint="eastAsia" w:ascii="黑体" w:hAnsi="黑体" w:eastAsia="黑体"/>
          <w:bCs/>
        </w:rPr>
        <w:t>第三章 采购需求</w:t>
      </w:r>
      <w:r>
        <w:rPr>
          <w:rFonts w:hint="eastAsia" w:ascii="黑体" w:hAnsi="黑体" w:eastAsia="黑体"/>
          <w:bCs/>
        </w:rPr>
        <w:tab/>
      </w:r>
      <w:r>
        <w:rPr>
          <w:rFonts w:hint="eastAsia" w:ascii="黑体" w:hAnsi="黑体" w:eastAsia="黑体"/>
          <w:bCs/>
        </w:rPr>
        <w:fldChar w:fldCharType="begin"/>
      </w:r>
      <w:r>
        <w:rPr>
          <w:rFonts w:hint="eastAsia" w:ascii="黑体" w:hAnsi="黑体" w:eastAsia="黑体"/>
          <w:bCs/>
        </w:rPr>
        <w:instrText xml:space="preserve"> PAGEREF _Toc23012 </w:instrText>
      </w:r>
      <w:r>
        <w:rPr>
          <w:rFonts w:hint="eastAsia" w:ascii="黑体" w:hAnsi="黑体" w:eastAsia="黑体"/>
          <w:bCs/>
        </w:rPr>
        <w:fldChar w:fldCharType="separate"/>
      </w:r>
      <w:r>
        <w:rPr>
          <w:rFonts w:hint="eastAsia" w:ascii="黑体" w:hAnsi="黑体" w:eastAsia="黑体"/>
          <w:bCs/>
        </w:rPr>
        <w:t>9</w:t>
      </w:r>
      <w:r>
        <w:rPr>
          <w:rFonts w:hint="eastAsia" w:ascii="黑体" w:hAnsi="黑体" w:eastAsia="黑体"/>
          <w:bCs/>
        </w:rPr>
        <w:fldChar w:fldCharType="end"/>
      </w:r>
      <w:r>
        <w:rPr>
          <w:rFonts w:hint="eastAsia" w:ascii="黑体" w:hAnsi="黑体" w:eastAsia="黑体"/>
          <w:bCs/>
        </w:rPr>
        <w:fldChar w:fldCharType="end"/>
      </w:r>
    </w:p>
    <w:p w14:paraId="46A67A33">
      <w:pPr>
        <w:pStyle w:val="17"/>
        <w:tabs>
          <w:tab w:val="right" w:leader="dot" w:pos="9747"/>
          <w:tab w:val="clear" w:pos="9403"/>
        </w:tabs>
        <w:rPr>
          <w:rFonts w:ascii="黑体" w:hAnsi="黑体" w:eastAsia="黑体"/>
          <w:bCs/>
        </w:rPr>
      </w:pPr>
      <w:r>
        <w:fldChar w:fldCharType="begin"/>
      </w:r>
      <w:r>
        <w:instrText xml:space="preserve"> HYPERLINK \l "_Toc8465" </w:instrText>
      </w:r>
      <w:r>
        <w:fldChar w:fldCharType="separate"/>
      </w:r>
      <w:r>
        <w:rPr>
          <w:rFonts w:hint="eastAsia" w:ascii="黑体" w:hAnsi="黑体" w:eastAsia="黑体"/>
          <w:bCs/>
        </w:rPr>
        <w:t>第四章 评标办法</w:t>
      </w:r>
      <w:r>
        <w:rPr>
          <w:rFonts w:hint="eastAsia" w:ascii="黑体" w:hAnsi="黑体" w:eastAsia="黑体"/>
          <w:bCs/>
        </w:rPr>
        <w:tab/>
      </w:r>
      <w:r>
        <w:rPr>
          <w:rFonts w:hint="eastAsia" w:ascii="黑体" w:hAnsi="黑体" w:eastAsia="黑体"/>
          <w:bCs/>
        </w:rPr>
        <w:t>1</w:t>
      </w:r>
      <w:r>
        <w:rPr>
          <w:rFonts w:hint="eastAsia" w:ascii="黑体" w:hAnsi="黑体" w:eastAsia="黑体"/>
          <w:bCs/>
        </w:rPr>
        <w:fldChar w:fldCharType="end"/>
      </w:r>
      <w:r>
        <w:rPr>
          <w:rFonts w:hint="eastAsia" w:ascii="黑体" w:hAnsi="黑体" w:eastAsia="黑体"/>
          <w:bCs/>
        </w:rPr>
        <w:t>1</w:t>
      </w:r>
    </w:p>
    <w:p w14:paraId="5FB7FB96">
      <w:pPr>
        <w:pStyle w:val="17"/>
        <w:tabs>
          <w:tab w:val="right" w:leader="dot" w:pos="9747"/>
          <w:tab w:val="clear" w:pos="9403"/>
        </w:tabs>
        <w:rPr>
          <w:rFonts w:ascii="黑体" w:hAnsi="黑体" w:eastAsia="黑体"/>
          <w:bCs/>
        </w:rPr>
      </w:pPr>
      <w:r>
        <w:fldChar w:fldCharType="begin"/>
      </w:r>
      <w:r>
        <w:instrText xml:space="preserve"> HYPERLINK \l "_Toc5216" </w:instrText>
      </w:r>
      <w:r>
        <w:fldChar w:fldCharType="separate"/>
      </w:r>
      <w:r>
        <w:rPr>
          <w:rFonts w:hint="eastAsia" w:ascii="黑体" w:hAnsi="黑体" w:eastAsia="黑体"/>
          <w:bCs/>
        </w:rPr>
        <w:t>第五章 供应商须知</w:t>
      </w:r>
      <w:r>
        <w:rPr>
          <w:rFonts w:hint="eastAsia" w:ascii="黑体" w:hAnsi="黑体" w:eastAsia="黑体"/>
          <w:bCs/>
        </w:rPr>
        <w:tab/>
      </w:r>
      <w:r>
        <w:rPr>
          <w:rFonts w:hint="eastAsia" w:ascii="黑体" w:hAnsi="黑体" w:eastAsia="黑体"/>
          <w:bCs/>
        </w:rPr>
        <w:t>1</w:t>
      </w:r>
      <w:r>
        <w:rPr>
          <w:rFonts w:hint="eastAsia" w:ascii="黑体" w:hAnsi="黑体" w:eastAsia="黑体"/>
          <w:bCs/>
        </w:rPr>
        <w:fldChar w:fldCharType="end"/>
      </w:r>
      <w:r>
        <w:rPr>
          <w:rFonts w:hint="eastAsia" w:ascii="黑体" w:hAnsi="黑体" w:eastAsia="黑体"/>
          <w:bCs/>
        </w:rPr>
        <w:t>7</w:t>
      </w:r>
    </w:p>
    <w:p w14:paraId="4F0DCFD6">
      <w:pPr>
        <w:pStyle w:val="17"/>
        <w:tabs>
          <w:tab w:val="right" w:leader="dot" w:pos="9747"/>
          <w:tab w:val="clear" w:pos="9403"/>
        </w:tabs>
        <w:rPr>
          <w:rFonts w:ascii="黑体" w:hAnsi="黑体" w:eastAsia="黑体"/>
          <w:bCs/>
        </w:rPr>
      </w:pPr>
      <w:r>
        <w:fldChar w:fldCharType="begin"/>
      </w:r>
      <w:r>
        <w:instrText xml:space="preserve"> HYPERLINK \l "_Toc5216" </w:instrText>
      </w:r>
      <w:r>
        <w:fldChar w:fldCharType="separate"/>
      </w:r>
      <w:r>
        <w:rPr>
          <w:rFonts w:hint="eastAsia" w:ascii="黑体" w:hAnsi="黑体" w:eastAsia="黑体"/>
          <w:bCs/>
        </w:rPr>
        <w:t>第六章 采购合同</w:t>
      </w:r>
      <w:r>
        <w:rPr>
          <w:rFonts w:hint="eastAsia" w:ascii="黑体" w:hAnsi="黑体" w:eastAsia="黑体"/>
          <w:bCs/>
        </w:rPr>
        <w:tab/>
      </w:r>
      <w:r>
        <w:rPr>
          <w:rFonts w:hint="eastAsia" w:ascii="黑体" w:hAnsi="黑体" w:eastAsia="黑体"/>
          <w:bCs/>
        </w:rPr>
        <w:t>2</w:t>
      </w:r>
      <w:r>
        <w:rPr>
          <w:rFonts w:hint="eastAsia" w:ascii="黑体" w:hAnsi="黑体" w:eastAsia="黑体"/>
          <w:bCs/>
        </w:rPr>
        <w:fldChar w:fldCharType="end"/>
      </w:r>
      <w:r>
        <w:rPr>
          <w:rFonts w:hint="eastAsia" w:ascii="黑体" w:hAnsi="黑体" w:eastAsia="黑体"/>
          <w:bCs/>
        </w:rPr>
        <w:t>8</w:t>
      </w:r>
    </w:p>
    <w:p w14:paraId="6FC8C79A">
      <w:pPr>
        <w:pStyle w:val="17"/>
        <w:tabs>
          <w:tab w:val="right" w:leader="dot" w:pos="9747"/>
          <w:tab w:val="clear" w:pos="9403"/>
        </w:tabs>
        <w:rPr>
          <w:rFonts w:ascii="黑体" w:hAnsi="黑体" w:eastAsia="黑体"/>
          <w:bCs/>
        </w:rPr>
      </w:pPr>
      <w:r>
        <w:fldChar w:fldCharType="begin"/>
      </w:r>
      <w:r>
        <w:instrText xml:space="preserve"> HYPERLINK \l "_Toc22631" </w:instrText>
      </w:r>
      <w:r>
        <w:fldChar w:fldCharType="separate"/>
      </w:r>
      <w:r>
        <w:rPr>
          <w:rFonts w:hint="eastAsia" w:ascii="黑体" w:hAnsi="黑体" w:eastAsia="黑体"/>
          <w:bCs/>
        </w:rPr>
        <w:t>第七章 竞争性磋商响应文件格式</w:t>
      </w:r>
      <w:r>
        <w:rPr>
          <w:rFonts w:hint="eastAsia" w:ascii="黑体" w:hAnsi="黑体" w:eastAsia="黑体"/>
          <w:bCs/>
        </w:rPr>
        <w:tab/>
      </w:r>
      <w:r>
        <w:rPr>
          <w:rFonts w:hint="eastAsia" w:ascii="黑体" w:hAnsi="黑体" w:eastAsia="黑体"/>
          <w:bCs/>
        </w:rPr>
        <w:t>3</w:t>
      </w:r>
      <w:r>
        <w:rPr>
          <w:rFonts w:hint="eastAsia" w:ascii="黑体" w:hAnsi="黑体" w:eastAsia="黑体"/>
          <w:bCs/>
        </w:rPr>
        <w:fldChar w:fldCharType="end"/>
      </w:r>
      <w:r>
        <w:rPr>
          <w:rFonts w:hint="eastAsia" w:ascii="黑体" w:hAnsi="黑体" w:eastAsia="黑体"/>
          <w:bCs/>
        </w:rPr>
        <w:t>4</w:t>
      </w:r>
    </w:p>
    <w:p w14:paraId="3663E1EC">
      <w:r>
        <w:fldChar w:fldCharType="end"/>
      </w:r>
    </w:p>
    <w:p w14:paraId="27A602C0">
      <w:pPr>
        <w:spacing w:line="480" w:lineRule="auto"/>
      </w:pPr>
      <w:r>
        <w:rPr>
          <w:rFonts w:hint="eastAsia"/>
        </w:rPr>
        <w:t xml:space="preserve"> </w:t>
      </w:r>
    </w:p>
    <w:p w14:paraId="1737AF98">
      <w:pPr>
        <w:spacing w:line="480" w:lineRule="auto"/>
      </w:pPr>
      <w:bookmarkStart w:id="3" w:name="EBefafe3a2da9e4624b4c540a3f02f5fc3"/>
      <w:r>
        <w:rPr>
          <w:rFonts w:hint="eastAsia"/>
          <w:sz w:val="20"/>
        </w:rPr>
        <w:t xml:space="preserve"> </w:t>
      </w:r>
      <w:bookmarkEnd w:id="3"/>
    </w:p>
    <w:p w14:paraId="312D1F8A">
      <w:pPr>
        <w:rPr>
          <w:rFonts w:ascii="宋体"/>
        </w:rPr>
      </w:pPr>
      <w:bookmarkStart w:id="4" w:name="_Toc407096143"/>
    </w:p>
    <w:p w14:paraId="1EBDEA99">
      <w:pPr>
        <w:pStyle w:val="17"/>
      </w:pPr>
    </w:p>
    <w:p w14:paraId="77D08280">
      <w:pPr>
        <w:rPr>
          <w:rFonts w:ascii="宋体"/>
        </w:rPr>
      </w:pPr>
    </w:p>
    <w:p w14:paraId="7C4E0257">
      <w:pPr>
        <w:rPr>
          <w:rFonts w:ascii="宋体"/>
        </w:rPr>
      </w:pPr>
    </w:p>
    <w:p w14:paraId="121E8948">
      <w:pPr>
        <w:rPr>
          <w:rFonts w:ascii="宋体"/>
        </w:rPr>
      </w:pPr>
    </w:p>
    <w:p w14:paraId="0E5D76D3">
      <w:pPr>
        <w:pStyle w:val="2"/>
      </w:pPr>
    </w:p>
    <w:p w14:paraId="2B2BB4E0">
      <w:pPr>
        <w:pStyle w:val="18"/>
        <w:rPr>
          <w:rFonts w:ascii="宋体"/>
        </w:rPr>
      </w:pPr>
    </w:p>
    <w:p w14:paraId="0CA6FFED">
      <w:pPr>
        <w:rPr>
          <w:rFonts w:ascii="宋体"/>
        </w:rPr>
      </w:pPr>
    </w:p>
    <w:p w14:paraId="254C8FF8">
      <w:pPr>
        <w:pStyle w:val="2"/>
      </w:pPr>
    </w:p>
    <w:p w14:paraId="40315F35">
      <w:pPr>
        <w:pStyle w:val="18"/>
      </w:pPr>
    </w:p>
    <w:p w14:paraId="46FB95A4">
      <w:pPr>
        <w:rPr>
          <w:rFonts w:ascii="宋体"/>
        </w:rPr>
      </w:pPr>
    </w:p>
    <w:p w14:paraId="00FA4EEC">
      <w:pPr>
        <w:rPr>
          <w:rFonts w:ascii="宋体"/>
        </w:rPr>
      </w:pPr>
    </w:p>
    <w:p w14:paraId="0DD2E3BF">
      <w:pPr>
        <w:rPr>
          <w:rFonts w:ascii="宋体"/>
        </w:rPr>
      </w:pPr>
    </w:p>
    <w:p w14:paraId="3E23BF64">
      <w:pPr>
        <w:rPr>
          <w:rFonts w:ascii="宋体"/>
        </w:rPr>
      </w:pPr>
    </w:p>
    <w:p w14:paraId="6834BF1C">
      <w:pPr>
        <w:pStyle w:val="2"/>
      </w:pPr>
    </w:p>
    <w:p w14:paraId="01C1F592">
      <w:pPr>
        <w:pStyle w:val="18"/>
        <w:rPr>
          <w:rFonts w:ascii="宋体"/>
        </w:rPr>
      </w:pPr>
    </w:p>
    <w:p w14:paraId="3E9069D0">
      <w:pPr>
        <w:rPr>
          <w:rFonts w:ascii="宋体"/>
        </w:rPr>
      </w:pPr>
    </w:p>
    <w:p w14:paraId="39CAACA6">
      <w:pPr>
        <w:pStyle w:val="2"/>
      </w:pPr>
    </w:p>
    <w:p w14:paraId="5797658D">
      <w:pPr>
        <w:rPr>
          <w:rFonts w:ascii="宋体"/>
        </w:rPr>
      </w:pPr>
    </w:p>
    <w:p w14:paraId="23591BCB">
      <w:pPr>
        <w:widowControl/>
        <w:jc w:val="left"/>
        <w:rPr>
          <w:rFonts w:ascii="宋体"/>
        </w:rPr>
      </w:pPr>
      <w:r>
        <w:rPr>
          <w:rFonts w:ascii="宋体"/>
        </w:rPr>
        <w:br w:type="page"/>
      </w:r>
    </w:p>
    <w:p w14:paraId="65B7FC09">
      <w:pPr>
        <w:rPr>
          <w:rFonts w:ascii="宋体"/>
        </w:rPr>
      </w:pPr>
    </w:p>
    <w:bookmarkEnd w:id="4"/>
    <w:p w14:paraId="62D0E274">
      <w:pPr>
        <w:pStyle w:val="4"/>
        <w:spacing w:before="0" w:after="0" w:line="360" w:lineRule="auto"/>
        <w:jc w:val="center"/>
        <w:rPr>
          <w:rFonts w:ascii="黑体" w:hAnsi="黑体" w:eastAsia="黑体"/>
          <w:sz w:val="32"/>
          <w:szCs w:val="32"/>
        </w:rPr>
      </w:pPr>
      <w:bookmarkStart w:id="5" w:name="_Toc11942"/>
      <w:bookmarkStart w:id="6" w:name="_Toc456249636"/>
      <w:bookmarkStart w:id="7" w:name="_Toc532918992"/>
      <w:bookmarkStart w:id="8" w:name="_Toc456249438"/>
      <w:bookmarkStart w:id="9" w:name="_Toc430438698"/>
      <w:bookmarkStart w:id="10" w:name="OLE_LINK2"/>
      <w:bookmarkStart w:id="11" w:name="OLE_LINK3"/>
      <w:bookmarkStart w:id="12" w:name="_Toc407096145"/>
      <w:bookmarkStart w:id="13" w:name="_Toc220232390"/>
      <w:r>
        <w:rPr>
          <w:rFonts w:hint="eastAsia" w:ascii="黑体" w:hAnsi="黑体" w:eastAsia="黑体"/>
          <w:sz w:val="32"/>
          <w:szCs w:val="32"/>
        </w:rPr>
        <w:t>第一章  竞争性磋商公告</w:t>
      </w:r>
      <w:bookmarkEnd w:id="5"/>
      <w:bookmarkEnd w:id="6"/>
      <w:bookmarkEnd w:id="7"/>
      <w:bookmarkEnd w:id="8"/>
      <w:bookmarkEnd w:id="9"/>
    </w:p>
    <w:p w14:paraId="517CD63B">
      <w:pPr>
        <w:spacing w:line="360" w:lineRule="auto"/>
        <w:jc w:val="center"/>
        <w:rPr>
          <w:rFonts w:ascii="宋体" w:hAnsi="宋体"/>
          <w:sz w:val="24"/>
          <w:szCs w:val="24"/>
        </w:rPr>
      </w:pPr>
      <w:r>
        <w:rPr>
          <w:rFonts w:hint="eastAsia" w:ascii="宋体" w:hAnsi="宋体"/>
          <w:b/>
          <w:sz w:val="24"/>
          <w:szCs w:val="24"/>
        </w:rPr>
        <w:t>淮南经开区节水型工业园区建设项目竞争性磋商公告（一次）</w:t>
      </w:r>
    </w:p>
    <w:p w14:paraId="1D9E879B">
      <w:pPr>
        <w:spacing w:line="360" w:lineRule="auto"/>
        <w:ind w:firstLine="480" w:firstLineChars="200"/>
        <w:rPr>
          <w:rFonts w:ascii="宋体" w:hAnsi="宋体"/>
          <w:sz w:val="24"/>
          <w:u w:val="single"/>
        </w:rPr>
      </w:pPr>
      <w:r>
        <w:rPr>
          <w:rFonts w:hint="eastAsia" w:ascii="宋体" w:hAnsi="宋体"/>
          <w:sz w:val="24"/>
          <w:u w:val="single"/>
        </w:rPr>
        <w:t>安徽三友建设工程项目管理有限责任公司</w:t>
      </w:r>
      <w:r>
        <w:rPr>
          <w:rFonts w:hint="eastAsia" w:ascii="宋体" w:hAnsi="宋体" w:cs="宋体"/>
          <w:sz w:val="24"/>
          <w:szCs w:val="24"/>
        </w:rPr>
        <w:t>（招标代理公司）</w:t>
      </w:r>
      <w:r>
        <w:rPr>
          <w:rFonts w:hint="eastAsia" w:ascii="宋体" w:hAnsi="宋体"/>
          <w:sz w:val="24"/>
        </w:rPr>
        <w:t>受</w:t>
      </w:r>
      <w:r>
        <w:rPr>
          <w:rFonts w:hint="eastAsia" w:ascii="宋体" w:hAnsi="宋体"/>
          <w:sz w:val="24"/>
          <w:u w:val="single"/>
        </w:rPr>
        <w:t>淮南经济技术开发区社会发展局</w:t>
      </w:r>
      <w:r>
        <w:rPr>
          <w:rFonts w:hint="eastAsia" w:ascii="宋体" w:hAnsi="宋体" w:cs="宋体"/>
          <w:sz w:val="24"/>
          <w:szCs w:val="24"/>
        </w:rPr>
        <w:t>（采购人）</w:t>
      </w:r>
      <w:r>
        <w:rPr>
          <w:rFonts w:hint="eastAsia" w:ascii="宋体" w:hAnsi="宋体"/>
          <w:sz w:val="24"/>
        </w:rPr>
        <w:t>的委托，现对</w:t>
      </w:r>
      <w:r>
        <w:rPr>
          <w:rFonts w:hint="eastAsia" w:ascii="宋体" w:hAnsi="宋体"/>
          <w:sz w:val="24"/>
          <w:u w:val="single"/>
        </w:rPr>
        <w:t>淮南经开区节水型工业园区建设项目</w:t>
      </w:r>
      <w:r>
        <w:rPr>
          <w:rFonts w:hint="eastAsia" w:ascii="宋体" w:hAnsi="宋体"/>
          <w:sz w:val="24"/>
        </w:rPr>
        <w:t>进行竞争性磋商采购，</w:t>
      </w:r>
      <w:r>
        <w:rPr>
          <w:rFonts w:hint="eastAsia" w:ascii="宋体" w:hAnsi="宋体"/>
          <w:color w:val="000000"/>
          <w:sz w:val="24"/>
          <w:szCs w:val="24"/>
        </w:rPr>
        <w:t>现欢迎国内合格的供应商前来磋商。</w:t>
      </w:r>
    </w:p>
    <w:p w14:paraId="37DA2871">
      <w:pPr>
        <w:numPr>
          <w:ilvl w:val="0"/>
          <w:numId w:val="1"/>
        </w:numPr>
        <w:spacing w:line="360" w:lineRule="auto"/>
        <w:rPr>
          <w:rFonts w:ascii="宋体" w:hAnsi="宋体"/>
          <w:bCs/>
          <w:sz w:val="24"/>
        </w:rPr>
      </w:pPr>
      <w:r>
        <w:rPr>
          <w:rFonts w:hint="eastAsia" w:ascii="宋体" w:hAnsi="宋体"/>
          <w:b/>
          <w:sz w:val="24"/>
        </w:rPr>
        <w:t>招标编号：</w:t>
      </w:r>
      <w:r>
        <w:rPr>
          <w:rFonts w:hint="eastAsia" w:ascii="宋体" w:hAnsi="宋体"/>
          <w:bCs/>
          <w:sz w:val="24"/>
        </w:rPr>
        <w:t>SYZB2023-05</w:t>
      </w:r>
    </w:p>
    <w:p w14:paraId="0E4F4B56">
      <w:pPr>
        <w:spacing w:line="360" w:lineRule="auto"/>
        <w:rPr>
          <w:rFonts w:ascii="宋体" w:hAnsi="宋体"/>
          <w:sz w:val="24"/>
        </w:rPr>
      </w:pPr>
      <w:r>
        <w:rPr>
          <w:rFonts w:hint="eastAsia" w:ascii="宋体" w:hAnsi="宋体"/>
          <w:b/>
          <w:bCs/>
          <w:sz w:val="24"/>
        </w:rPr>
        <w:t>二、</w:t>
      </w:r>
      <w:r>
        <w:rPr>
          <w:rFonts w:hint="eastAsia" w:ascii="宋体" w:hAnsi="宋体"/>
          <w:b/>
          <w:sz w:val="24"/>
        </w:rPr>
        <w:t>招标项目：</w:t>
      </w:r>
      <w:r>
        <w:rPr>
          <w:rFonts w:hint="eastAsia" w:ascii="宋体" w:hAnsi="宋体"/>
          <w:sz w:val="24"/>
        </w:rPr>
        <w:t>淮南经开区节水型工业园区建设项目</w:t>
      </w:r>
    </w:p>
    <w:p w14:paraId="5BEC4552">
      <w:pPr>
        <w:spacing w:line="360" w:lineRule="auto"/>
        <w:ind w:right="31" w:rightChars="15"/>
        <w:rPr>
          <w:rFonts w:ascii="宋体" w:hAnsi="宋体"/>
          <w:sz w:val="24"/>
        </w:rPr>
      </w:pPr>
      <w:r>
        <w:rPr>
          <w:rFonts w:hint="eastAsia" w:ascii="宋体" w:hAnsi="宋体"/>
          <w:b/>
          <w:bCs/>
          <w:sz w:val="24"/>
        </w:rPr>
        <w:t>三、采购方式：</w:t>
      </w:r>
      <w:r>
        <w:rPr>
          <w:rFonts w:hint="eastAsia" w:ascii="宋体" w:hAnsi="宋体"/>
          <w:sz w:val="24"/>
        </w:rPr>
        <w:t>竞争性磋商</w:t>
      </w:r>
    </w:p>
    <w:p w14:paraId="2FF5E7D2">
      <w:pPr>
        <w:spacing w:line="360" w:lineRule="auto"/>
        <w:ind w:right="31" w:rightChars="15"/>
        <w:rPr>
          <w:rFonts w:ascii="宋体" w:hAnsi="宋体"/>
          <w:b/>
          <w:bCs/>
          <w:sz w:val="24"/>
        </w:rPr>
      </w:pPr>
      <w:r>
        <w:rPr>
          <w:rFonts w:hint="eastAsia" w:ascii="宋体" w:hAnsi="宋体"/>
          <w:b/>
          <w:bCs/>
          <w:sz w:val="24"/>
        </w:rPr>
        <w:t>四、预算金额：</w:t>
      </w:r>
      <w:r>
        <w:rPr>
          <w:rFonts w:hint="eastAsia" w:ascii="宋体" w:hAnsi="宋体"/>
          <w:sz w:val="24"/>
        </w:rPr>
        <w:t>28万元</w:t>
      </w:r>
    </w:p>
    <w:p w14:paraId="7FBE513F">
      <w:pPr>
        <w:spacing w:line="360" w:lineRule="auto"/>
        <w:ind w:right="31" w:rightChars="15"/>
        <w:rPr>
          <w:rFonts w:ascii="宋体" w:hAnsi="宋体"/>
          <w:b/>
          <w:bCs/>
          <w:sz w:val="24"/>
        </w:rPr>
      </w:pPr>
      <w:r>
        <w:rPr>
          <w:rFonts w:hint="eastAsia" w:ascii="宋体" w:hAnsi="宋体"/>
          <w:b/>
          <w:bCs/>
          <w:sz w:val="24"/>
        </w:rPr>
        <w:t>五、最高限价：</w:t>
      </w:r>
      <w:r>
        <w:rPr>
          <w:rFonts w:hint="eastAsia" w:ascii="宋体" w:hAnsi="宋体"/>
          <w:sz w:val="24"/>
        </w:rPr>
        <w:t>28万元</w:t>
      </w:r>
    </w:p>
    <w:p w14:paraId="63084387">
      <w:pPr>
        <w:spacing w:line="360" w:lineRule="auto"/>
        <w:ind w:right="31" w:rightChars="15"/>
        <w:rPr>
          <w:rFonts w:ascii="宋体" w:hAnsi="宋体"/>
          <w:b/>
          <w:bCs/>
          <w:sz w:val="24"/>
          <w:highlight w:val="none"/>
        </w:rPr>
      </w:pPr>
      <w:r>
        <w:rPr>
          <w:rFonts w:hint="eastAsia" w:ascii="宋体" w:hAnsi="宋体"/>
          <w:b/>
          <w:bCs/>
          <w:sz w:val="24"/>
        </w:rPr>
        <w:t>六</w:t>
      </w:r>
      <w:r>
        <w:rPr>
          <w:rFonts w:hint="eastAsia" w:ascii="宋体" w:hAnsi="宋体"/>
          <w:b/>
          <w:bCs/>
          <w:sz w:val="24"/>
          <w:highlight w:val="none"/>
        </w:rPr>
        <w:t>、采购需求及标包划分：</w:t>
      </w:r>
    </w:p>
    <w:p w14:paraId="78448B4D">
      <w:pPr>
        <w:spacing w:line="360" w:lineRule="auto"/>
        <w:ind w:firstLine="480" w:firstLineChars="200"/>
        <w:rPr>
          <w:rFonts w:ascii="宋体" w:hAnsi="宋体"/>
          <w:sz w:val="24"/>
          <w:highlight w:val="none"/>
        </w:rPr>
      </w:pPr>
      <w:r>
        <w:rPr>
          <w:rFonts w:hint="eastAsia" w:ascii="宋体" w:hAnsi="宋体"/>
          <w:sz w:val="24"/>
          <w:highlight w:val="none"/>
        </w:rPr>
        <w:t>1个标包，主要为淮南经济技术开发区节水型工业园区建设实施方案的编制、验收与申报材料的编制以及配合各项现场检查的工作，具体内容及要求详见第三章采购需求。</w:t>
      </w:r>
    </w:p>
    <w:p w14:paraId="19420350">
      <w:pPr>
        <w:autoSpaceDE w:val="0"/>
        <w:autoSpaceDN w:val="0"/>
        <w:spacing w:line="360" w:lineRule="auto"/>
        <w:rPr>
          <w:rFonts w:ascii="宋体" w:hAnsi="宋体"/>
          <w:b/>
          <w:bCs/>
          <w:sz w:val="24"/>
          <w:highlight w:val="none"/>
        </w:rPr>
      </w:pPr>
      <w:r>
        <w:rPr>
          <w:rFonts w:hint="eastAsia" w:ascii="宋体" w:hAnsi="宋体"/>
          <w:b/>
          <w:bCs/>
          <w:sz w:val="24"/>
          <w:highlight w:val="none"/>
        </w:rPr>
        <w:t>七、投标供应商资格要求：</w:t>
      </w:r>
    </w:p>
    <w:p w14:paraId="0CCCFA55">
      <w:pPr>
        <w:autoSpaceDE w:val="0"/>
        <w:autoSpaceDN w:val="0"/>
        <w:spacing w:line="360" w:lineRule="auto"/>
        <w:rPr>
          <w:rFonts w:ascii="宋体" w:hAnsi="宋体" w:cs="宋体"/>
          <w:sz w:val="24"/>
          <w:szCs w:val="24"/>
          <w:highlight w:val="none"/>
        </w:rPr>
      </w:pPr>
      <w:r>
        <w:rPr>
          <w:rFonts w:hint="eastAsia" w:ascii="宋体" w:hAnsi="宋体" w:cs="宋体"/>
          <w:sz w:val="24"/>
          <w:szCs w:val="24"/>
          <w:highlight w:val="none"/>
        </w:rPr>
        <w:t>1、符合《中华人民共和国政府采购法》第二十二条的规定；</w:t>
      </w:r>
    </w:p>
    <w:p w14:paraId="6C07AAF4">
      <w:pPr>
        <w:autoSpaceDE w:val="0"/>
        <w:autoSpaceDN w:val="0"/>
        <w:spacing w:line="360" w:lineRule="auto"/>
        <w:rPr>
          <w:rFonts w:ascii="宋体" w:hAnsi="宋体" w:cs="宋体"/>
          <w:sz w:val="24"/>
          <w:szCs w:val="24"/>
          <w:highlight w:val="none"/>
        </w:rPr>
      </w:pPr>
      <w:r>
        <w:rPr>
          <w:rFonts w:hint="eastAsia" w:ascii="宋体" w:hAnsi="宋体" w:cs="宋体"/>
          <w:sz w:val="24"/>
          <w:szCs w:val="24"/>
          <w:highlight w:val="none"/>
        </w:rPr>
        <w:t>2、落实政府采购政策需满足的资格要求：按照财政部、工业和信息化部制定的《政府采购促进中小企业发展管理办法》，本项目为专门面向中小企业采购项目。</w:t>
      </w:r>
    </w:p>
    <w:p w14:paraId="5EF4721B">
      <w:pPr>
        <w:autoSpaceDE w:val="0"/>
        <w:autoSpaceDN w:val="0"/>
        <w:spacing w:line="360" w:lineRule="auto"/>
        <w:rPr>
          <w:rFonts w:ascii="宋体" w:hAnsi="宋体" w:cs="宋体"/>
          <w:sz w:val="24"/>
          <w:szCs w:val="24"/>
        </w:rPr>
      </w:pPr>
      <w:r>
        <w:rPr>
          <w:rFonts w:hint="eastAsia" w:ascii="宋体" w:hAnsi="宋体" w:cs="宋体"/>
          <w:sz w:val="24"/>
          <w:szCs w:val="24"/>
        </w:rPr>
        <w:t>3、供应商须具有独立法人资格；提供有效的营业执照；</w:t>
      </w:r>
    </w:p>
    <w:p w14:paraId="37D67ED8">
      <w:pPr>
        <w:autoSpaceDE w:val="0"/>
        <w:autoSpaceDN w:val="0"/>
        <w:spacing w:line="360" w:lineRule="auto"/>
        <w:rPr>
          <w:rFonts w:ascii="宋体" w:hAnsi="宋体" w:cs="宋体"/>
          <w:bCs/>
          <w:sz w:val="24"/>
        </w:rPr>
      </w:pPr>
      <w:r>
        <w:rPr>
          <w:rFonts w:hint="eastAsia" w:ascii="宋体" w:hAnsi="宋体" w:cs="宋体"/>
          <w:sz w:val="24"/>
          <w:szCs w:val="24"/>
        </w:rPr>
        <w:t>4、</w:t>
      </w:r>
      <w:r>
        <w:rPr>
          <w:rFonts w:hint="eastAsia" w:ascii="宋体" w:hAnsi="宋体" w:cs="宋体"/>
          <w:sz w:val="24"/>
        </w:rPr>
        <w:t>供应商信誉要求：</w:t>
      </w:r>
      <w:r>
        <w:rPr>
          <w:rFonts w:hint="eastAsia" w:ascii="宋体" w:hAnsi="宋体" w:cs="宋体"/>
          <w:bCs/>
          <w:sz w:val="24"/>
        </w:rPr>
        <w:t>供应商信誉要求可提供以下对应网站的信誉查询截图或供应商信誉承诺书。</w:t>
      </w:r>
    </w:p>
    <w:p w14:paraId="382BF368">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①未被最高人民法院在“信用中国”网站（www.creditchina.gov.cn）列入失信被执行人失信惩戒名单（截图可提供“信用中国”-“信用服务”-“失信被执行人查询”的网页查询截图，无受惩戒信息；或者提供“信用中国”企业查询截图，“失信惩戒”一栏中无受惩戒信息。）；</w:t>
      </w:r>
    </w:p>
    <w:p w14:paraId="34D27CC0">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②未被国家税务总局列入“重大税收违法案件当事人”名单。（截图可提供“国家税务总局”官方网站-“纳税服务”-“重大税收违法案件查询”的网页查询截图，无违法信息；或者提供“信用中国”-“信用服务”-“重大税收违法案件查询”的网页查询截图，无违法信息。）</w:t>
      </w:r>
    </w:p>
    <w:p w14:paraId="31FCA2FD">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③未被中国政府采购网（www.ccgp.gov.cn）列入“政府采购严重违法失信行为记录名单”（截图可提供中国政府采购网的政府采购严重违法失信行为记录名单里的企业网页查询截图，无违法失信信息；或者提供“信用中国”-“信用服务”-“政府采购严重违法失信名单”的网页查询截图，无违法失信信息。）</w:t>
      </w:r>
    </w:p>
    <w:p w14:paraId="67B40527">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④未被国家市场监督管理部门在国家企业信用信息公示系统（www.gsxt.gov.cn）中列入严重违法失信企业名单。（提供供应商在国家企业信用信息公示系统网页查询截图，严重违法失信一栏中无不良记录）；</w:t>
      </w:r>
    </w:p>
    <w:p w14:paraId="63B199A8">
      <w:pPr>
        <w:autoSpaceDE w:val="0"/>
        <w:autoSpaceDN w:val="0"/>
        <w:adjustRightInd w:val="0"/>
        <w:snapToGrid w:val="0"/>
        <w:spacing w:line="360" w:lineRule="auto"/>
        <w:rPr>
          <w:rFonts w:ascii="宋体" w:hAnsi="宋体" w:cs="宋体"/>
          <w:bCs/>
          <w:sz w:val="24"/>
        </w:rPr>
      </w:pPr>
      <w:r>
        <w:rPr>
          <w:rFonts w:hint="eastAsia" w:ascii="宋体" w:hAnsi="宋体" w:cs="宋体"/>
          <w:bCs/>
          <w:sz w:val="24"/>
        </w:rPr>
        <w:t>6、法定代表人为同一个人的两个及两个以上法人，母公司、全资子公司及其控股公司，不得对本项目同时投标。</w:t>
      </w:r>
    </w:p>
    <w:p w14:paraId="42C752D1">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7、资格审查方式：资格后审。</w:t>
      </w:r>
    </w:p>
    <w:p w14:paraId="1ECBD785">
      <w:pPr>
        <w:autoSpaceDE w:val="0"/>
        <w:autoSpaceDN w:val="0"/>
        <w:adjustRightInd w:val="0"/>
        <w:snapToGrid w:val="0"/>
        <w:spacing w:line="360" w:lineRule="auto"/>
        <w:rPr>
          <w:rFonts w:ascii="宋体" w:hAnsi="宋体" w:cs="宋体"/>
          <w:color w:val="000000"/>
          <w:sz w:val="24"/>
        </w:rPr>
      </w:pPr>
      <w:r>
        <w:rPr>
          <w:rFonts w:hint="eastAsia" w:ascii="宋体" w:hAnsi="宋体" w:cs="宋体"/>
          <w:color w:val="000000"/>
          <w:sz w:val="24"/>
        </w:rPr>
        <w:t>8、本项目不接受联合体投标。</w:t>
      </w:r>
    </w:p>
    <w:p w14:paraId="06F12A20">
      <w:pPr>
        <w:spacing w:line="360" w:lineRule="auto"/>
        <w:ind w:left="60"/>
        <w:rPr>
          <w:rFonts w:ascii="宋体" w:hAnsi="宋体"/>
          <w:b/>
          <w:sz w:val="24"/>
        </w:rPr>
      </w:pPr>
      <w:r>
        <w:rPr>
          <w:rFonts w:hint="eastAsia" w:ascii="宋体" w:hAnsi="宋体"/>
          <w:b/>
          <w:sz w:val="24"/>
        </w:rPr>
        <w:t>九、竞争性磋商文件领取方式及时间</w:t>
      </w:r>
    </w:p>
    <w:p w14:paraId="0903B026">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1、获取采购文件</w:t>
      </w:r>
    </w:p>
    <w:p w14:paraId="0A52981A">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时间：自公告发布之日起至开标截止时间前（北京时间）</w:t>
      </w:r>
    </w:p>
    <w:p w14:paraId="5AF316FF">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地点：淮南经济技术开发区管理委员会网站（http://jkq.huainan.gov.cn/index.html）方式：网上自行下载。</w:t>
      </w:r>
    </w:p>
    <w:p w14:paraId="4E50B17A">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售价：0元</w:t>
      </w:r>
    </w:p>
    <w:p w14:paraId="39864F9B">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报名材料及时间：投标人提供公司营业执照、</w:t>
      </w:r>
      <w:r>
        <w:fldChar w:fldCharType="begin"/>
      </w:r>
      <w:r>
        <w:instrText xml:space="preserve"> HYPERLINK "mailto:资质证书及法定代表人授权书等相关报名资料扫描件发送至68469291@qq.com" </w:instrText>
      </w:r>
      <w:r>
        <w:fldChar w:fldCharType="separate"/>
      </w:r>
      <w:r>
        <w:rPr>
          <w:rStyle w:val="25"/>
          <w:rFonts w:hint="eastAsia" w:ascii="宋体" w:hAnsi="宋体" w:cs="宋体"/>
          <w:bCs/>
          <w:sz w:val="24"/>
        </w:rPr>
        <w:t>资质证书及法定代表人授权书等相关报名资料扫描件发送至6</w:t>
      </w:r>
      <w:r>
        <w:rPr>
          <w:rStyle w:val="25"/>
          <w:rFonts w:ascii="宋体" w:hAnsi="宋体" w:cs="宋体"/>
          <w:bCs/>
          <w:sz w:val="24"/>
        </w:rPr>
        <w:t>8469291@qq</w:t>
      </w:r>
      <w:r>
        <w:rPr>
          <w:rStyle w:val="25"/>
          <w:rFonts w:hint="eastAsia" w:ascii="宋体" w:hAnsi="宋体" w:cs="宋体"/>
          <w:bCs/>
          <w:sz w:val="24"/>
        </w:rPr>
        <w:t>.</w:t>
      </w:r>
      <w:r>
        <w:rPr>
          <w:rStyle w:val="25"/>
          <w:rFonts w:ascii="宋体" w:hAnsi="宋体" w:cs="宋体"/>
          <w:bCs/>
          <w:sz w:val="24"/>
        </w:rPr>
        <w:t>com</w:t>
      </w:r>
      <w:r>
        <w:rPr>
          <w:rStyle w:val="25"/>
          <w:rFonts w:ascii="宋体" w:hAnsi="宋体" w:cs="宋体"/>
          <w:bCs/>
          <w:sz w:val="24"/>
        </w:rPr>
        <w:fldChar w:fldCharType="end"/>
      </w:r>
      <w:r>
        <w:rPr>
          <w:rFonts w:hint="eastAsia" w:ascii="宋体" w:hAnsi="宋体" w:cs="宋体"/>
          <w:bCs/>
          <w:sz w:val="24"/>
        </w:rPr>
        <w:t>邮箱，报名时间为开标截止时间前一天1</w:t>
      </w:r>
      <w:r>
        <w:rPr>
          <w:rFonts w:ascii="宋体" w:hAnsi="宋体" w:cs="宋体"/>
          <w:bCs/>
          <w:sz w:val="24"/>
        </w:rPr>
        <w:t>7</w:t>
      </w:r>
      <w:r>
        <w:rPr>
          <w:rFonts w:hint="eastAsia" w:ascii="宋体" w:hAnsi="宋体" w:cs="宋体"/>
          <w:bCs/>
          <w:sz w:val="24"/>
        </w:rPr>
        <w:t>时。</w:t>
      </w:r>
    </w:p>
    <w:p w14:paraId="05313E89">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2、开标时间及地点：</w:t>
      </w:r>
    </w:p>
    <w:p w14:paraId="1F00205F">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 xml:space="preserve">（1）开标时间（投标截止时间）：2023年 </w:t>
      </w:r>
      <w:r>
        <w:rPr>
          <w:rFonts w:hint="eastAsia" w:ascii="宋体" w:hAnsi="宋体" w:cs="宋体"/>
          <w:bCs/>
          <w:sz w:val="24"/>
          <w:lang w:val="en-US" w:eastAsia="zh-CN"/>
        </w:rPr>
        <w:t>5</w:t>
      </w:r>
      <w:r>
        <w:rPr>
          <w:rFonts w:hint="eastAsia" w:ascii="宋体" w:hAnsi="宋体" w:cs="宋体"/>
          <w:bCs/>
          <w:sz w:val="24"/>
        </w:rPr>
        <w:t xml:space="preserve"> 月 </w:t>
      </w:r>
      <w:r>
        <w:rPr>
          <w:rFonts w:hint="eastAsia" w:ascii="宋体" w:hAnsi="宋体" w:cs="宋体"/>
          <w:bCs/>
          <w:sz w:val="24"/>
          <w:lang w:val="en-US" w:eastAsia="zh-CN"/>
        </w:rPr>
        <w:t>29</w:t>
      </w:r>
      <w:r>
        <w:rPr>
          <w:rFonts w:hint="eastAsia" w:ascii="宋体" w:hAnsi="宋体" w:cs="宋体"/>
          <w:bCs/>
          <w:sz w:val="24"/>
        </w:rPr>
        <w:t xml:space="preserve">日 </w:t>
      </w:r>
      <w:r>
        <w:rPr>
          <w:rFonts w:hint="eastAsia" w:ascii="宋体" w:hAnsi="宋体" w:cs="宋体"/>
          <w:bCs/>
          <w:sz w:val="24"/>
          <w:lang w:val="en-US" w:eastAsia="zh-CN"/>
        </w:rPr>
        <w:t>15</w:t>
      </w:r>
      <w:r>
        <w:rPr>
          <w:rFonts w:hint="eastAsia" w:ascii="宋体" w:hAnsi="宋体" w:cs="宋体"/>
          <w:bCs/>
          <w:sz w:val="24"/>
        </w:rPr>
        <w:t xml:space="preserve"> 时00分（北京时间）。</w:t>
      </w:r>
    </w:p>
    <w:p w14:paraId="255EB1C4">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（2）开标地点：淮南经济技术开发区政务中心B座7楼开标室</w:t>
      </w:r>
    </w:p>
    <w:p w14:paraId="4A4E872A">
      <w:pPr>
        <w:pStyle w:val="2"/>
      </w:pPr>
      <w:r>
        <w:rPr>
          <w:rFonts w:hint="eastAsia" w:hAnsi="宋体" w:cs="宋体"/>
          <w:b/>
          <w:sz w:val="24"/>
        </w:rPr>
        <w:t>十、公告期限</w:t>
      </w:r>
    </w:p>
    <w:p w14:paraId="583615D4">
      <w:pPr>
        <w:spacing w:line="480" w:lineRule="exact"/>
        <w:ind w:firstLine="484" w:firstLineChars="202"/>
        <w:rPr>
          <w:rFonts w:ascii="宋体" w:hAnsi="宋体" w:cs="宋体"/>
          <w:kern w:val="0"/>
          <w:sz w:val="24"/>
        </w:rPr>
      </w:pPr>
      <w:r>
        <w:rPr>
          <w:rFonts w:hint="eastAsia" w:ascii="宋体" w:hAnsi="宋体" w:cs="宋体"/>
          <w:kern w:val="0"/>
          <w:sz w:val="24"/>
        </w:rPr>
        <w:t xml:space="preserve"> 公告期限：自本公告发布之日起3个工作日。</w:t>
      </w:r>
    </w:p>
    <w:p w14:paraId="6E3D6C75">
      <w:pPr>
        <w:spacing w:line="312" w:lineRule="auto"/>
        <w:jc w:val="left"/>
        <w:rPr>
          <w:rFonts w:ascii="宋体" w:hAnsi="宋体" w:cs="宋体"/>
          <w:b/>
          <w:sz w:val="24"/>
        </w:rPr>
      </w:pPr>
      <w:r>
        <w:rPr>
          <w:rFonts w:hint="eastAsia" w:ascii="宋体" w:hAnsi="宋体" w:cs="宋体"/>
          <w:b/>
          <w:sz w:val="24"/>
        </w:rPr>
        <w:t xml:space="preserve">十一、其他补充事宜                                                                                    </w:t>
      </w:r>
    </w:p>
    <w:p w14:paraId="2F94C984">
      <w:pPr>
        <w:spacing w:line="312" w:lineRule="auto"/>
        <w:jc w:val="left"/>
        <w:rPr>
          <w:rFonts w:ascii="宋体" w:hAnsi="宋体" w:cs="宋体"/>
          <w:b/>
          <w:spacing w:val="-12"/>
          <w:sz w:val="24"/>
        </w:rPr>
      </w:pPr>
      <w:r>
        <w:rPr>
          <w:rFonts w:hint="eastAsia" w:ascii="宋体" w:hAnsi="宋体" w:cs="宋体"/>
          <w:b/>
          <w:sz w:val="24"/>
        </w:rPr>
        <w:t xml:space="preserve">  </w:t>
      </w:r>
      <w:r>
        <w:rPr>
          <w:rFonts w:hint="eastAsia" w:ascii="宋体" w:hAnsi="宋体" w:cs="宋体"/>
          <w:spacing w:val="-12"/>
          <w:sz w:val="24"/>
        </w:rPr>
        <w:t>1、关于本项目的变更、答疑等信息将在淮南经济技术开发区管理委员会网站（网址：http://jkq.huainan.gov.cn/index.html）网上发布，请投标人随时关注网上信息。如因投标人没有及时关注网站信息造成的后果由投标人自行承担。</w:t>
      </w:r>
    </w:p>
    <w:p w14:paraId="4A7949CA">
      <w:pPr>
        <w:spacing w:line="312" w:lineRule="auto"/>
        <w:ind w:firstLine="480" w:firstLineChars="200"/>
        <w:jc w:val="left"/>
        <w:rPr>
          <w:rFonts w:ascii="宋体" w:hAnsi="宋体" w:cs="宋体"/>
          <w:spacing w:val="-12"/>
          <w:sz w:val="24"/>
        </w:rPr>
      </w:pPr>
      <w:r>
        <w:rPr>
          <w:rFonts w:hint="eastAsia" w:ascii="宋体" w:hAnsi="宋体" w:cs="宋体"/>
          <w:sz w:val="24"/>
        </w:rPr>
        <w:t>2、本项目需要供应商提供二次报价，各潜在供应商委派一名工作</w:t>
      </w:r>
      <w:r>
        <w:rPr>
          <w:rFonts w:hint="eastAsia" w:ascii="宋体" w:hAnsi="宋体" w:cs="宋体"/>
          <w:spacing w:val="-12"/>
          <w:sz w:val="24"/>
        </w:rPr>
        <w:t>人员前来开标现场并持授权委托书.</w:t>
      </w:r>
    </w:p>
    <w:p w14:paraId="5BD2F316">
      <w:pPr>
        <w:spacing w:line="312" w:lineRule="auto"/>
        <w:ind w:firstLine="432" w:firstLineChars="200"/>
        <w:jc w:val="left"/>
        <w:rPr>
          <w:rFonts w:ascii="宋体" w:hAnsi="宋体" w:cs="宋体"/>
          <w:spacing w:val="-12"/>
          <w:sz w:val="24"/>
        </w:rPr>
      </w:pPr>
      <w:r>
        <w:rPr>
          <w:rFonts w:hint="eastAsia" w:ascii="宋体" w:hAnsi="宋体" w:cs="宋体"/>
          <w:spacing w:val="-12"/>
          <w:sz w:val="24"/>
        </w:rPr>
        <w:t>3、本项目无需投标保证金。</w:t>
      </w:r>
    </w:p>
    <w:p w14:paraId="3F343772">
      <w:pPr>
        <w:spacing w:line="312" w:lineRule="auto"/>
        <w:jc w:val="left"/>
        <w:rPr>
          <w:rFonts w:ascii="宋体" w:hAnsi="宋体" w:cs="宋体"/>
          <w:b/>
          <w:sz w:val="24"/>
        </w:rPr>
      </w:pPr>
      <w:r>
        <w:rPr>
          <w:rFonts w:hint="eastAsia" w:ascii="宋体" w:hAnsi="宋体"/>
          <w:b/>
          <w:kern w:val="0"/>
          <w:sz w:val="24"/>
        </w:rPr>
        <w:t>十二、</w:t>
      </w:r>
      <w:r>
        <w:rPr>
          <w:rFonts w:hint="eastAsia" w:ascii="宋体" w:hAnsi="宋体" w:cs="宋体"/>
          <w:b/>
          <w:sz w:val="24"/>
        </w:rPr>
        <w:t>凡对本次采购提出询问，请按以下方式联系。</w:t>
      </w:r>
      <w:bookmarkStart w:id="14" w:name="_Toc28359096"/>
      <w:bookmarkStart w:id="15" w:name="_Toc28359019"/>
      <w:bookmarkStart w:id="16" w:name="_Toc35393806"/>
      <w:bookmarkStart w:id="17" w:name="_Toc35393637"/>
    </w:p>
    <w:bookmarkEnd w:id="14"/>
    <w:bookmarkEnd w:id="15"/>
    <w:bookmarkEnd w:id="16"/>
    <w:bookmarkEnd w:id="17"/>
    <w:p w14:paraId="0643FE2E">
      <w:pPr>
        <w:spacing w:line="400" w:lineRule="exact"/>
        <w:ind w:left="420" w:leftChars="200"/>
        <w:rPr>
          <w:rFonts w:ascii="宋体" w:hAnsi="宋体" w:cs="宋体"/>
          <w:sz w:val="24"/>
        </w:rPr>
      </w:pPr>
      <w:r>
        <w:rPr>
          <w:rFonts w:hint="eastAsia" w:ascii="宋体" w:hAnsi="宋体" w:cs="宋体"/>
          <w:sz w:val="24"/>
        </w:rPr>
        <w:t>1.采购人信息</w:t>
      </w:r>
    </w:p>
    <w:p w14:paraId="03F71762">
      <w:pPr>
        <w:spacing w:line="400" w:lineRule="exact"/>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淮南经济技术开发区社会发展局</w:t>
      </w:r>
    </w:p>
    <w:p w14:paraId="22DE8A8F">
      <w:pPr>
        <w:spacing w:line="400" w:lineRule="exact"/>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淮南经济技术开发区</w:t>
      </w:r>
    </w:p>
    <w:p w14:paraId="2EAD017D">
      <w:pPr>
        <w:spacing w:line="400" w:lineRule="exact"/>
        <w:ind w:firstLine="480" w:firstLineChars="200"/>
        <w:rPr>
          <w:rFonts w:ascii="宋体" w:hAnsi="宋体" w:cs="宋体"/>
          <w:sz w:val="24"/>
          <w:u w:val="single"/>
        </w:rPr>
      </w:pPr>
      <w:r>
        <w:rPr>
          <w:rFonts w:hint="eastAsia" w:ascii="宋体" w:hAnsi="宋体" w:cs="宋体"/>
          <w:sz w:val="24"/>
        </w:rPr>
        <w:t>项目联系人：</w:t>
      </w:r>
      <w:r>
        <w:rPr>
          <w:rFonts w:hint="eastAsia" w:ascii="宋体" w:hAnsi="宋体" w:cs="宋体"/>
          <w:sz w:val="24"/>
          <w:u w:val="single"/>
        </w:rPr>
        <w:t xml:space="preserve">李义坤 </w:t>
      </w:r>
    </w:p>
    <w:p w14:paraId="5B4E9A68">
      <w:pPr>
        <w:spacing w:line="400" w:lineRule="exact"/>
        <w:ind w:firstLine="480" w:firstLineChars="200"/>
        <w:rPr>
          <w:rFonts w:ascii="宋体" w:hAnsi="宋体" w:cs="宋体"/>
          <w:sz w:val="24"/>
          <w:u w:val="single"/>
        </w:rPr>
      </w:pPr>
      <w:r>
        <w:rPr>
          <w:rFonts w:hint="eastAsia" w:ascii="宋体" w:hAnsi="宋体" w:cs="宋体"/>
          <w:sz w:val="24"/>
        </w:rPr>
        <w:t>联系方式：</w:t>
      </w:r>
      <w:r>
        <w:rPr>
          <w:rFonts w:hint="eastAsia" w:ascii="宋体" w:hAnsi="宋体" w:cs="宋体"/>
          <w:sz w:val="24"/>
          <w:u w:val="single"/>
        </w:rPr>
        <w:t>19155438588</w:t>
      </w:r>
    </w:p>
    <w:p w14:paraId="32E98F64">
      <w:pPr>
        <w:pStyle w:val="19"/>
        <w:spacing w:beforeAutospacing="0" w:afterAutospacing="0" w:line="400" w:lineRule="exact"/>
        <w:ind w:firstLine="480" w:firstLineChars="200"/>
        <w:rPr>
          <w:rFonts w:cs="宋体"/>
        </w:rPr>
      </w:pPr>
      <w:bookmarkStart w:id="18" w:name="_Toc28359097"/>
      <w:bookmarkStart w:id="19" w:name="_Toc35393638"/>
      <w:bookmarkStart w:id="20" w:name="_Toc35393807"/>
      <w:bookmarkStart w:id="21" w:name="_Toc28359020"/>
      <w:r>
        <w:rPr>
          <w:rFonts w:hint="eastAsia" w:cs="宋体"/>
        </w:rPr>
        <w:t>2.采购代理机构信息</w:t>
      </w:r>
      <w:bookmarkEnd w:id="18"/>
      <w:bookmarkEnd w:id="19"/>
      <w:bookmarkEnd w:id="20"/>
      <w:bookmarkEnd w:id="21"/>
    </w:p>
    <w:p w14:paraId="0B9A8E34">
      <w:pPr>
        <w:spacing w:line="400" w:lineRule="exact"/>
        <w:ind w:firstLine="480" w:firstLineChars="200"/>
        <w:rPr>
          <w:rFonts w:ascii="宋体" w:hAnsi="宋体" w:cs="宋体"/>
          <w:sz w:val="24"/>
          <w:u w:val="single"/>
        </w:rPr>
      </w:pPr>
      <w:r>
        <w:rPr>
          <w:rFonts w:hint="eastAsia" w:ascii="宋体" w:hAnsi="宋体" w:cs="宋体"/>
          <w:sz w:val="24"/>
        </w:rPr>
        <w:t>名    称：</w:t>
      </w:r>
      <w:r>
        <w:rPr>
          <w:rFonts w:hint="eastAsia" w:ascii="宋体" w:hAnsi="宋体" w:cs="宋体"/>
          <w:sz w:val="24"/>
          <w:u w:val="single"/>
        </w:rPr>
        <w:t>安徽三友建设工程项目管理有限责任公司</w:t>
      </w:r>
    </w:p>
    <w:p w14:paraId="43F2CFE8">
      <w:pPr>
        <w:spacing w:line="400" w:lineRule="exact"/>
        <w:ind w:firstLine="480" w:firstLineChars="20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淮南市田家庵区朝阳中路科技大厦16层</w:t>
      </w:r>
    </w:p>
    <w:p w14:paraId="11DD2CAA">
      <w:pPr>
        <w:spacing w:line="400" w:lineRule="exact"/>
        <w:ind w:firstLine="480" w:firstLineChars="200"/>
        <w:rPr>
          <w:rFonts w:ascii="宋体" w:hAnsi="宋体" w:cs="宋体"/>
          <w:sz w:val="24"/>
          <w:u w:val="single"/>
        </w:rPr>
      </w:pPr>
      <w:r>
        <w:rPr>
          <w:rFonts w:hint="eastAsia" w:ascii="宋体" w:hAnsi="宋体" w:cs="宋体"/>
          <w:sz w:val="24"/>
        </w:rPr>
        <w:t>项目负责人：</w:t>
      </w:r>
      <w:r>
        <w:rPr>
          <w:rFonts w:hint="eastAsia" w:ascii="宋体" w:hAnsi="宋体" w:cs="宋体"/>
          <w:sz w:val="24"/>
          <w:u w:val="single"/>
        </w:rPr>
        <w:t xml:space="preserve"> 曹辉、陈陶</w:t>
      </w:r>
    </w:p>
    <w:p w14:paraId="4672C142">
      <w:pPr>
        <w:spacing w:line="400" w:lineRule="exact"/>
        <w:ind w:firstLine="480" w:firstLineChars="200"/>
        <w:rPr>
          <w:rFonts w:ascii="宋体" w:hAnsi="宋体" w:cs="宋体"/>
          <w:sz w:val="24"/>
        </w:rPr>
      </w:pPr>
      <w:r>
        <w:rPr>
          <w:rFonts w:hint="eastAsia" w:ascii="宋体" w:hAnsi="宋体" w:cs="宋体"/>
          <w:sz w:val="24"/>
        </w:rPr>
        <w:t>联系方式：</w:t>
      </w:r>
      <w:r>
        <w:rPr>
          <w:rFonts w:hint="eastAsia" w:ascii="宋体" w:hAnsi="宋体" w:cs="宋体"/>
          <w:sz w:val="24"/>
          <w:u w:val="single"/>
        </w:rPr>
        <w:t>0554-6646305</w:t>
      </w:r>
      <w:r>
        <w:rPr>
          <w:rFonts w:hint="eastAsia" w:ascii="宋体" w:hAnsi="宋体" w:cs="宋体"/>
          <w:sz w:val="24"/>
        </w:rPr>
        <w:t>　　　　</w:t>
      </w:r>
      <w:bookmarkStart w:id="22" w:name="_Toc28359098"/>
      <w:bookmarkStart w:id="23" w:name="_Toc35393808"/>
      <w:bookmarkStart w:id="24" w:name="_Toc35393639"/>
      <w:bookmarkStart w:id="25" w:name="_Toc28359021"/>
    </w:p>
    <w:p w14:paraId="5B641AE3">
      <w:pPr>
        <w:spacing w:line="312" w:lineRule="auto"/>
        <w:ind w:firstLine="188" w:firstLineChars="78"/>
        <w:jc w:val="left"/>
        <w:rPr>
          <w:rFonts w:ascii="宋体" w:hAnsi="宋体" w:cs="宋体"/>
          <w:b/>
          <w:sz w:val="24"/>
        </w:rPr>
      </w:pPr>
      <w:r>
        <w:rPr>
          <w:rFonts w:hint="eastAsia" w:ascii="宋体" w:hAnsi="宋体" w:cs="宋体"/>
          <w:b/>
          <w:sz w:val="24"/>
        </w:rPr>
        <w:t>3.项目联系方式</w:t>
      </w:r>
      <w:bookmarkEnd w:id="22"/>
      <w:bookmarkEnd w:id="23"/>
      <w:bookmarkEnd w:id="24"/>
      <w:bookmarkEnd w:id="25"/>
    </w:p>
    <w:p w14:paraId="281E93F2">
      <w:pPr>
        <w:spacing w:line="312" w:lineRule="auto"/>
        <w:ind w:firstLine="187" w:firstLineChars="78"/>
        <w:jc w:val="left"/>
        <w:rPr>
          <w:rFonts w:ascii="宋体" w:hAnsi="宋体" w:cs="宋体"/>
          <w:sz w:val="24"/>
        </w:rPr>
      </w:pPr>
      <w:r>
        <w:rPr>
          <w:rFonts w:ascii="宋体" w:hAnsi="宋体" w:cs="宋体"/>
          <w:sz w:val="24"/>
        </w:rPr>
        <w:t>项目联系人：</w:t>
      </w:r>
      <w:r>
        <w:rPr>
          <w:rFonts w:hint="eastAsia" w:ascii="宋体" w:hAnsi="宋体" w:cs="宋体"/>
          <w:sz w:val="24"/>
          <w:u w:val="single"/>
        </w:rPr>
        <w:t xml:space="preserve"> 李义坤、曹辉、陈陶 </w:t>
      </w:r>
      <w:r>
        <w:rPr>
          <w:rFonts w:ascii="宋体" w:hAnsi="宋体" w:cs="宋体"/>
          <w:sz w:val="24"/>
        </w:rPr>
        <w:t xml:space="preserve">         </w:t>
      </w:r>
    </w:p>
    <w:p w14:paraId="6B07BD00">
      <w:pPr>
        <w:spacing w:line="480" w:lineRule="exact"/>
        <w:ind w:left="1890" w:leftChars="100" w:hanging="1680" w:hangingChars="700"/>
        <w:rPr>
          <w:rFonts w:ascii="宋体" w:hAnsi="宋体"/>
          <w:sz w:val="36"/>
        </w:rPr>
      </w:pPr>
      <w:r>
        <w:rPr>
          <w:rFonts w:hint="eastAsia" w:ascii="宋体" w:hAnsi="宋体" w:cs="宋体"/>
          <w:sz w:val="24"/>
        </w:rPr>
        <w:t>电　话：</w:t>
      </w:r>
      <w:r>
        <w:rPr>
          <w:rFonts w:hint="eastAsia" w:ascii="宋体" w:hAnsi="宋体" w:cs="宋体"/>
          <w:sz w:val="24"/>
          <w:u w:val="single"/>
        </w:rPr>
        <w:t>19155438588、15222941118</w:t>
      </w:r>
      <w:bookmarkEnd w:id="10"/>
      <w:bookmarkEnd w:id="11"/>
      <w:bookmarkStart w:id="26" w:name="_Toc456249637"/>
      <w:bookmarkStart w:id="27" w:name="_Toc456249439"/>
      <w:bookmarkStart w:id="28" w:name="_Toc2283"/>
      <w:bookmarkStart w:id="29" w:name="_Toc430438699"/>
      <w:bookmarkStart w:id="30" w:name="_Toc382508379"/>
      <w:bookmarkStart w:id="31" w:name="_Toc532918993"/>
      <w:bookmarkStart w:id="32" w:name="_Toc487652271"/>
      <w:r>
        <w:rPr>
          <w:rFonts w:hint="eastAsia" w:ascii="黑体" w:hAnsi="黑体" w:eastAsia="黑体"/>
          <w:b/>
          <w:bCs/>
          <w:sz w:val="32"/>
        </w:rPr>
        <w:br w:type="page"/>
      </w:r>
      <w:r>
        <w:rPr>
          <w:rFonts w:hint="eastAsia" w:ascii="黑体" w:hAnsi="黑体" w:eastAsia="黑体"/>
          <w:b/>
          <w:bCs/>
          <w:sz w:val="32"/>
        </w:rPr>
        <w:t>第二章 竞争性磋商须知前附表</w:t>
      </w:r>
      <w:bookmarkEnd w:id="26"/>
      <w:bookmarkEnd w:id="27"/>
      <w:bookmarkEnd w:id="28"/>
      <w:bookmarkEnd w:id="29"/>
      <w:bookmarkEnd w:id="30"/>
      <w:bookmarkEnd w:id="31"/>
    </w:p>
    <w:p w14:paraId="0CEBAF2D"/>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50"/>
        <w:gridCol w:w="6855"/>
      </w:tblGrid>
      <w:tr w14:paraId="0FB9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28" w:type="dxa"/>
            <w:vAlign w:val="center"/>
          </w:tcPr>
          <w:p w14:paraId="3418580E">
            <w:pPr>
              <w:spacing w:line="400" w:lineRule="exact"/>
              <w:jc w:val="center"/>
              <w:rPr>
                <w:rFonts w:ascii="宋体" w:hAnsi="宋体" w:cs="宋体"/>
                <w:b/>
                <w:kern w:val="0"/>
                <w:sz w:val="24"/>
                <w:szCs w:val="24"/>
              </w:rPr>
            </w:pPr>
            <w:r>
              <w:rPr>
                <w:rFonts w:hint="eastAsia" w:ascii="宋体" w:hAnsi="宋体" w:cs="宋体"/>
                <w:b/>
                <w:kern w:val="0"/>
                <w:sz w:val="24"/>
                <w:szCs w:val="24"/>
              </w:rPr>
              <w:t>序号</w:t>
            </w:r>
          </w:p>
        </w:tc>
        <w:tc>
          <w:tcPr>
            <w:tcW w:w="2150" w:type="dxa"/>
            <w:vAlign w:val="center"/>
          </w:tcPr>
          <w:p w14:paraId="0F633329">
            <w:pPr>
              <w:spacing w:line="400" w:lineRule="exact"/>
              <w:jc w:val="center"/>
              <w:textAlignment w:val="center"/>
              <w:rPr>
                <w:rFonts w:ascii="宋体" w:hAnsi="宋体" w:cs="宋体"/>
                <w:b/>
                <w:kern w:val="0"/>
                <w:sz w:val="24"/>
                <w:szCs w:val="24"/>
              </w:rPr>
            </w:pPr>
            <w:r>
              <w:rPr>
                <w:rFonts w:ascii="宋体" w:hAnsi="宋体" w:cs="宋体"/>
                <w:b/>
                <w:kern w:val="0"/>
                <w:sz w:val="24"/>
                <w:szCs w:val="24"/>
              </w:rPr>
              <w:t>条款名称</w:t>
            </w:r>
          </w:p>
        </w:tc>
        <w:tc>
          <w:tcPr>
            <w:tcW w:w="6855" w:type="dxa"/>
            <w:vAlign w:val="center"/>
          </w:tcPr>
          <w:p w14:paraId="5B84DA29">
            <w:pPr>
              <w:spacing w:line="400" w:lineRule="exact"/>
              <w:jc w:val="center"/>
              <w:textAlignment w:val="center"/>
              <w:rPr>
                <w:rFonts w:ascii="宋体" w:hAnsi="宋体" w:cs="宋体"/>
                <w:b/>
                <w:kern w:val="0"/>
                <w:sz w:val="24"/>
                <w:szCs w:val="24"/>
              </w:rPr>
            </w:pPr>
            <w:r>
              <w:rPr>
                <w:rFonts w:ascii="宋体" w:hAnsi="宋体" w:cs="宋体"/>
                <w:b/>
                <w:kern w:val="0"/>
                <w:sz w:val="24"/>
                <w:szCs w:val="24"/>
              </w:rPr>
              <w:t>编列内容</w:t>
            </w:r>
          </w:p>
        </w:tc>
      </w:tr>
      <w:tr w14:paraId="1559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28" w:type="dxa"/>
            <w:vAlign w:val="center"/>
          </w:tcPr>
          <w:p w14:paraId="199623C9">
            <w:pPr>
              <w:spacing w:line="400" w:lineRule="exact"/>
              <w:jc w:val="center"/>
              <w:rPr>
                <w:rFonts w:ascii="宋体" w:hAnsi="宋体" w:cs="宋体"/>
                <w:kern w:val="0"/>
                <w:sz w:val="24"/>
                <w:szCs w:val="24"/>
              </w:rPr>
            </w:pPr>
            <w:r>
              <w:rPr>
                <w:rFonts w:hint="eastAsia" w:ascii="宋体" w:hAnsi="宋体" w:cs="宋体"/>
                <w:kern w:val="0"/>
                <w:sz w:val="24"/>
                <w:szCs w:val="24"/>
              </w:rPr>
              <w:t>1</w:t>
            </w:r>
          </w:p>
        </w:tc>
        <w:tc>
          <w:tcPr>
            <w:tcW w:w="2150" w:type="dxa"/>
            <w:vAlign w:val="center"/>
          </w:tcPr>
          <w:p w14:paraId="3BADAE09">
            <w:pPr>
              <w:spacing w:line="400" w:lineRule="exact"/>
              <w:jc w:val="left"/>
              <w:rPr>
                <w:rFonts w:ascii="宋体" w:hAnsi="宋体" w:cs="宋体"/>
                <w:kern w:val="0"/>
                <w:sz w:val="24"/>
                <w:szCs w:val="24"/>
              </w:rPr>
            </w:pPr>
            <w:r>
              <w:rPr>
                <w:rFonts w:hint="eastAsia" w:ascii="宋体" w:hAnsi="宋体" w:cs="宋体"/>
                <w:kern w:val="0"/>
                <w:sz w:val="24"/>
                <w:szCs w:val="24"/>
              </w:rPr>
              <w:t>采购人</w:t>
            </w:r>
          </w:p>
        </w:tc>
        <w:tc>
          <w:tcPr>
            <w:tcW w:w="6855" w:type="dxa"/>
            <w:vAlign w:val="center"/>
          </w:tcPr>
          <w:p w14:paraId="4E5C3D9B">
            <w:pPr>
              <w:spacing w:line="390" w:lineRule="exact"/>
              <w:jc w:val="left"/>
              <w:rPr>
                <w:rFonts w:ascii="宋体" w:hAnsi="宋体" w:cs="宋体"/>
                <w:sz w:val="24"/>
              </w:rPr>
            </w:pPr>
            <w:r>
              <w:rPr>
                <w:rFonts w:hint="eastAsia" w:ascii="宋体" w:hAnsi="宋体" w:cs="宋体"/>
                <w:sz w:val="24"/>
              </w:rPr>
              <w:t>招标人：淮南经济技术开发区社会发展局　　</w:t>
            </w:r>
          </w:p>
          <w:p w14:paraId="401A8E8B">
            <w:pPr>
              <w:spacing w:line="390" w:lineRule="exact"/>
              <w:jc w:val="left"/>
              <w:rPr>
                <w:rFonts w:ascii="宋体" w:hAnsi="宋体" w:cs="宋体"/>
                <w:sz w:val="24"/>
              </w:rPr>
            </w:pPr>
            <w:r>
              <w:rPr>
                <w:rFonts w:hint="eastAsia" w:ascii="宋体" w:hAnsi="宋体" w:cs="宋体"/>
                <w:sz w:val="24"/>
              </w:rPr>
              <w:t>地  址：淮南经济技术开发区</w:t>
            </w:r>
          </w:p>
          <w:p w14:paraId="0162907B">
            <w:pPr>
              <w:spacing w:line="390" w:lineRule="exact"/>
              <w:jc w:val="left"/>
              <w:rPr>
                <w:rFonts w:ascii="宋体" w:hAnsi="宋体" w:cs="宋体"/>
                <w:sz w:val="24"/>
              </w:rPr>
            </w:pPr>
            <w:r>
              <w:rPr>
                <w:rFonts w:hint="eastAsia" w:ascii="宋体" w:hAnsi="宋体" w:cs="宋体"/>
                <w:sz w:val="24"/>
              </w:rPr>
              <w:t>项目联系人：李义坤</w:t>
            </w:r>
          </w:p>
          <w:p w14:paraId="621F5FA9">
            <w:pPr>
              <w:spacing w:line="400" w:lineRule="exact"/>
              <w:jc w:val="left"/>
              <w:rPr>
                <w:rFonts w:ascii="宋体" w:hAnsi="宋体"/>
                <w:color w:val="000000"/>
                <w:sz w:val="24"/>
                <w:szCs w:val="24"/>
                <w:u w:val="single"/>
              </w:rPr>
            </w:pPr>
            <w:r>
              <w:rPr>
                <w:rFonts w:hint="eastAsia" w:ascii="宋体" w:hAnsi="宋体" w:cs="宋体"/>
                <w:sz w:val="24"/>
              </w:rPr>
              <w:t>联系方式：</w:t>
            </w:r>
            <w:r>
              <w:rPr>
                <w:rFonts w:hint="eastAsia" w:ascii="宋体" w:hAnsi="宋体" w:cs="宋体"/>
                <w:color w:val="000000"/>
                <w:sz w:val="24"/>
                <w:szCs w:val="24"/>
                <w:shd w:val="clear" w:color="auto" w:fill="FFFFFF"/>
              </w:rPr>
              <w:t>19155438588</w:t>
            </w:r>
          </w:p>
        </w:tc>
      </w:tr>
      <w:tr w14:paraId="0B46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28" w:type="dxa"/>
            <w:vAlign w:val="center"/>
          </w:tcPr>
          <w:p w14:paraId="4ECC929C">
            <w:pPr>
              <w:spacing w:line="400" w:lineRule="exact"/>
              <w:jc w:val="center"/>
              <w:rPr>
                <w:rFonts w:ascii="宋体" w:hAnsi="宋体" w:cs="宋体"/>
                <w:kern w:val="0"/>
                <w:sz w:val="24"/>
                <w:szCs w:val="24"/>
              </w:rPr>
            </w:pPr>
            <w:r>
              <w:rPr>
                <w:rFonts w:hint="eastAsia" w:ascii="宋体" w:hAnsi="宋体" w:cs="宋体"/>
                <w:kern w:val="0"/>
                <w:sz w:val="24"/>
                <w:szCs w:val="24"/>
              </w:rPr>
              <w:t>2</w:t>
            </w:r>
          </w:p>
        </w:tc>
        <w:tc>
          <w:tcPr>
            <w:tcW w:w="2150" w:type="dxa"/>
            <w:vAlign w:val="center"/>
          </w:tcPr>
          <w:p w14:paraId="3DC2199A">
            <w:pPr>
              <w:spacing w:line="400" w:lineRule="exact"/>
              <w:jc w:val="left"/>
              <w:rPr>
                <w:rFonts w:ascii="宋体" w:hAnsi="宋体" w:cs="宋体"/>
                <w:kern w:val="0"/>
                <w:sz w:val="24"/>
                <w:szCs w:val="24"/>
              </w:rPr>
            </w:pPr>
            <w:r>
              <w:rPr>
                <w:rFonts w:ascii="宋体" w:hAnsi="宋体" w:cs="宋体"/>
                <w:kern w:val="0"/>
                <w:sz w:val="24"/>
                <w:szCs w:val="24"/>
              </w:rPr>
              <w:t>招标代理机构</w:t>
            </w:r>
          </w:p>
        </w:tc>
        <w:tc>
          <w:tcPr>
            <w:tcW w:w="6855" w:type="dxa"/>
            <w:vAlign w:val="center"/>
          </w:tcPr>
          <w:p w14:paraId="5030B0D8">
            <w:pPr>
              <w:spacing w:line="390" w:lineRule="exact"/>
              <w:jc w:val="left"/>
              <w:rPr>
                <w:rFonts w:ascii="宋体" w:hAnsi="宋体" w:cs="宋体"/>
                <w:sz w:val="24"/>
              </w:rPr>
            </w:pPr>
            <w:r>
              <w:rPr>
                <w:rFonts w:hint="eastAsia" w:ascii="宋体" w:hAnsi="宋体" w:cs="宋体"/>
                <w:sz w:val="24"/>
              </w:rPr>
              <w:t>招标代理机构：安徽三友建设工程项目管理有限责任公司</w:t>
            </w:r>
          </w:p>
          <w:p w14:paraId="3A8761BC">
            <w:pPr>
              <w:spacing w:line="390" w:lineRule="exact"/>
              <w:jc w:val="left"/>
              <w:rPr>
                <w:sz w:val="24"/>
              </w:rPr>
            </w:pPr>
            <w:r>
              <w:rPr>
                <w:rFonts w:hint="eastAsia" w:ascii="宋体" w:hAnsi="宋体" w:cs="宋体"/>
                <w:sz w:val="24"/>
              </w:rPr>
              <w:t xml:space="preserve">地　址： </w:t>
            </w:r>
            <w:r>
              <w:rPr>
                <w:rFonts w:hint="eastAsia"/>
                <w:sz w:val="24"/>
              </w:rPr>
              <w:t>淮南市田家庵区朝阳中路科技大厦16层</w:t>
            </w:r>
          </w:p>
          <w:p w14:paraId="51D498CF">
            <w:pPr>
              <w:spacing w:line="390" w:lineRule="exact"/>
              <w:jc w:val="left"/>
              <w:rPr>
                <w:rFonts w:ascii="宋体" w:hAnsi="宋体" w:cs="宋体"/>
                <w:sz w:val="24"/>
              </w:rPr>
            </w:pPr>
            <w:r>
              <w:rPr>
                <w:rFonts w:hint="eastAsia" w:ascii="宋体" w:hAnsi="宋体" w:cs="宋体"/>
                <w:sz w:val="24"/>
              </w:rPr>
              <w:t xml:space="preserve">项目负责人：曹辉、陈陶      </w:t>
            </w:r>
          </w:p>
          <w:p w14:paraId="0998EFDC">
            <w:pPr>
              <w:spacing w:line="400" w:lineRule="exact"/>
              <w:jc w:val="left"/>
              <w:rPr>
                <w:rFonts w:ascii="宋体" w:hAnsi="宋体" w:cs="宋体"/>
                <w:kern w:val="0"/>
                <w:sz w:val="24"/>
                <w:szCs w:val="24"/>
              </w:rPr>
            </w:pPr>
            <w:r>
              <w:rPr>
                <w:rFonts w:hint="eastAsia" w:ascii="宋体" w:hAnsi="宋体" w:cs="宋体"/>
                <w:sz w:val="24"/>
              </w:rPr>
              <w:t>联系方式：15222941118、18155409806</w:t>
            </w:r>
          </w:p>
        </w:tc>
      </w:tr>
      <w:tr w14:paraId="0069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28" w:type="dxa"/>
            <w:vAlign w:val="center"/>
          </w:tcPr>
          <w:p w14:paraId="7B7BB60B">
            <w:pPr>
              <w:spacing w:line="400" w:lineRule="exact"/>
              <w:jc w:val="center"/>
              <w:rPr>
                <w:rFonts w:ascii="宋体" w:hAnsi="宋体" w:cs="宋体"/>
                <w:kern w:val="0"/>
                <w:sz w:val="24"/>
                <w:szCs w:val="24"/>
              </w:rPr>
            </w:pPr>
            <w:r>
              <w:rPr>
                <w:rFonts w:hint="eastAsia" w:ascii="宋体" w:hAnsi="宋体" w:cs="宋体"/>
                <w:kern w:val="0"/>
                <w:sz w:val="24"/>
                <w:szCs w:val="24"/>
              </w:rPr>
              <w:t>3</w:t>
            </w:r>
          </w:p>
        </w:tc>
        <w:tc>
          <w:tcPr>
            <w:tcW w:w="2150" w:type="dxa"/>
            <w:vAlign w:val="center"/>
          </w:tcPr>
          <w:p w14:paraId="0C6A914D">
            <w:pPr>
              <w:spacing w:line="400" w:lineRule="exact"/>
              <w:jc w:val="left"/>
              <w:rPr>
                <w:rFonts w:ascii="宋体" w:hAnsi="宋体" w:cs="宋体"/>
                <w:kern w:val="0"/>
                <w:sz w:val="24"/>
                <w:szCs w:val="24"/>
              </w:rPr>
            </w:pPr>
            <w:r>
              <w:rPr>
                <w:rFonts w:ascii="宋体" w:hAnsi="宋体" w:cs="宋体"/>
                <w:kern w:val="0"/>
                <w:sz w:val="24"/>
                <w:szCs w:val="24"/>
              </w:rPr>
              <w:t>项目名称</w:t>
            </w:r>
          </w:p>
        </w:tc>
        <w:tc>
          <w:tcPr>
            <w:tcW w:w="6855" w:type="dxa"/>
            <w:vAlign w:val="center"/>
          </w:tcPr>
          <w:p w14:paraId="7F10CE0A">
            <w:pPr>
              <w:spacing w:line="400" w:lineRule="exact"/>
              <w:jc w:val="left"/>
              <w:rPr>
                <w:rFonts w:ascii="宋体" w:hAnsi="宋体" w:cs="宋体"/>
                <w:kern w:val="0"/>
                <w:sz w:val="24"/>
                <w:szCs w:val="24"/>
              </w:rPr>
            </w:pPr>
            <w:r>
              <w:rPr>
                <w:rFonts w:hint="eastAsia" w:ascii="宋体" w:hAnsi="宋体"/>
                <w:sz w:val="24"/>
              </w:rPr>
              <w:t>淮南经开区节水型工业园区建设项目</w:t>
            </w:r>
          </w:p>
        </w:tc>
      </w:tr>
      <w:tr w14:paraId="277E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28" w:type="dxa"/>
            <w:vAlign w:val="center"/>
          </w:tcPr>
          <w:p w14:paraId="7F3837FF">
            <w:pPr>
              <w:spacing w:line="400" w:lineRule="exact"/>
              <w:jc w:val="center"/>
              <w:rPr>
                <w:rFonts w:ascii="宋体" w:hAnsi="宋体" w:cs="宋体"/>
                <w:kern w:val="0"/>
                <w:sz w:val="24"/>
                <w:szCs w:val="24"/>
              </w:rPr>
            </w:pPr>
            <w:r>
              <w:rPr>
                <w:rFonts w:hint="eastAsia" w:ascii="宋体" w:hAnsi="宋体" w:cs="宋体"/>
                <w:kern w:val="0"/>
                <w:sz w:val="24"/>
                <w:szCs w:val="24"/>
              </w:rPr>
              <w:t>4</w:t>
            </w:r>
          </w:p>
        </w:tc>
        <w:tc>
          <w:tcPr>
            <w:tcW w:w="2150" w:type="dxa"/>
            <w:vAlign w:val="center"/>
          </w:tcPr>
          <w:p w14:paraId="00D5D61D">
            <w:pPr>
              <w:spacing w:line="400" w:lineRule="exact"/>
              <w:jc w:val="left"/>
              <w:rPr>
                <w:rFonts w:ascii="宋体" w:hAnsi="宋体" w:cs="宋体"/>
                <w:kern w:val="0"/>
                <w:sz w:val="24"/>
                <w:szCs w:val="24"/>
              </w:rPr>
            </w:pPr>
            <w:r>
              <w:rPr>
                <w:rFonts w:hint="eastAsia" w:ascii="宋体" w:hAnsi="宋体" w:cs="宋体"/>
                <w:kern w:val="0"/>
                <w:sz w:val="24"/>
                <w:szCs w:val="24"/>
              </w:rPr>
              <w:t>服务</w:t>
            </w:r>
            <w:r>
              <w:rPr>
                <w:rFonts w:ascii="宋体" w:hAnsi="宋体" w:cs="宋体"/>
                <w:kern w:val="0"/>
                <w:sz w:val="24"/>
                <w:szCs w:val="24"/>
              </w:rPr>
              <w:t>地点</w:t>
            </w:r>
          </w:p>
        </w:tc>
        <w:tc>
          <w:tcPr>
            <w:tcW w:w="6855" w:type="dxa"/>
            <w:vAlign w:val="center"/>
          </w:tcPr>
          <w:p w14:paraId="1FB19F12">
            <w:pPr>
              <w:spacing w:line="400" w:lineRule="exact"/>
              <w:jc w:val="left"/>
              <w:rPr>
                <w:rFonts w:ascii="宋体" w:hAnsi="宋体" w:cs="宋体"/>
                <w:kern w:val="0"/>
                <w:sz w:val="24"/>
                <w:szCs w:val="24"/>
              </w:rPr>
            </w:pPr>
            <w:r>
              <w:rPr>
                <w:rFonts w:hint="eastAsia" w:ascii="宋体" w:hAnsi="宋体" w:cs="宋体"/>
                <w:sz w:val="24"/>
              </w:rPr>
              <w:t>淮南经济技术开发区</w:t>
            </w:r>
          </w:p>
        </w:tc>
      </w:tr>
      <w:tr w14:paraId="02AE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28" w:type="dxa"/>
            <w:vAlign w:val="center"/>
          </w:tcPr>
          <w:p w14:paraId="0497A07F">
            <w:pPr>
              <w:spacing w:line="400" w:lineRule="exact"/>
              <w:jc w:val="center"/>
              <w:rPr>
                <w:rFonts w:ascii="宋体" w:hAnsi="宋体" w:cs="宋体"/>
                <w:kern w:val="0"/>
                <w:sz w:val="24"/>
                <w:szCs w:val="24"/>
              </w:rPr>
            </w:pPr>
            <w:r>
              <w:rPr>
                <w:rFonts w:hint="eastAsia" w:ascii="宋体" w:hAnsi="宋体" w:cs="宋体"/>
                <w:kern w:val="0"/>
                <w:sz w:val="24"/>
                <w:szCs w:val="24"/>
              </w:rPr>
              <w:t>5</w:t>
            </w:r>
          </w:p>
        </w:tc>
        <w:tc>
          <w:tcPr>
            <w:tcW w:w="2150" w:type="dxa"/>
            <w:vAlign w:val="center"/>
          </w:tcPr>
          <w:p w14:paraId="696C4CE2">
            <w:pPr>
              <w:spacing w:line="400" w:lineRule="exact"/>
              <w:jc w:val="left"/>
              <w:rPr>
                <w:rFonts w:ascii="宋体" w:hAnsi="宋体" w:cs="宋体"/>
                <w:kern w:val="0"/>
                <w:sz w:val="24"/>
                <w:szCs w:val="24"/>
              </w:rPr>
            </w:pPr>
            <w:r>
              <w:rPr>
                <w:rFonts w:hint="eastAsia" w:ascii="宋体" w:hAnsi="宋体" w:cs="宋体"/>
                <w:kern w:val="0"/>
                <w:sz w:val="24"/>
                <w:szCs w:val="24"/>
              </w:rPr>
              <w:t>采购预算</w:t>
            </w:r>
          </w:p>
        </w:tc>
        <w:tc>
          <w:tcPr>
            <w:tcW w:w="6855" w:type="dxa"/>
            <w:vAlign w:val="center"/>
          </w:tcPr>
          <w:p w14:paraId="58F466FD">
            <w:pPr>
              <w:rPr>
                <w:rFonts w:ascii="宋体" w:hAnsi="宋体" w:cs="宋体"/>
                <w:kern w:val="0"/>
                <w:sz w:val="24"/>
                <w:szCs w:val="24"/>
              </w:rPr>
            </w:pPr>
            <w:r>
              <w:rPr>
                <w:rFonts w:hint="eastAsia" w:ascii="宋体" w:hAnsi="宋体" w:cs="宋体"/>
                <w:kern w:val="0"/>
                <w:sz w:val="24"/>
                <w:szCs w:val="24"/>
              </w:rPr>
              <w:t>28万元</w:t>
            </w:r>
          </w:p>
        </w:tc>
      </w:tr>
      <w:tr w14:paraId="1F0C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28" w:type="dxa"/>
            <w:vAlign w:val="center"/>
          </w:tcPr>
          <w:p w14:paraId="3EBE4C30">
            <w:pPr>
              <w:spacing w:line="400" w:lineRule="exact"/>
              <w:jc w:val="center"/>
              <w:rPr>
                <w:rFonts w:ascii="宋体" w:hAnsi="宋体" w:cs="宋体"/>
                <w:kern w:val="0"/>
                <w:sz w:val="24"/>
                <w:szCs w:val="24"/>
              </w:rPr>
            </w:pPr>
            <w:r>
              <w:rPr>
                <w:rFonts w:hint="eastAsia" w:ascii="宋体" w:hAnsi="宋体" w:cs="宋体"/>
                <w:kern w:val="0"/>
                <w:sz w:val="24"/>
                <w:szCs w:val="24"/>
              </w:rPr>
              <w:t>6</w:t>
            </w:r>
          </w:p>
        </w:tc>
        <w:tc>
          <w:tcPr>
            <w:tcW w:w="2150" w:type="dxa"/>
            <w:vAlign w:val="center"/>
          </w:tcPr>
          <w:p w14:paraId="76CC7A36">
            <w:pPr>
              <w:spacing w:line="400" w:lineRule="exact"/>
              <w:jc w:val="left"/>
              <w:rPr>
                <w:rFonts w:ascii="宋体" w:hAnsi="宋体" w:cs="宋体"/>
                <w:color w:val="000000"/>
                <w:kern w:val="0"/>
                <w:sz w:val="24"/>
                <w:szCs w:val="24"/>
              </w:rPr>
            </w:pPr>
            <w:r>
              <w:rPr>
                <w:rFonts w:hint="eastAsia" w:ascii="宋体" w:hAnsi="宋体" w:cs="宋体"/>
                <w:color w:val="000000"/>
                <w:kern w:val="0"/>
                <w:sz w:val="24"/>
                <w:szCs w:val="24"/>
              </w:rPr>
              <w:t>付款方式</w:t>
            </w:r>
          </w:p>
        </w:tc>
        <w:tc>
          <w:tcPr>
            <w:tcW w:w="6855" w:type="dxa"/>
            <w:vAlign w:val="center"/>
          </w:tcPr>
          <w:p w14:paraId="6D278068">
            <w:pPr>
              <w:rPr>
                <w:rFonts w:ascii="宋体" w:hAnsi="宋体" w:cs="宋体"/>
                <w:kern w:val="0"/>
                <w:sz w:val="24"/>
                <w:szCs w:val="24"/>
              </w:rPr>
            </w:pPr>
            <w:r>
              <w:rPr>
                <w:rFonts w:hint="eastAsia" w:ascii="宋体" w:hAnsi="宋体" w:cs="宋体"/>
                <w:kern w:val="0"/>
                <w:sz w:val="24"/>
                <w:szCs w:val="24"/>
              </w:rPr>
              <w:t>付款方式：采购人完成节水型工业园区建设服务报告编制等工作，最终通过省级主管部门的审批后支付合同款的100%.</w:t>
            </w:r>
          </w:p>
        </w:tc>
      </w:tr>
      <w:tr w14:paraId="0222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928" w:type="dxa"/>
            <w:vAlign w:val="center"/>
          </w:tcPr>
          <w:p w14:paraId="624355DA">
            <w:pPr>
              <w:spacing w:line="400" w:lineRule="exact"/>
              <w:jc w:val="center"/>
              <w:rPr>
                <w:rFonts w:ascii="宋体" w:hAnsi="宋体" w:cs="宋体"/>
                <w:kern w:val="0"/>
                <w:sz w:val="24"/>
                <w:szCs w:val="24"/>
              </w:rPr>
            </w:pPr>
            <w:r>
              <w:rPr>
                <w:rFonts w:hint="eastAsia" w:ascii="宋体" w:hAnsi="宋体" w:cs="宋体"/>
                <w:kern w:val="0"/>
                <w:sz w:val="24"/>
                <w:szCs w:val="24"/>
              </w:rPr>
              <w:t>7</w:t>
            </w:r>
          </w:p>
        </w:tc>
        <w:tc>
          <w:tcPr>
            <w:tcW w:w="2150" w:type="dxa"/>
            <w:vAlign w:val="center"/>
          </w:tcPr>
          <w:p w14:paraId="2897948C">
            <w:pPr>
              <w:tabs>
                <w:tab w:val="center" w:pos="967"/>
              </w:tabs>
              <w:spacing w:line="400" w:lineRule="exact"/>
              <w:jc w:val="left"/>
              <w:rPr>
                <w:rFonts w:ascii="宋体" w:hAnsi="宋体" w:cs="宋体"/>
                <w:kern w:val="0"/>
                <w:sz w:val="24"/>
                <w:szCs w:val="24"/>
              </w:rPr>
            </w:pPr>
            <w:r>
              <w:rPr>
                <w:rFonts w:hint="eastAsia" w:ascii="宋体" w:hAnsi="宋体" w:cs="宋体"/>
                <w:kern w:val="0"/>
                <w:sz w:val="24"/>
                <w:szCs w:val="24"/>
              </w:rPr>
              <w:t>服务期</w:t>
            </w:r>
          </w:p>
        </w:tc>
        <w:tc>
          <w:tcPr>
            <w:tcW w:w="6855" w:type="dxa"/>
            <w:vAlign w:val="center"/>
          </w:tcPr>
          <w:p w14:paraId="4D3B83E6">
            <w:pPr>
              <w:rPr>
                <w:rFonts w:ascii="宋体" w:hAnsi="宋体" w:cs="宋体"/>
                <w:kern w:val="0"/>
                <w:sz w:val="24"/>
                <w:szCs w:val="24"/>
              </w:rPr>
            </w:pPr>
            <w:r>
              <w:rPr>
                <w:rFonts w:hint="eastAsia" w:ascii="宋体" w:hAnsi="宋体" w:cs="宋体"/>
                <w:kern w:val="0"/>
                <w:sz w:val="24"/>
                <w:szCs w:val="24"/>
              </w:rPr>
              <w:t>180日历天</w:t>
            </w:r>
          </w:p>
        </w:tc>
      </w:tr>
      <w:tr w14:paraId="78A4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28" w:type="dxa"/>
            <w:vAlign w:val="center"/>
          </w:tcPr>
          <w:p w14:paraId="2DD9B82C">
            <w:pPr>
              <w:spacing w:line="400" w:lineRule="exact"/>
              <w:jc w:val="center"/>
              <w:rPr>
                <w:rFonts w:ascii="宋体" w:hAnsi="宋体" w:cs="宋体"/>
                <w:kern w:val="0"/>
                <w:sz w:val="24"/>
                <w:szCs w:val="24"/>
              </w:rPr>
            </w:pPr>
            <w:r>
              <w:rPr>
                <w:rFonts w:hint="eastAsia" w:ascii="宋体" w:hAnsi="宋体" w:cs="宋体"/>
                <w:kern w:val="0"/>
                <w:sz w:val="24"/>
                <w:szCs w:val="24"/>
              </w:rPr>
              <w:t>8</w:t>
            </w:r>
          </w:p>
        </w:tc>
        <w:tc>
          <w:tcPr>
            <w:tcW w:w="2150" w:type="dxa"/>
            <w:vAlign w:val="center"/>
          </w:tcPr>
          <w:p w14:paraId="6583E07F">
            <w:pPr>
              <w:spacing w:line="400" w:lineRule="exact"/>
              <w:jc w:val="left"/>
            </w:pPr>
            <w:r>
              <w:rPr>
                <w:rFonts w:ascii="宋体" w:hAnsi="宋体" w:cs="宋体"/>
                <w:kern w:val="0"/>
                <w:sz w:val="24"/>
                <w:szCs w:val="24"/>
              </w:rPr>
              <w:t>供应商资质条件</w:t>
            </w:r>
          </w:p>
        </w:tc>
        <w:tc>
          <w:tcPr>
            <w:tcW w:w="6855" w:type="dxa"/>
            <w:vAlign w:val="center"/>
          </w:tcPr>
          <w:p w14:paraId="763E11E1">
            <w:pPr>
              <w:spacing w:line="400" w:lineRule="exact"/>
              <w:jc w:val="left"/>
              <w:rPr>
                <w:rFonts w:ascii="宋体" w:hAnsi="宋体" w:cs="宋体"/>
                <w:kern w:val="0"/>
                <w:sz w:val="24"/>
                <w:szCs w:val="24"/>
              </w:rPr>
            </w:pPr>
            <w:r>
              <w:rPr>
                <w:rFonts w:hint="eastAsia" w:ascii="宋体" w:hAnsi="宋体" w:cs="宋体"/>
                <w:kern w:val="0"/>
                <w:sz w:val="24"/>
                <w:szCs w:val="24"/>
              </w:rPr>
              <w:t>详见竞争性磋商公告</w:t>
            </w:r>
          </w:p>
        </w:tc>
      </w:tr>
      <w:tr w14:paraId="7E7F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28" w:type="dxa"/>
            <w:vAlign w:val="center"/>
          </w:tcPr>
          <w:p w14:paraId="4E35787E">
            <w:pPr>
              <w:spacing w:line="400" w:lineRule="exact"/>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2150" w:type="dxa"/>
            <w:vAlign w:val="center"/>
          </w:tcPr>
          <w:p w14:paraId="51A16EC1">
            <w:pPr>
              <w:spacing w:line="400" w:lineRule="exact"/>
              <w:jc w:val="left"/>
              <w:rPr>
                <w:rFonts w:ascii="宋体" w:hAnsi="宋体" w:cs="宋体"/>
                <w:color w:val="000000"/>
                <w:kern w:val="0"/>
                <w:sz w:val="24"/>
                <w:szCs w:val="24"/>
              </w:rPr>
            </w:pPr>
            <w:r>
              <w:rPr>
                <w:rFonts w:ascii="宋体" w:hAnsi="宋体" w:cs="宋体"/>
                <w:kern w:val="0"/>
                <w:sz w:val="24"/>
                <w:szCs w:val="24"/>
              </w:rPr>
              <w:t>是否接受联合体</w:t>
            </w:r>
          </w:p>
        </w:tc>
        <w:tc>
          <w:tcPr>
            <w:tcW w:w="6855" w:type="dxa"/>
            <w:vAlign w:val="center"/>
          </w:tcPr>
          <w:p w14:paraId="2F0ADDBD">
            <w:pPr>
              <w:spacing w:line="400" w:lineRule="exact"/>
              <w:jc w:val="left"/>
              <w:rPr>
                <w:rFonts w:ascii="宋体" w:hAnsi="宋体"/>
                <w:b/>
                <w:color w:val="000000"/>
                <w:sz w:val="24"/>
              </w:rPr>
            </w:pPr>
            <w:r>
              <w:rPr>
                <w:rFonts w:hint="eastAsia" w:ascii="宋体" w:hAnsi="宋体" w:cs="宋体"/>
                <w:kern w:val="0"/>
                <w:sz w:val="24"/>
                <w:szCs w:val="24"/>
              </w:rPr>
              <w:t>详见竞争性磋商公告</w:t>
            </w:r>
          </w:p>
        </w:tc>
      </w:tr>
      <w:tr w14:paraId="7953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28" w:type="dxa"/>
            <w:vAlign w:val="center"/>
          </w:tcPr>
          <w:p w14:paraId="4A28E590">
            <w:pPr>
              <w:spacing w:line="400" w:lineRule="exact"/>
              <w:jc w:val="center"/>
              <w:rPr>
                <w:rFonts w:ascii="宋体" w:hAnsi="宋体" w:cs="宋体"/>
                <w:kern w:val="0"/>
                <w:sz w:val="24"/>
                <w:szCs w:val="24"/>
              </w:rPr>
            </w:pPr>
            <w:r>
              <w:rPr>
                <w:rFonts w:hint="eastAsia" w:ascii="宋体" w:hAnsi="宋体" w:cs="宋体"/>
                <w:kern w:val="0"/>
                <w:sz w:val="24"/>
                <w:szCs w:val="24"/>
              </w:rPr>
              <w:t>10</w:t>
            </w:r>
          </w:p>
        </w:tc>
        <w:tc>
          <w:tcPr>
            <w:tcW w:w="2150" w:type="dxa"/>
            <w:vAlign w:val="center"/>
          </w:tcPr>
          <w:p w14:paraId="7B3D2763">
            <w:pPr>
              <w:spacing w:line="400" w:lineRule="exact"/>
              <w:jc w:val="left"/>
              <w:rPr>
                <w:rFonts w:ascii="宋体" w:hAnsi="宋体" w:cs="宋体"/>
                <w:kern w:val="0"/>
                <w:sz w:val="24"/>
                <w:szCs w:val="24"/>
              </w:rPr>
            </w:pPr>
            <w:r>
              <w:rPr>
                <w:rFonts w:ascii="宋体" w:hAnsi="宋体" w:cs="宋体"/>
                <w:kern w:val="0"/>
                <w:sz w:val="24"/>
                <w:szCs w:val="24"/>
              </w:rPr>
              <w:t>踏勘</w:t>
            </w:r>
            <w:r>
              <w:rPr>
                <w:rFonts w:hint="eastAsia" w:ascii="宋体" w:hAnsi="宋体" w:cs="宋体"/>
                <w:kern w:val="0"/>
                <w:sz w:val="24"/>
                <w:szCs w:val="24"/>
              </w:rPr>
              <w:t>现场</w:t>
            </w:r>
          </w:p>
        </w:tc>
        <w:tc>
          <w:tcPr>
            <w:tcW w:w="6855" w:type="dxa"/>
            <w:vAlign w:val="center"/>
          </w:tcPr>
          <w:p w14:paraId="4B63A8EE">
            <w:pPr>
              <w:pStyle w:val="18"/>
              <w:ind w:left="-45" w:leftChars="-50" w:hanging="60" w:hangingChars="25"/>
              <w:rPr>
                <w:rFonts w:ascii="宋体" w:hAnsi="宋体" w:cs="宋体"/>
                <w:kern w:val="0"/>
                <w:sz w:val="24"/>
              </w:rPr>
            </w:pPr>
            <w:r>
              <w:rPr>
                <w:rFonts w:hint="eastAsia" w:ascii="宋体" w:hAnsi="宋体" w:cs="宋体"/>
                <w:kern w:val="0"/>
                <w:sz w:val="24"/>
              </w:rPr>
              <w:t>不组织，自行踏勘。</w:t>
            </w:r>
          </w:p>
        </w:tc>
      </w:tr>
      <w:tr w14:paraId="7E50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28" w:type="dxa"/>
            <w:vAlign w:val="center"/>
          </w:tcPr>
          <w:p w14:paraId="3B7D695E">
            <w:pPr>
              <w:spacing w:line="400" w:lineRule="exact"/>
              <w:jc w:val="center"/>
              <w:rPr>
                <w:rFonts w:ascii="宋体" w:hAnsi="宋体" w:cs="宋体"/>
                <w:kern w:val="0"/>
                <w:sz w:val="24"/>
                <w:szCs w:val="24"/>
              </w:rPr>
            </w:pPr>
            <w:r>
              <w:rPr>
                <w:rFonts w:hint="eastAsia" w:ascii="宋体" w:hAnsi="宋体" w:cs="宋体"/>
                <w:kern w:val="0"/>
                <w:sz w:val="24"/>
                <w:szCs w:val="24"/>
              </w:rPr>
              <w:t>11</w:t>
            </w:r>
          </w:p>
        </w:tc>
        <w:tc>
          <w:tcPr>
            <w:tcW w:w="2150" w:type="dxa"/>
            <w:vAlign w:val="center"/>
          </w:tcPr>
          <w:p w14:paraId="6AA861CC">
            <w:pPr>
              <w:spacing w:line="400" w:lineRule="exact"/>
              <w:jc w:val="left"/>
              <w:rPr>
                <w:rFonts w:ascii="宋体" w:hAnsi="宋体" w:cs="宋体"/>
                <w:kern w:val="0"/>
                <w:sz w:val="24"/>
                <w:szCs w:val="24"/>
              </w:rPr>
            </w:pPr>
            <w:r>
              <w:rPr>
                <w:rFonts w:ascii="宋体" w:hAnsi="宋体" w:cs="宋体"/>
                <w:kern w:val="0"/>
                <w:sz w:val="24"/>
                <w:szCs w:val="24"/>
              </w:rPr>
              <w:t>投标预备会</w:t>
            </w:r>
          </w:p>
        </w:tc>
        <w:tc>
          <w:tcPr>
            <w:tcW w:w="6855" w:type="dxa"/>
            <w:vAlign w:val="center"/>
          </w:tcPr>
          <w:p w14:paraId="6A3FA742">
            <w:pPr>
              <w:pStyle w:val="11"/>
              <w:topLinePunct/>
              <w:spacing w:line="400" w:lineRule="exact"/>
              <w:jc w:val="left"/>
              <w:rPr>
                <w:rFonts w:cs="宋体"/>
                <w:kern w:val="0"/>
                <w:szCs w:val="24"/>
              </w:rPr>
            </w:pPr>
            <w:r>
              <w:rPr>
                <w:rFonts w:hint="eastAsia" w:ascii="宋体" w:hAnsi="宋体" w:eastAsia="宋体" w:cs="宋体"/>
                <w:b w:val="0"/>
                <w:kern w:val="0"/>
                <w:sz w:val="24"/>
                <w:szCs w:val="24"/>
              </w:rPr>
              <w:t>不</w:t>
            </w:r>
            <w:r>
              <w:rPr>
                <w:rFonts w:ascii="宋体" w:hAnsi="宋体" w:eastAsia="宋体" w:cs="宋体"/>
                <w:b w:val="0"/>
                <w:kern w:val="0"/>
                <w:sz w:val="24"/>
                <w:szCs w:val="24"/>
              </w:rPr>
              <w:t>召开</w:t>
            </w:r>
          </w:p>
        </w:tc>
      </w:tr>
      <w:tr w14:paraId="6A76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928" w:type="dxa"/>
            <w:vAlign w:val="center"/>
          </w:tcPr>
          <w:p w14:paraId="7E8042F3">
            <w:pPr>
              <w:spacing w:line="400" w:lineRule="exact"/>
              <w:jc w:val="center"/>
              <w:rPr>
                <w:rFonts w:ascii="宋体" w:hAnsi="宋体" w:cs="宋体"/>
                <w:kern w:val="0"/>
                <w:sz w:val="24"/>
                <w:szCs w:val="24"/>
              </w:rPr>
            </w:pPr>
            <w:r>
              <w:rPr>
                <w:rFonts w:hint="eastAsia" w:ascii="宋体" w:hAnsi="宋体" w:cs="宋体"/>
                <w:kern w:val="0"/>
                <w:sz w:val="24"/>
                <w:szCs w:val="24"/>
              </w:rPr>
              <w:t>12</w:t>
            </w:r>
          </w:p>
        </w:tc>
        <w:tc>
          <w:tcPr>
            <w:tcW w:w="2150" w:type="dxa"/>
            <w:vAlign w:val="center"/>
          </w:tcPr>
          <w:p w14:paraId="3A9CC206">
            <w:pPr>
              <w:spacing w:line="400" w:lineRule="exact"/>
              <w:jc w:val="left"/>
              <w:rPr>
                <w:rFonts w:ascii="宋体" w:hAnsi="宋体" w:cs="宋体"/>
                <w:kern w:val="0"/>
                <w:sz w:val="24"/>
                <w:szCs w:val="24"/>
              </w:rPr>
            </w:pPr>
            <w:r>
              <w:rPr>
                <w:rFonts w:ascii="宋体" w:hAnsi="宋体" w:cs="宋体"/>
                <w:kern w:val="0"/>
                <w:sz w:val="24"/>
                <w:szCs w:val="24"/>
              </w:rPr>
              <w:t>供应商提出问题的截止时间</w:t>
            </w:r>
          </w:p>
        </w:tc>
        <w:tc>
          <w:tcPr>
            <w:tcW w:w="6855" w:type="dxa"/>
            <w:vAlign w:val="center"/>
          </w:tcPr>
          <w:p w14:paraId="6C521C00">
            <w:pPr>
              <w:pStyle w:val="18"/>
              <w:ind w:left="0"/>
              <w:rPr>
                <w:rFonts w:ascii="宋体" w:hAnsi="宋体" w:cs="宋体"/>
                <w:kern w:val="0"/>
                <w:sz w:val="24"/>
              </w:rPr>
            </w:pPr>
            <w:r>
              <w:rPr>
                <w:rFonts w:hint="eastAsia" w:ascii="宋体" w:hAnsi="宋体" w:cs="宋体"/>
                <w:kern w:val="0"/>
                <w:sz w:val="24"/>
              </w:rPr>
              <w:t>投标截止时间5日前（逾期不予受理）否则视同理解和接受。</w:t>
            </w:r>
          </w:p>
        </w:tc>
      </w:tr>
      <w:tr w14:paraId="4A36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28" w:type="dxa"/>
            <w:vAlign w:val="center"/>
          </w:tcPr>
          <w:p w14:paraId="22278BAC">
            <w:pPr>
              <w:spacing w:line="400" w:lineRule="exact"/>
              <w:jc w:val="center"/>
              <w:rPr>
                <w:rFonts w:ascii="宋体" w:hAnsi="宋体" w:cs="宋体"/>
                <w:kern w:val="0"/>
                <w:sz w:val="24"/>
                <w:szCs w:val="24"/>
              </w:rPr>
            </w:pPr>
            <w:r>
              <w:rPr>
                <w:rFonts w:hint="eastAsia" w:ascii="宋体" w:hAnsi="宋体" w:cs="宋体"/>
                <w:kern w:val="0"/>
                <w:sz w:val="24"/>
                <w:szCs w:val="24"/>
              </w:rPr>
              <w:t>13</w:t>
            </w:r>
          </w:p>
        </w:tc>
        <w:tc>
          <w:tcPr>
            <w:tcW w:w="2150" w:type="dxa"/>
            <w:vAlign w:val="center"/>
          </w:tcPr>
          <w:p w14:paraId="6C747A51">
            <w:pPr>
              <w:spacing w:line="400" w:lineRule="exact"/>
              <w:jc w:val="left"/>
              <w:rPr>
                <w:rFonts w:ascii="宋体" w:hAnsi="宋体" w:cs="宋体"/>
                <w:kern w:val="0"/>
                <w:sz w:val="24"/>
                <w:szCs w:val="24"/>
              </w:rPr>
            </w:pPr>
            <w:r>
              <w:rPr>
                <w:rFonts w:ascii="宋体" w:hAnsi="宋体" w:cs="宋体"/>
                <w:kern w:val="0"/>
                <w:sz w:val="24"/>
                <w:szCs w:val="24"/>
              </w:rPr>
              <w:t>供应商提出问题的</w:t>
            </w:r>
            <w:r>
              <w:rPr>
                <w:rFonts w:hint="eastAsia" w:ascii="宋体" w:hAnsi="宋体" w:cs="宋体"/>
                <w:kern w:val="0"/>
                <w:sz w:val="24"/>
                <w:szCs w:val="24"/>
              </w:rPr>
              <w:t>方式</w:t>
            </w:r>
          </w:p>
        </w:tc>
        <w:tc>
          <w:tcPr>
            <w:tcW w:w="6855" w:type="dxa"/>
            <w:vAlign w:val="center"/>
          </w:tcPr>
          <w:p w14:paraId="1721AA5E">
            <w:pPr>
              <w:spacing w:line="400" w:lineRule="exact"/>
              <w:rPr>
                <w:rFonts w:ascii="宋体" w:hAnsi="宋体" w:cs="宋体"/>
                <w:kern w:val="0"/>
                <w:sz w:val="24"/>
                <w:szCs w:val="24"/>
              </w:rPr>
            </w:pPr>
            <w:r>
              <w:rPr>
                <w:rFonts w:hint="eastAsia" w:ascii="宋体" w:hAnsi="宋体" w:cs="宋体"/>
                <w:kern w:val="0"/>
                <w:sz w:val="24"/>
              </w:rPr>
              <w:t>提供盖章书面资料，递交给代理机构或采购人，或扫描件发送至报名邮箱（发送后电话告知代理）。</w:t>
            </w:r>
          </w:p>
        </w:tc>
      </w:tr>
      <w:tr w14:paraId="17CF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 w:type="dxa"/>
            <w:vAlign w:val="center"/>
          </w:tcPr>
          <w:p w14:paraId="2F5791C7">
            <w:pPr>
              <w:spacing w:line="400" w:lineRule="exact"/>
              <w:jc w:val="center"/>
              <w:rPr>
                <w:rFonts w:ascii="宋体" w:hAnsi="宋体" w:cs="宋体"/>
                <w:kern w:val="0"/>
                <w:sz w:val="24"/>
                <w:szCs w:val="24"/>
              </w:rPr>
            </w:pPr>
            <w:r>
              <w:rPr>
                <w:rFonts w:hint="eastAsia" w:ascii="宋体" w:hAnsi="宋体" w:cs="宋体"/>
                <w:kern w:val="0"/>
                <w:sz w:val="24"/>
                <w:szCs w:val="24"/>
              </w:rPr>
              <w:t>14</w:t>
            </w:r>
          </w:p>
        </w:tc>
        <w:tc>
          <w:tcPr>
            <w:tcW w:w="2150" w:type="dxa"/>
            <w:vAlign w:val="center"/>
          </w:tcPr>
          <w:p w14:paraId="5D0BEA8C">
            <w:pPr>
              <w:spacing w:line="400" w:lineRule="exact"/>
              <w:jc w:val="left"/>
              <w:rPr>
                <w:rFonts w:ascii="宋体" w:hAnsi="宋体" w:cs="宋体"/>
                <w:kern w:val="0"/>
                <w:sz w:val="24"/>
                <w:szCs w:val="24"/>
              </w:rPr>
            </w:pPr>
            <w:r>
              <w:rPr>
                <w:rFonts w:hint="eastAsia" w:ascii="宋体" w:hAnsi="宋体"/>
                <w:bCs/>
                <w:sz w:val="24"/>
              </w:rPr>
              <w:t>疑问的答疑获取</w:t>
            </w:r>
          </w:p>
        </w:tc>
        <w:tc>
          <w:tcPr>
            <w:tcW w:w="6855" w:type="dxa"/>
            <w:vAlign w:val="center"/>
          </w:tcPr>
          <w:p w14:paraId="12C910FE">
            <w:pPr>
              <w:spacing w:line="400" w:lineRule="exact"/>
              <w:jc w:val="left"/>
              <w:rPr>
                <w:rFonts w:ascii="宋体" w:hAnsi="宋体" w:cs="宋体"/>
                <w:kern w:val="0"/>
                <w:sz w:val="24"/>
              </w:rPr>
            </w:pPr>
            <w:r>
              <w:rPr>
                <w:rFonts w:hint="eastAsia" w:ascii="宋体" w:hAnsi="宋体" w:cs="宋体"/>
                <w:bCs/>
                <w:sz w:val="24"/>
              </w:rPr>
              <w:t>关于本项目的变更、答疑等信息将在</w:t>
            </w:r>
            <w:r>
              <w:rPr>
                <w:rFonts w:hint="eastAsia" w:cs="宋体"/>
                <w:sz w:val="24"/>
                <w:szCs w:val="32"/>
              </w:rPr>
              <w:t>淮南经济技术（网址：http://jkq.huainan.gov.cn/）</w:t>
            </w:r>
            <w:r>
              <w:rPr>
                <w:rFonts w:hint="eastAsia" w:ascii="宋体" w:hAnsi="宋体" w:cs="宋体"/>
                <w:bCs/>
                <w:sz w:val="24"/>
              </w:rPr>
              <w:t>网上发布，请投标供应商随时关注网上信息。如因投标供应商没有及时关注网站信息造成的后果由投标供应商自行承担。</w:t>
            </w:r>
          </w:p>
        </w:tc>
      </w:tr>
      <w:tr w14:paraId="4015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28" w:type="dxa"/>
            <w:vAlign w:val="center"/>
          </w:tcPr>
          <w:p w14:paraId="5A6A6F14">
            <w:pPr>
              <w:spacing w:line="400" w:lineRule="exact"/>
              <w:jc w:val="center"/>
              <w:rPr>
                <w:rFonts w:ascii="宋体" w:hAnsi="宋体" w:cs="宋体"/>
                <w:kern w:val="0"/>
                <w:sz w:val="24"/>
                <w:szCs w:val="24"/>
              </w:rPr>
            </w:pPr>
            <w:r>
              <w:rPr>
                <w:rFonts w:hint="eastAsia" w:ascii="宋体" w:hAnsi="宋体" w:cs="宋体"/>
                <w:kern w:val="0"/>
                <w:sz w:val="24"/>
                <w:szCs w:val="24"/>
              </w:rPr>
              <w:t>15</w:t>
            </w:r>
          </w:p>
        </w:tc>
        <w:tc>
          <w:tcPr>
            <w:tcW w:w="2150" w:type="dxa"/>
            <w:vAlign w:val="center"/>
          </w:tcPr>
          <w:p w14:paraId="35A69EF0">
            <w:pPr>
              <w:pStyle w:val="11"/>
              <w:topLinePunct/>
              <w:spacing w:line="400" w:lineRule="exact"/>
              <w:jc w:val="left"/>
              <w:rPr>
                <w:rFonts w:ascii="宋体" w:hAnsi="宋体" w:cs="宋体"/>
                <w:kern w:val="0"/>
                <w:sz w:val="24"/>
                <w:szCs w:val="24"/>
              </w:rPr>
            </w:pPr>
            <w:r>
              <w:rPr>
                <w:rFonts w:hint="eastAsia" w:ascii="宋体" w:hAnsi="宋体" w:eastAsia="宋体" w:cs="宋体"/>
                <w:b w:val="0"/>
                <w:kern w:val="0"/>
                <w:sz w:val="24"/>
                <w:szCs w:val="24"/>
              </w:rPr>
              <w:t>偏离</w:t>
            </w:r>
          </w:p>
        </w:tc>
        <w:tc>
          <w:tcPr>
            <w:tcW w:w="6855" w:type="dxa"/>
            <w:vAlign w:val="center"/>
          </w:tcPr>
          <w:p w14:paraId="05AC15A3">
            <w:pPr>
              <w:spacing w:line="400" w:lineRule="exact"/>
              <w:jc w:val="left"/>
              <w:rPr>
                <w:rFonts w:cs="宋体"/>
                <w:kern w:val="0"/>
                <w:szCs w:val="24"/>
              </w:rPr>
            </w:pPr>
            <w:r>
              <w:rPr>
                <w:rFonts w:hint="eastAsia" w:ascii="宋体" w:hAnsi="宋体" w:cs="宋体"/>
                <w:kern w:val="0"/>
                <w:sz w:val="24"/>
                <w:szCs w:val="24"/>
              </w:rPr>
              <w:t>/</w:t>
            </w:r>
          </w:p>
        </w:tc>
      </w:tr>
      <w:tr w14:paraId="0F86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8" w:type="dxa"/>
            <w:vAlign w:val="center"/>
          </w:tcPr>
          <w:p w14:paraId="5CBB8E77">
            <w:pPr>
              <w:spacing w:line="400" w:lineRule="exact"/>
              <w:jc w:val="center"/>
              <w:rPr>
                <w:rFonts w:ascii="宋体" w:hAnsi="宋体" w:cs="宋体"/>
                <w:kern w:val="0"/>
                <w:sz w:val="24"/>
                <w:szCs w:val="24"/>
              </w:rPr>
            </w:pPr>
            <w:r>
              <w:rPr>
                <w:rFonts w:hint="eastAsia" w:ascii="宋体" w:hAnsi="宋体" w:cs="宋体"/>
                <w:kern w:val="0"/>
                <w:sz w:val="24"/>
                <w:szCs w:val="24"/>
              </w:rPr>
              <w:t>16</w:t>
            </w:r>
          </w:p>
        </w:tc>
        <w:tc>
          <w:tcPr>
            <w:tcW w:w="2150" w:type="dxa"/>
            <w:vAlign w:val="center"/>
          </w:tcPr>
          <w:p w14:paraId="77377B2F">
            <w:pPr>
              <w:spacing w:line="400" w:lineRule="exact"/>
              <w:jc w:val="left"/>
              <w:rPr>
                <w:rFonts w:ascii="宋体" w:hAnsi="宋体" w:cs="宋体"/>
                <w:kern w:val="0"/>
                <w:sz w:val="24"/>
                <w:szCs w:val="24"/>
              </w:rPr>
            </w:pPr>
            <w:r>
              <w:rPr>
                <w:rFonts w:ascii="宋体" w:hAnsi="宋体" w:cs="宋体"/>
                <w:kern w:val="0"/>
                <w:sz w:val="24"/>
                <w:szCs w:val="24"/>
              </w:rPr>
              <w:t>构成竞争性磋商文件的其他材料</w:t>
            </w:r>
          </w:p>
        </w:tc>
        <w:tc>
          <w:tcPr>
            <w:tcW w:w="6855" w:type="dxa"/>
            <w:vAlign w:val="center"/>
          </w:tcPr>
          <w:p w14:paraId="092C5FAF">
            <w:pPr>
              <w:spacing w:line="400" w:lineRule="exact"/>
              <w:jc w:val="left"/>
              <w:rPr>
                <w:rFonts w:ascii="宋体" w:hAnsi="宋体" w:cs="宋体"/>
                <w:color w:val="FF0000"/>
                <w:kern w:val="0"/>
                <w:sz w:val="24"/>
                <w:szCs w:val="24"/>
              </w:rPr>
            </w:pPr>
            <w:r>
              <w:rPr>
                <w:rFonts w:hint="eastAsia" w:ascii="宋体" w:hAnsi="宋体" w:cs="宋体"/>
                <w:kern w:val="0"/>
                <w:sz w:val="24"/>
                <w:szCs w:val="24"/>
              </w:rPr>
              <w:t>澄清文件、答疑文件</w:t>
            </w:r>
          </w:p>
        </w:tc>
      </w:tr>
      <w:tr w14:paraId="7B5E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8" w:type="dxa"/>
            <w:vAlign w:val="center"/>
          </w:tcPr>
          <w:p w14:paraId="208FC0E7">
            <w:pPr>
              <w:spacing w:line="400" w:lineRule="exact"/>
              <w:jc w:val="center"/>
              <w:rPr>
                <w:rFonts w:ascii="宋体" w:hAnsi="宋体" w:cs="宋体"/>
                <w:kern w:val="0"/>
                <w:sz w:val="24"/>
                <w:szCs w:val="24"/>
              </w:rPr>
            </w:pPr>
            <w:r>
              <w:rPr>
                <w:rFonts w:hint="eastAsia" w:ascii="宋体" w:hAnsi="宋体" w:cs="宋体"/>
                <w:kern w:val="0"/>
                <w:sz w:val="24"/>
                <w:szCs w:val="24"/>
              </w:rPr>
              <w:t>17</w:t>
            </w:r>
          </w:p>
        </w:tc>
        <w:tc>
          <w:tcPr>
            <w:tcW w:w="2150" w:type="dxa"/>
            <w:vAlign w:val="center"/>
          </w:tcPr>
          <w:p w14:paraId="284D631D">
            <w:pPr>
              <w:spacing w:line="400" w:lineRule="exact"/>
              <w:jc w:val="left"/>
              <w:rPr>
                <w:rFonts w:ascii="宋体" w:hAnsi="宋体" w:cs="宋体"/>
                <w:kern w:val="0"/>
                <w:sz w:val="24"/>
                <w:szCs w:val="24"/>
              </w:rPr>
            </w:pPr>
            <w:r>
              <w:rPr>
                <w:rFonts w:hint="eastAsia" w:ascii="宋体" w:hAnsi="宋体" w:cs="宋体"/>
                <w:kern w:val="0"/>
                <w:sz w:val="24"/>
                <w:szCs w:val="24"/>
              </w:rPr>
              <w:t>磋商有效期</w:t>
            </w:r>
          </w:p>
        </w:tc>
        <w:tc>
          <w:tcPr>
            <w:tcW w:w="6855" w:type="dxa"/>
            <w:vAlign w:val="center"/>
          </w:tcPr>
          <w:p w14:paraId="56FD844A">
            <w:pPr>
              <w:spacing w:line="400" w:lineRule="exact"/>
              <w:jc w:val="left"/>
              <w:rPr>
                <w:rFonts w:ascii="宋体" w:hAnsi="宋体" w:cs="宋体"/>
                <w:kern w:val="0"/>
                <w:sz w:val="24"/>
                <w:szCs w:val="24"/>
              </w:rPr>
            </w:pPr>
            <w:r>
              <w:rPr>
                <w:rFonts w:hint="eastAsia" w:ascii="宋体" w:hAnsi="宋体" w:cs="宋体"/>
                <w:kern w:val="0"/>
                <w:sz w:val="24"/>
                <w:szCs w:val="24"/>
              </w:rPr>
              <w:t>从磋商响应文件提交截止之日起</w:t>
            </w:r>
            <w:r>
              <w:rPr>
                <w:rFonts w:ascii="宋体" w:hAnsi="宋体" w:cs="宋体"/>
                <w:kern w:val="0"/>
                <w:sz w:val="24"/>
                <w:szCs w:val="24"/>
              </w:rPr>
              <w:t>6</w:t>
            </w:r>
            <w:r>
              <w:rPr>
                <w:rFonts w:hint="eastAsia" w:ascii="宋体" w:hAnsi="宋体" w:cs="宋体"/>
                <w:kern w:val="0"/>
                <w:sz w:val="24"/>
                <w:szCs w:val="24"/>
              </w:rPr>
              <w:t>0日历天</w:t>
            </w:r>
          </w:p>
        </w:tc>
      </w:tr>
      <w:tr w14:paraId="78C5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8" w:type="dxa"/>
            <w:vAlign w:val="center"/>
          </w:tcPr>
          <w:p w14:paraId="4F2E4A78">
            <w:pPr>
              <w:spacing w:line="400" w:lineRule="exact"/>
              <w:jc w:val="center"/>
              <w:rPr>
                <w:rFonts w:ascii="宋体" w:hAnsi="宋体" w:cs="宋体"/>
                <w:kern w:val="0"/>
                <w:sz w:val="24"/>
                <w:szCs w:val="24"/>
              </w:rPr>
            </w:pPr>
            <w:r>
              <w:rPr>
                <w:rFonts w:hint="eastAsia" w:ascii="宋体" w:hAnsi="宋体" w:cs="宋体"/>
                <w:kern w:val="0"/>
                <w:sz w:val="24"/>
                <w:szCs w:val="24"/>
              </w:rPr>
              <w:t>18</w:t>
            </w:r>
          </w:p>
        </w:tc>
        <w:tc>
          <w:tcPr>
            <w:tcW w:w="2150" w:type="dxa"/>
            <w:vAlign w:val="center"/>
          </w:tcPr>
          <w:p w14:paraId="5A78C8A2">
            <w:pPr>
              <w:spacing w:line="400" w:lineRule="exact"/>
              <w:jc w:val="left"/>
              <w:rPr>
                <w:rFonts w:ascii="宋体" w:hAnsi="宋体" w:cs="宋体"/>
                <w:kern w:val="0"/>
                <w:sz w:val="24"/>
                <w:szCs w:val="24"/>
              </w:rPr>
            </w:pPr>
            <w:r>
              <w:rPr>
                <w:rFonts w:hint="eastAsia" w:ascii="宋体" w:hAnsi="宋体" w:cs="宋体"/>
                <w:kern w:val="0"/>
                <w:sz w:val="24"/>
                <w:szCs w:val="24"/>
              </w:rPr>
              <w:t>投标保证金</w:t>
            </w:r>
          </w:p>
        </w:tc>
        <w:tc>
          <w:tcPr>
            <w:tcW w:w="6855" w:type="dxa"/>
            <w:vAlign w:val="center"/>
          </w:tcPr>
          <w:p w14:paraId="70AE2897">
            <w:pPr>
              <w:spacing w:line="400" w:lineRule="exact"/>
              <w:jc w:val="left"/>
              <w:rPr>
                <w:rFonts w:ascii="宋体" w:hAnsi="宋体" w:cs="宋体"/>
                <w:kern w:val="0"/>
                <w:sz w:val="24"/>
                <w:szCs w:val="24"/>
              </w:rPr>
            </w:pPr>
            <w:r>
              <w:rPr>
                <w:rFonts w:hint="eastAsia" w:ascii="宋体" w:hAnsi="宋体" w:cs="宋体"/>
                <w:b/>
                <w:bCs/>
                <w:kern w:val="0"/>
                <w:sz w:val="24"/>
                <w:szCs w:val="24"/>
              </w:rPr>
              <w:t>本项目无需缴纳投标保证金</w:t>
            </w:r>
          </w:p>
        </w:tc>
      </w:tr>
      <w:tr w14:paraId="0B69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28" w:type="dxa"/>
            <w:vAlign w:val="center"/>
          </w:tcPr>
          <w:p w14:paraId="2E0E6C39">
            <w:pPr>
              <w:spacing w:line="400" w:lineRule="exact"/>
              <w:jc w:val="center"/>
              <w:rPr>
                <w:rFonts w:ascii="宋体" w:hAnsi="宋体" w:cs="宋体"/>
                <w:kern w:val="0"/>
                <w:sz w:val="24"/>
                <w:szCs w:val="24"/>
              </w:rPr>
            </w:pPr>
            <w:r>
              <w:rPr>
                <w:rFonts w:hint="eastAsia" w:ascii="宋体" w:hAnsi="宋体" w:cs="宋体"/>
                <w:kern w:val="0"/>
                <w:sz w:val="24"/>
                <w:szCs w:val="24"/>
              </w:rPr>
              <w:t>19</w:t>
            </w:r>
          </w:p>
        </w:tc>
        <w:tc>
          <w:tcPr>
            <w:tcW w:w="2150" w:type="dxa"/>
            <w:vAlign w:val="center"/>
          </w:tcPr>
          <w:p w14:paraId="501B4A95">
            <w:pPr>
              <w:spacing w:line="400" w:lineRule="exact"/>
              <w:jc w:val="left"/>
              <w:rPr>
                <w:rFonts w:ascii="宋体" w:hAnsi="宋体" w:cs="宋体"/>
                <w:kern w:val="0"/>
                <w:sz w:val="24"/>
                <w:szCs w:val="24"/>
              </w:rPr>
            </w:pPr>
            <w:r>
              <w:rPr>
                <w:rFonts w:hint="eastAsia" w:ascii="宋体" w:hAnsi="宋体" w:cs="宋体"/>
                <w:kern w:val="0"/>
                <w:sz w:val="24"/>
                <w:szCs w:val="24"/>
              </w:rPr>
              <w:t>资格审查方式</w:t>
            </w:r>
          </w:p>
        </w:tc>
        <w:tc>
          <w:tcPr>
            <w:tcW w:w="6855" w:type="dxa"/>
            <w:vAlign w:val="center"/>
          </w:tcPr>
          <w:p w14:paraId="74658609">
            <w:pPr>
              <w:spacing w:line="400" w:lineRule="exact"/>
              <w:jc w:val="left"/>
              <w:rPr>
                <w:rFonts w:ascii="宋体" w:hAnsi="宋体" w:cs="宋体"/>
                <w:kern w:val="0"/>
                <w:sz w:val="24"/>
                <w:szCs w:val="24"/>
              </w:rPr>
            </w:pPr>
            <w:r>
              <w:rPr>
                <w:rFonts w:hint="eastAsia" w:ascii="宋体" w:hAnsi="宋体" w:cs="宋体"/>
                <w:kern w:val="0"/>
                <w:sz w:val="24"/>
                <w:szCs w:val="24"/>
              </w:rPr>
              <w:t>资格后审</w:t>
            </w:r>
          </w:p>
        </w:tc>
      </w:tr>
      <w:tr w14:paraId="0A881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28" w:type="dxa"/>
            <w:vAlign w:val="center"/>
          </w:tcPr>
          <w:p w14:paraId="46595DE8">
            <w:pPr>
              <w:spacing w:line="400" w:lineRule="exact"/>
              <w:jc w:val="center"/>
              <w:rPr>
                <w:rFonts w:ascii="宋体" w:hAnsi="宋体" w:cs="宋体"/>
                <w:kern w:val="0"/>
                <w:sz w:val="24"/>
                <w:szCs w:val="24"/>
              </w:rPr>
            </w:pPr>
            <w:r>
              <w:rPr>
                <w:rFonts w:hint="eastAsia" w:ascii="宋体" w:hAnsi="宋体" w:cs="宋体"/>
                <w:kern w:val="0"/>
                <w:sz w:val="24"/>
                <w:szCs w:val="24"/>
              </w:rPr>
              <w:t>20</w:t>
            </w:r>
          </w:p>
        </w:tc>
        <w:tc>
          <w:tcPr>
            <w:tcW w:w="2150" w:type="dxa"/>
            <w:vAlign w:val="center"/>
          </w:tcPr>
          <w:p w14:paraId="44181E2C">
            <w:pPr>
              <w:spacing w:line="400" w:lineRule="exact"/>
              <w:jc w:val="left"/>
              <w:rPr>
                <w:rFonts w:ascii="宋体" w:hAnsi="宋体" w:cs="宋体"/>
                <w:kern w:val="0"/>
                <w:sz w:val="24"/>
                <w:szCs w:val="24"/>
              </w:rPr>
            </w:pPr>
            <w:r>
              <w:rPr>
                <w:rFonts w:ascii="宋体" w:hAnsi="宋体" w:cs="宋体"/>
                <w:kern w:val="0"/>
                <w:sz w:val="24"/>
                <w:szCs w:val="24"/>
              </w:rPr>
              <w:t>是否允许</w:t>
            </w:r>
            <w:r>
              <w:rPr>
                <w:rFonts w:hint="eastAsia" w:ascii="宋体" w:hAnsi="宋体" w:cs="宋体"/>
                <w:kern w:val="0"/>
                <w:sz w:val="24"/>
                <w:szCs w:val="24"/>
              </w:rPr>
              <w:t>提交备</w:t>
            </w:r>
            <w:r>
              <w:rPr>
                <w:rFonts w:ascii="宋体" w:hAnsi="宋体" w:cs="宋体"/>
                <w:kern w:val="0"/>
                <w:sz w:val="24"/>
                <w:szCs w:val="24"/>
              </w:rPr>
              <w:t>选投标方案</w:t>
            </w:r>
          </w:p>
        </w:tc>
        <w:tc>
          <w:tcPr>
            <w:tcW w:w="6855" w:type="dxa"/>
            <w:vAlign w:val="center"/>
          </w:tcPr>
          <w:p w14:paraId="53E1454B">
            <w:pPr>
              <w:pStyle w:val="11"/>
              <w:topLinePunct/>
              <w:spacing w:line="400" w:lineRule="exact"/>
              <w:jc w:val="left"/>
              <w:rPr>
                <w:rFonts w:ascii="宋体" w:hAnsi="宋体" w:cs="宋体"/>
                <w:kern w:val="0"/>
                <w:sz w:val="24"/>
                <w:szCs w:val="24"/>
              </w:rPr>
            </w:pPr>
            <w:r>
              <w:rPr>
                <w:rFonts w:hint="eastAsia" w:ascii="宋体" w:hAnsi="宋体" w:eastAsia="宋体" w:cs="宋体"/>
                <w:b w:val="0"/>
                <w:kern w:val="0"/>
                <w:sz w:val="24"/>
                <w:szCs w:val="24"/>
              </w:rPr>
              <w:t>不允许</w:t>
            </w:r>
          </w:p>
        </w:tc>
      </w:tr>
      <w:tr w14:paraId="6CBF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28" w:type="dxa"/>
            <w:vAlign w:val="center"/>
          </w:tcPr>
          <w:p w14:paraId="45962E63">
            <w:pPr>
              <w:spacing w:line="400" w:lineRule="exact"/>
              <w:jc w:val="center"/>
              <w:rPr>
                <w:rFonts w:ascii="宋体" w:hAnsi="宋体" w:cs="宋体"/>
                <w:kern w:val="0"/>
                <w:sz w:val="24"/>
                <w:szCs w:val="24"/>
              </w:rPr>
            </w:pPr>
            <w:r>
              <w:rPr>
                <w:rFonts w:hint="eastAsia" w:ascii="宋体" w:hAnsi="宋体" w:cs="宋体"/>
                <w:kern w:val="0"/>
                <w:sz w:val="24"/>
                <w:szCs w:val="24"/>
              </w:rPr>
              <w:t>21</w:t>
            </w:r>
          </w:p>
        </w:tc>
        <w:tc>
          <w:tcPr>
            <w:tcW w:w="2150" w:type="dxa"/>
            <w:vAlign w:val="center"/>
          </w:tcPr>
          <w:p w14:paraId="6CAC633F">
            <w:pPr>
              <w:spacing w:line="400" w:lineRule="exact"/>
              <w:jc w:val="left"/>
              <w:rPr>
                <w:rFonts w:ascii="宋体" w:hAnsi="宋体" w:cs="宋体"/>
                <w:kern w:val="0"/>
                <w:sz w:val="24"/>
                <w:szCs w:val="24"/>
              </w:rPr>
            </w:pPr>
            <w:r>
              <w:rPr>
                <w:rFonts w:ascii="宋体" w:hAnsi="宋体" w:cs="宋体"/>
                <w:kern w:val="0"/>
                <w:sz w:val="24"/>
                <w:szCs w:val="24"/>
              </w:rPr>
              <w:t>签字或盖章要求</w:t>
            </w:r>
          </w:p>
        </w:tc>
        <w:tc>
          <w:tcPr>
            <w:tcW w:w="6855" w:type="dxa"/>
            <w:vAlign w:val="center"/>
          </w:tcPr>
          <w:p w14:paraId="4727E334">
            <w:pPr>
              <w:spacing w:line="400" w:lineRule="exact"/>
              <w:jc w:val="left"/>
              <w:rPr>
                <w:rFonts w:ascii="宋体" w:hAnsi="宋体" w:cs="宋体"/>
                <w:kern w:val="0"/>
                <w:sz w:val="24"/>
                <w:szCs w:val="24"/>
              </w:rPr>
            </w:pPr>
            <w:r>
              <w:rPr>
                <w:rFonts w:hint="eastAsia" w:ascii="宋体" w:hAnsi="宋体" w:cs="宋体"/>
                <w:kern w:val="0"/>
                <w:sz w:val="24"/>
                <w:szCs w:val="24"/>
              </w:rPr>
              <w:t>按本竞争性磋商文件规定</w:t>
            </w:r>
          </w:p>
        </w:tc>
      </w:tr>
      <w:tr w14:paraId="017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28" w:type="dxa"/>
            <w:vAlign w:val="center"/>
          </w:tcPr>
          <w:p w14:paraId="5E964065">
            <w:pPr>
              <w:spacing w:line="400" w:lineRule="exact"/>
              <w:jc w:val="center"/>
              <w:rPr>
                <w:rFonts w:ascii="宋体" w:hAnsi="宋体" w:cs="宋体"/>
                <w:kern w:val="0"/>
                <w:sz w:val="24"/>
                <w:szCs w:val="24"/>
              </w:rPr>
            </w:pPr>
            <w:r>
              <w:rPr>
                <w:rFonts w:hint="eastAsia" w:ascii="宋体" w:hAnsi="宋体" w:cs="宋体"/>
                <w:kern w:val="0"/>
                <w:sz w:val="24"/>
                <w:szCs w:val="24"/>
              </w:rPr>
              <w:t>22</w:t>
            </w:r>
          </w:p>
        </w:tc>
        <w:tc>
          <w:tcPr>
            <w:tcW w:w="2150" w:type="dxa"/>
            <w:vAlign w:val="center"/>
          </w:tcPr>
          <w:p w14:paraId="69C25148">
            <w:pPr>
              <w:spacing w:line="400" w:lineRule="exact"/>
              <w:jc w:val="left"/>
              <w:rPr>
                <w:rFonts w:ascii="宋体" w:hAnsi="宋体" w:cs="宋体"/>
                <w:kern w:val="0"/>
                <w:sz w:val="24"/>
                <w:szCs w:val="24"/>
              </w:rPr>
            </w:pPr>
            <w:r>
              <w:rPr>
                <w:rFonts w:ascii="宋体" w:hAnsi="宋体" w:cs="宋体"/>
                <w:kern w:val="0"/>
                <w:sz w:val="24"/>
                <w:szCs w:val="24"/>
              </w:rPr>
              <w:t>磋商响应文件份数</w:t>
            </w:r>
          </w:p>
        </w:tc>
        <w:tc>
          <w:tcPr>
            <w:tcW w:w="6855" w:type="dxa"/>
            <w:vAlign w:val="center"/>
          </w:tcPr>
          <w:p w14:paraId="47BC3CE2">
            <w:pPr>
              <w:spacing w:line="400" w:lineRule="exact"/>
              <w:jc w:val="left"/>
              <w:rPr>
                <w:rFonts w:cs="宋体"/>
                <w:b/>
                <w:kern w:val="0"/>
                <w:szCs w:val="24"/>
              </w:rPr>
            </w:pPr>
            <w:r>
              <w:rPr>
                <w:rFonts w:hint="eastAsia" w:ascii="宋体" w:hAnsi="宋体" w:cs="宋体"/>
                <w:b/>
                <w:bCs/>
                <w:kern w:val="0"/>
                <w:sz w:val="24"/>
                <w:szCs w:val="24"/>
                <w:lang w:val="zh-CN"/>
              </w:rPr>
              <w:t>正本壹份、副本</w:t>
            </w:r>
            <w:r>
              <w:rPr>
                <w:rFonts w:hint="eastAsia" w:ascii="宋体" w:hAnsi="宋体" w:cs="宋体"/>
                <w:b/>
                <w:bCs/>
                <w:kern w:val="0"/>
                <w:sz w:val="24"/>
                <w:szCs w:val="24"/>
              </w:rPr>
              <w:t>贰</w:t>
            </w:r>
            <w:r>
              <w:rPr>
                <w:rFonts w:hint="eastAsia" w:ascii="宋体" w:hAnsi="宋体" w:cs="宋体"/>
                <w:b/>
                <w:bCs/>
                <w:kern w:val="0"/>
                <w:sz w:val="24"/>
                <w:szCs w:val="24"/>
                <w:lang w:val="zh-CN"/>
              </w:rPr>
              <w:t>份；电子版光盘或U盘一份</w:t>
            </w:r>
            <w:r>
              <w:rPr>
                <w:rFonts w:hint="eastAsia" w:ascii="宋体" w:hAnsi="宋体" w:cs="宋体"/>
                <w:kern w:val="0"/>
                <w:sz w:val="24"/>
                <w:szCs w:val="24"/>
                <w:lang w:val="zh-CN"/>
              </w:rPr>
              <w:t>（提供一份与书面投标文件一致</w:t>
            </w:r>
            <w:r>
              <w:rPr>
                <w:rFonts w:hint="eastAsia" w:ascii="宋体" w:hAnsi="宋体" w:cs="宋体"/>
                <w:kern w:val="0"/>
                <w:sz w:val="24"/>
                <w:szCs w:val="24"/>
              </w:rPr>
              <w:t>的标书电子版</w:t>
            </w:r>
            <w:r>
              <w:rPr>
                <w:rFonts w:hint="eastAsia" w:ascii="宋体" w:hAnsi="宋体" w:cs="宋体"/>
                <w:kern w:val="0"/>
                <w:sz w:val="24"/>
                <w:szCs w:val="24"/>
                <w:lang w:val="zh-CN"/>
              </w:rPr>
              <w:t>），</w:t>
            </w:r>
            <w:r>
              <w:rPr>
                <w:rFonts w:hint="eastAsia" w:ascii="宋体" w:hAnsi="宋体" w:cs="宋体"/>
                <w:kern w:val="0"/>
                <w:sz w:val="24"/>
                <w:szCs w:val="24"/>
              </w:rPr>
              <w:t>密封递交</w:t>
            </w:r>
            <w:r>
              <w:rPr>
                <w:rFonts w:hint="eastAsia" w:ascii="宋体" w:hAnsi="宋体" w:cs="宋体"/>
                <w:kern w:val="0"/>
                <w:sz w:val="24"/>
                <w:szCs w:val="24"/>
                <w:lang w:val="zh-CN"/>
              </w:rPr>
              <w:t>，否则视为无效标书。</w:t>
            </w:r>
          </w:p>
        </w:tc>
      </w:tr>
      <w:tr w14:paraId="1C12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8" w:type="dxa"/>
            <w:vAlign w:val="center"/>
          </w:tcPr>
          <w:p w14:paraId="2222331C">
            <w:pPr>
              <w:spacing w:line="400" w:lineRule="exact"/>
              <w:jc w:val="center"/>
              <w:rPr>
                <w:rFonts w:ascii="宋体" w:hAnsi="宋体" w:cs="宋体"/>
                <w:kern w:val="0"/>
                <w:sz w:val="24"/>
                <w:szCs w:val="24"/>
              </w:rPr>
            </w:pPr>
            <w:r>
              <w:rPr>
                <w:rFonts w:hint="eastAsia" w:ascii="宋体" w:hAnsi="宋体" w:cs="宋体"/>
                <w:kern w:val="0"/>
                <w:sz w:val="24"/>
                <w:szCs w:val="24"/>
              </w:rPr>
              <w:t>23</w:t>
            </w:r>
          </w:p>
        </w:tc>
        <w:tc>
          <w:tcPr>
            <w:tcW w:w="2150" w:type="dxa"/>
            <w:vAlign w:val="center"/>
          </w:tcPr>
          <w:p w14:paraId="2E2AE3BF">
            <w:pPr>
              <w:spacing w:line="400" w:lineRule="exact"/>
              <w:jc w:val="left"/>
              <w:rPr>
                <w:rFonts w:ascii="宋体" w:hAnsi="宋体" w:cs="宋体"/>
                <w:kern w:val="0"/>
                <w:sz w:val="24"/>
                <w:szCs w:val="24"/>
              </w:rPr>
            </w:pPr>
            <w:r>
              <w:rPr>
                <w:rFonts w:ascii="宋体" w:hAnsi="宋体" w:cs="宋体"/>
                <w:kern w:val="0"/>
                <w:sz w:val="24"/>
                <w:szCs w:val="24"/>
              </w:rPr>
              <w:t>装订要求</w:t>
            </w:r>
          </w:p>
        </w:tc>
        <w:tc>
          <w:tcPr>
            <w:tcW w:w="6855" w:type="dxa"/>
            <w:vAlign w:val="center"/>
          </w:tcPr>
          <w:p w14:paraId="499B41CF">
            <w:pPr>
              <w:spacing w:line="400" w:lineRule="exact"/>
              <w:jc w:val="left"/>
              <w:rPr>
                <w:rFonts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所有投标文件按规定分别制作正本和副本，</w:t>
            </w:r>
            <w:r>
              <w:rPr>
                <w:rFonts w:hint="eastAsia" w:ascii="宋体" w:hAnsi="宋体" w:cs="宋体"/>
                <w:kern w:val="0"/>
                <w:sz w:val="24"/>
                <w:szCs w:val="24"/>
              </w:rPr>
              <w:t>胶装密封</w:t>
            </w:r>
            <w:r>
              <w:rPr>
                <w:rFonts w:hint="eastAsia" w:ascii="宋体" w:hAnsi="宋体" w:cs="宋体"/>
                <w:kern w:val="0"/>
                <w:sz w:val="24"/>
                <w:szCs w:val="24"/>
                <w:lang w:val="zh-CN"/>
              </w:rPr>
              <w:t xml:space="preserve">。 </w:t>
            </w:r>
          </w:p>
          <w:p w14:paraId="3A65C256">
            <w:pPr>
              <w:spacing w:line="400" w:lineRule="exact"/>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val="zh-CN"/>
              </w:rPr>
              <w:t>、如果投标文件没有按规定装订和密封，</w:t>
            </w:r>
            <w:r>
              <w:rPr>
                <w:rFonts w:hint="eastAsia" w:ascii="宋体" w:hAnsi="宋体" w:cs="宋体"/>
                <w:kern w:val="0"/>
                <w:sz w:val="24"/>
                <w:szCs w:val="24"/>
              </w:rPr>
              <w:t>将视为无效标书</w:t>
            </w:r>
            <w:r>
              <w:rPr>
                <w:rFonts w:hint="eastAsia" w:ascii="宋体" w:hAnsi="宋体" w:cs="宋体"/>
                <w:kern w:val="0"/>
                <w:sz w:val="24"/>
                <w:szCs w:val="24"/>
                <w:lang w:val="zh-CN"/>
              </w:rPr>
              <w:t>。</w:t>
            </w:r>
          </w:p>
        </w:tc>
      </w:tr>
      <w:tr w14:paraId="7031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28" w:type="dxa"/>
            <w:vAlign w:val="center"/>
          </w:tcPr>
          <w:p w14:paraId="144DAB31">
            <w:pPr>
              <w:spacing w:line="400" w:lineRule="exact"/>
              <w:jc w:val="center"/>
              <w:rPr>
                <w:rFonts w:ascii="宋体" w:hAnsi="宋体" w:cs="宋体"/>
                <w:kern w:val="0"/>
                <w:sz w:val="24"/>
                <w:szCs w:val="24"/>
              </w:rPr>
            </w:pPr>
            <w:r>
              <w:rPr>
                <w:rFonts w:hint="eastAsia" w:ascii="宋体" w:hAnsi="宋体" w:cs="宋体"/>
                <w:kern w:val="0"/>
                <w:sz w:val="24"/>
                <w:szCs w:val="24"/>
              </w:rPr>
              <w:t>24</w:t>
            </w:r>
          </w:p>
        </w:tc>
        <w:tc>
          <w:tcPr>
            <w:tcW w:w="2150" w:type="dxa"/>
            <w:vAlign w:val="center"/>
          </w:tcPr>
          <w:p w14:paraId="5D0D481D">
            <w:pPr>
              <w:spacing w:line="400" w:lineRule="exact"/>
              <w:jc w:val="left"/>
              <w:rPr>
                <w:rFonts w:ascii="宋体" w:hAnsi="宋体" w:cs="宋体"/>
                <w:kern w:val="0"/>
                <w:sz w:val="24"/>
                <w:szCs w:val="24"/>
              </w:rPr>
            </w:pPr>
            <w:r>
              <w:rPr>
                <w:rFonts w:ascii="宋体" w:hAnsi="宋体" w:cs="宋体"/>
                <w:kern w:val="0"/>
                <w:sz w:val="24"/>
                <w:szCs w:val="24"/>
              </w:rPr>
              <w:t>封套上写明</w:t>
            </w:r>
          </w:p>
        </w:tc>
        <w:tc>
          <w:tcPr>
            <w:tcW w:w="6855" w:type="dxa"/>
            <w:vAlign w:val="center"/>
          </w:tcPr>
          <w:p w14:paraId="2E11FF3E">
            <w:pPr>
              <w:spacing w:line="390" w:lineRule="exact"/>
              <w:jc w:val="left"/>
              <w:rPr>
                <w:rFonts w:ascii="宋体" w:hAnsi="宋体" w:cs="宋体"/>
                <w:kern w:val="0"/>
                <w:sz w:val="24"/>
              </w:rPr>
            </w:pPr>
            <w:r>
              <w:rPr>
                <w:rFonts w:hint="eastAsia" w:ascii="宋体" w:hAnsi="宋体" w:cs="宋体"/>
                <w:kern w:val="0"/>
                <w:sz w:val="24"/>
              </w:rPr>
              <w:t>供应商应将投标响应文件正本与副本分别装订密封，密封袋上应正确标明“正本”或“副本”字样。商务标、技术标分开装订，电子文档与投标响应文件正本一同密封或者单独密封，如不符合密封要求，投标文件不予接受。</w:t>
            </w:r>
          </w:p>
          <w:p w14:paraId="40D2D6D6">
            <w:pPr>
              <w:spacing w:line="360" w:lineRule="auto"/>
              <w:rPr>
                <w:rFonts w:ascii="宋体" w:hAnsi="宋体" w:cs="宋体"/>
                <w:kern w:val="0"/>
                <w:sz w:val="24"/>
                <w:szCs w:val="24"/>
              </w:rPr>
            </w:pPr>
            <w:r>
              <w:rPr>
                <w:rFonts w:hint="eastAsia" w:ascii="宋体" w:hAnsi="宋体" w:cs="宋体"/>
                <w:kern w:val="0"/>
                <w:sz w:val="24"/>
              </w:rPr>
              <w:t>开标现场提交用信封密封的投标响应文件，封袋上注明：采购人名称、项目名称及项目编号、供应商名称，正本/副本，并注明“在    年   月   日   时   分 （投标截止时间）之前不得启封”字样。</w:t>
            </w:r>
          </w:p>
        </w:tc>
      </w:tr>
      <w:tr w14:paraId="055A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14:paraId="1D83D3C1">
            <w:pPr>
              <w:spacing w:line="400" w:lineRule="exact"/>
              <w:jc w:val="center"/>
              <w:rPr>
                <w:rFonts w:ascii="宋体" w:hAnsi="宋体" w:cs="宋体"/>
                <w:kern w:val="0"/>
                <w:sz w:val="24"/>
                <w:szCs w:val="24"/>
              </w:rPr>
            </w:pPr>
            <w:r>
              <w:rPr>
                <w:rFonts w:hint="eastAsia" w:ascii="宋体" w:hAnsi="宋体" w:cs="宋体"/>
                <w:kern w:val="0"/>
                <w:sz w:val="24"/>
                <w:szCs w:val="24"/>
              </w:rPr>
              <w:t>25</w:t>
            </w:r>
          </w:p>
        </w:tc>
        <w:tc>
          <w:tcPr>
            <w:tcW w:w="2150" w:type="dxa"/>
            <w:vAlign w:val="center"/>
          </w:tcPr>
          <w:p w14:paraId="7CD7E618">
            <w:pPr>
              <w:spacing w:line="400" w:lineRule="exact"/>
              <w:jc w:val="left"/>
              <w:rPr>
                <w:rFonts w:ascii="宋体" w:hAnsi="宋体" w:cs="宋体"/>
                <w:kern w:val="0"/>
                <w:sz w:val="24"/>
                <w:szCs w:val="24"/>
              </w:rPr>
            </w:pPr>
            <w:r>
              <w:rPr>
                <w:rFonts w:hint="eastAsia" w:ascii="宋体" w:hAnsi="宋体" w:cs="宋体"/>
                <w:b/>
                <w:kern w:val="0"/>
                <w:sz w:val="24"/>
                <w:szCs w:val="24"/>
              </w:rPr>
              <w:t>磋商响应文件提交截止</w:t>
            </w:r>
            <w:r>
              <w:rPr>
                <w:rFonts w:ascii="宋体" w:hAnsi="宋体" w:cs="宋体"/>
                <w:b/>
                <w:kern w:val="0"/>
                <w:sz w:val="24"/>
                <w:szCs w:val="24"/>
              </w:rPr>
              <w:t>时间</w:t>
            </w:r>
          </w:p>
        </w:tc>
        <w:tc>
          <w:tcPr>
            <w:tcW w:w="6855" w:type="dxa"/>
            <w:vAlign w:val="center"/>
          </w:tcPr>
          <w:p w14:paraId="3C5845DE">
            <w:pPr>
              <w:widowControl/>
              <w:spacing w:line="360" w:lineRule="auto"/>
              <w:jc w:val="left"/>
              <w:rPr>
                <w:rFonts w:ascii="宋体" w:hAnsi="宋体" w:cs="宋体"/>
                <w:kern w:val="0"/>
                <w:sz w:val="24"/>
                <w:szCs w:val="24"/>
              </w:rPr>
            </w:pPr>
            <w:r>
              <w:rPr>
                <w:rFonts w:hint="eastAsia" w:ascii="宋体" w:hAnsi="宋体" w:cs="宋体"/>
                <w:kern w:val="0"/>
                <w:sz w:val="24"/>
                <w:szCs w:val="24"/>
              </w:rPr>
              <w:t>见公告要求</w:t>
            </w:r>
          </w:p>
        </w:tc>
      </w:tr>
      <w:tr w14:paraId="3500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28" w:type="dxa"/>
            <w:vAlign w:val="center"/>
          </w:tcPr>
          <w:p w14:paraId="5B73CD36">
            <w:pPr>
              <w:spacing w:line="400" w:lineRule="exact"/>
              <w:jc w:val="center"/>
              <w:rPr>
                <w:rFonts w:ascii="宋体" w:hAnsi="宋体" w:cs="宋体"/>
                <w:kern w:val="0"/>
                <w:sz w:val="24"/>
                <w:szCs w:val="24"/>
              </w:rPr>
            </w:pPr>
            <w:r>
              <w:rPr>
                <w:rFonts w:hint="eastAsia" w:ascii="宋体" w:hAnsi="宋体" w:cs="宋体"/>
                <w:kern w:val="0"/>
                <w:sz w:val="24"/>
                <w:szCs w:val="24"/>
              </w:rPr>
              <w:t>26</w:t>
            </w:r>
          </w:p>
        </w:tc>
        <w:tc>
          <w:tcPr>
            <w:tcW w:w="2150" w:type="dxa"/>
            <w:vAlign w:val="center"/>
          </w:tcPr>
          <w:p w14:paraId="6A3C4FF5">
            <w:pPr>
              <w:spacing w:line="400" w:lineRule="exact"/>
              <w:jc w:val="left"/>
              <w:rPr>
                <w:rFonts w:ascii="宋体" w:hAnsi="宋体" w:cs="宋体"/>
                <w:kern w:val="0"/>
                <w:sz w:val="24"/>
                <w:szCs w:val="24"/>
              </w:rPr>
            </w:pPr>
            <w:r>
              <w:rPr>
                <w:rFonts w:hint="eastAsia" w:ascii="宋体" w:hAnsi="宋体" w:cs="宋体"/>
                <w:b/>
                <w:kern w:val="0"/>
                <w:sz w:val="24"/>
                <w:szCs w:val="24"/>
              </w:rPr>
              <w:t>提交磋商响应文件</w:t>
            </w:r>
            <w:r>
              <w:rPr>
                <w:rFonts w:ascii="宋体" w:hAnsi="宋体" w:cs="宋体"/>
                <w:b/>
                <w:kern w:val="0"/>
                <w:sz w:val="24"/>
                <w:szCs w:val="24"/>
              </w:rPr>
              <w:t>地点</w:t>
            </w:r>
          </w:p>
        </w:tc>
        <w:tc>
          <w:tcPr>
            <w:tcW w:w="6855" w:type="dxa"/>
            <w:vAlign w:val="center"/>
          </w:tcPr>
          <w:p w14:paraId="776FEFED">
            <w:pPr>
              <w:spacing w:line="400" w:lineRule="exact"/>
              <w:jc w:val="left"/>
              <w:rPr>
                <w:rFonts w:ascii="宋体" w:hAnsi="宋体"/>
                <w:sz w:val="24"/>
              </w:rPr>
            </w:pPr>
            <w:r>
              <w:rPr>
                <w:rFonts w:hint="eastAsia" w:ascii="宋体" w:hAnsi="宋体" w:cs="宋体"/>
                <w:kern w:val="0"/>
                <w:sz w:val="24"/>
                <w:szCs w:val="24"/>
              </w:rPr>
              <w:t>见公告要求</w:t>
            </w:r>
          </w:p>
        </w:tc>
      </w:tr>
      <w:tr w14:paraId="71E5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28" w:type="dxa"/>
            <w:vAlign w:val="center"/>
          </w:tcPr>
          <w:p w14:paraId="6E860434">
            <w:pPr>
              <w:spacing w:line="400" w:lineRule="exact"/>
              <w:jc w:val="center"/>
              <w:rPr>
                <w:rFonts w:ascii="宋体" w:hAnsi="宋体" w:cs="宋体"/>
                <w:kern w:val="0"/>
                <w:sz w:val="24"/>
                <w:szCs w:val="24"/>
              </w:rPr>
            </w:pPr>
            <w:r>
              <w:rPr>
                <w:rFonts w:hint="eastAsia" w:ascii="宋体" w:hAnsi="宋体" w:cs="宋体"/>
                <w:kern w:val="0"/>
                <w:sz w:val="24"/>
                <w:szCs w:val="24"/>
              </w:rPr>
              <w:t>27</w:t>
            </w:r>
          </w:p>
        </w:tc>
        <w:tc>
          <w:tcPr>
            <w:tcW w:w="2150" w:type="dxa"/>
            <w:vAlign w:val="center"/>
          </w:tcPr>
          <w:p w14:paraId="1DD3B3F1">
            <w:pPr>
              <w:spacing w:line="400" w:lineRule="exact"/>
              <w:jc w:val="left"/>
              <w:rPr>
                <w:rFonts w:ascii="宋体" w:hAnsi="宋体" w:cs="宋体"/>
                <w:b/>
                <w:kern w:val="0"/>
                <w:sz w:val="24"/>
                <w:szCs w:val="24"/>
              </w:rPr>
            </w:pPr>
            <w:r>
              <w:rPr>
                <w:rFonts w:ascii="宋体" w:hAnsi="宋体" w:cs="宋体"/>
                <w:kern w:val="0"/>
                <w:sz w:val="24"/>
                <w:szCs w:val="24"/>
              </w:rPr>
              <w:t>是否退还磋商响应文件</w:t>
            </w:r>
          </w:p>
        </w:tc>
        <w:tc>
          <w:tcPr>
            <w:tcW w:w="6855" w:type="dxa"/>
            <w:vAlign w:val="center"/>
          </w:tcPr>
          <w:p w14:paraId="3419B51F">
            <w:pPr>
              <w:pStyle w:val="11"/>
              <w:topLinePunct/>
              <w:spacing w:line="400" w:lineRule="exact"/>
              <w:jc w:val="left"/>
              <w:rPr>
                <w:rFonts w:ascii="宋体" w:hAnsi="宋体"/>
                <w:sz w:val="24"/>
                <w:szCs w:val="18"/>
              </w:rPr>
            </w:pPr>
            <w:r>
              <w:rPr>
                <w:rFonts w:hint="eastAsia" w:ascii="宋体" w:hAnsi="宋体" w:eastAsia="宋体" w:cs="宋体"/>
                <w:b w:val="0"/>
                <w:kern w:val="0"/>
                <w:sz w:val="24"/>
                <w:szCs w:val="24"/>
              </w:rPr>
              <w:t>否</w:t>
            </w:r>
          </w:p>
        </w:tc>
      </w:tr>
      <w:tr w14:paraId="5A18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14:paraId="51212A6A">
            <w:pPr>
              <w:spacing w:line="400" w:lineRule="exact"/>
              <w:jc w:val="center"/>
              <w:rPr>
                <w:rFonts w:ascii="宋体" w:hAnsi="宋体" w:cs="宋体"/>
                <w:kern w:val="0"/>
                <w:sz w:val="24"/>
                <w:szCs w:val="24"/>
              </w:rPr>
            </w:pPr>
            <w:r>
              <w:rPr>
                <w:rFonts w:hint="eastAsia" w:ascii="宋体" w:hAnsi="宋体" w:cs="宋体"/>
                <w:kern w:val="0"/>
                <w:sz w:val="24"/>
                <w:szCs w:val="24"/>
              </w:rPr>
              <w:t>28</w:t>
            </w:r>
          </w:p>
        </w:tc>
        <w:tc>
          <w:tcPr>
            <w:tcW w:w="2150" w:type="dxa"/>
            <w:vAlign w:val="center"/>
          </w:tcPr>
          <w:p w14:paraId="68495913">
            <w:pPr>
              <w:spacing w:line="400" w:lineRule="exact"/>
              <w:jc w:val="left"/>
              <w:rPr>
                <w:rFonts w:ascii="宋体" w:hAnsi="宋体" w:cs="宋体"/>
                <w:b/>
                <w:kern w:val="0"/>
                <w:sz w:val="24"/>
                <w:szCs w:val="24"/>
              </w:rPr>
            </w:pPr>
            <w:r>
              <w:rPr>
                <w:rFonts w:hint="eastAsia" w:ascii="宋体" w:hAnsi="宋体" w:cs="宋体"/>
                <w:kern w:val="0"/>
                <w:sz w:val="24"/>
                <w:szCs w:val="24"/>
              </w:rPr>
              <w:t>磋商截止时间和地点</w:t>
            </w:r>
          </w:p>
        </w:tc>
        <w:tc>
          <w:tcPr>
            <w:tcW w:w="6855" w:type="dxa"/>
            <w:vAlign w:val="center"/>
          </w:tcPr>
          <w:p w14:paraId="0EBF7730">
            <w:pPr>
              <w:spacing w:line="400" w:lineRule="exact"/>
              <w:jc w:val="left"/>
              <w:rPr>
                <w:rFonts w:ascii="宋体" w:hAnsi="宋体" w:cs="宋体"/>
                <w:kern w:val="0"/>
                <w:sz w:val="24"/>
                <w:szCs w:val="24"/>
              </w:rPr>
            </w:pPr>
            <w:r>
              <w:rPr>
                <w:rFonts w:ascii="宋体" w:hAnsi="宋体" w:cs="宋体"/>
                <w:kern w:val="0"/>
                <w:sz w:val="24"/>
                <w:szCs w:val="24"/>
              </w:rPr>
              <w:t>时间</w:t>
            </w:r>
            <w:r>
              <w:rPr>
                <w:rFonts w:hint="eastAsia" w:ascii="宋体" w:hAnsi="宋体" w:cs="宋体"/>
                <w:kern w:val="0"/>
                <w:sz w:val="24"/>
                <w:szCs w:val="24"/>
              </w:rPr>
              <w:t>：同磋商响应截止时间</w:t>
            </w:r>
          </w:p>
          <w:p w14:paraId="7A5C1A6E">
            <w:pPr>
              <w:spacing w:line="400" w:lineRule="exact"/>
              <w:jc w:val="left"/>
              <w:rPr>
                <w:rFonts w:ascii="宋体" w:hAnsi="宋体"/>
                <w:sz w:val="24"/>
                <w:szCs w:val="24"/>
              </w:rPr>
            </w:pPr>
            <w:r>
              <w:rPr>
                <w:rFonts w:ascii="宋体" w:hAnsi="宋体" w:cs="宋体"/>
                <w:kern w:val="0"/>
                <w:sz w:val="24"/>
                <w:szCs w:val="24"/>
              </w:rPr>
              <w:t>地点</w:t>
            </w:r>
            <w:r>
              <w:rPr>
                <w:rFonts w:hint="eastAsia" w:ascii="宋体" w:hAnsi="宋体" w:cs="宋体"/>
                <w:kern w:val="0"/>
                <w:sz w:val="24"/>
                <w:szCs w:val="24"/>
              </w:rPr>
              <w:t>：同提交磋商响应文件地点</w:t>
            </w:r>
          </w:p>
        </w:tc>
      </w:tr>
      <w:tr w14:paraId="220A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928" w:type="dxa"/>
            <w:vAlign w:val="center"/>
          </w:tcPr>
          <w:p w14:paraId="1C788D64">
            <w:pPr>
              <w:spacing w:line="400" w:lineRule="exact"/>
              <w:jc w:val="center"/>
              <w:rPr>
                <w:rFonts w:ascii="宋体" w:hAnsi="宋体" w:cs="宋体"/>
                <w:kern w:val="0"/>
                <w:sz w:val="24"/>
                <w:szCs w:val="24"/>
              </w:rPr>
            </w:pPr>
            <w:r>
              <w:rPr>
                <w:rFonts w:hint="eastAsia" w:ascii="宋体" w:hAnsi="宋体" w:cs="宋体"/>
                <w:kern w:val="0"/>
                <w:sz w:val="24"/>
                <w:szCs w:val="24"/>
              </w:rPr>
              <w:t>29</w:t>
            </w:r>
          </w:p>
        </w:tc>
        <w:tc>
          <w:tcPr>
            <w:tcW w:w="2150" w:type="dxa"/>
            <w:vAlign w:val="center"/>
          </w:tcPr>
          <w:p w14:paraId="5630C7FB">
            <w:pPr>
              <w:spacing w:line="400" w:lineRule="exact"/>
              <w:jc w:val="left"/>
              <w:rPr>
                <w:rFonts w:ascii="宋体" w:hAnsi="宋体" w:cs="宋体"/>
                <w:kern w:val="0"/>
                <w:sz w:val="24"/>
                <w:szCs w:val="24"/>
              </w:rPr>
            </w:pPr>
            <w:r>
              <w:rPr>
                <w:rFonts w:hint="eastAsia" w:ascii="宋体" w:hAnsi="宋体" w:cs="宋体"/>
                <w:kern w:val="0"/>
                <w:sz w:val="24"/>
                <w:szCs w:val="24"/>
              </w:rPr>
              <w:t>磋商小组的组建</w:t>
            </w:r>
          </w:p>
        </w:tc>
        <w:tc>
          <w:tcPr>
            <w:tcW w:w="6855" w:type="dxa"/>
            <w:vAlign w:val="center"/>
          </w:tcPr>
          <w:p w14:paraId="79FA6737">
            <w:pPr>
              <w:spacing w:line="400" w:lineRule="exact"/>
              <w:jc w:val="left"/>
              <w:rPr>
                <w:rFonts w:ascii="宋体" w:hAnsi="宋体" w:cs="宋体"/>
                <w:kern w:val="0"/>
                <w:sz w:val="24"/>
                <w:szCs w:val="24"/>
              </w:rPr>
            </w:pPr>
            <w:r>
              <w:rPr>
                <w:rFonts w:hint="eastAsia" w:ascii="宋体" w:hAnsi="宋体" w:cs="宋体"/>
                <w:kern w:val="0"/>
                <w:sz w:val="24"/>
                <w:szCs w:val="24"/>
              </w:rPr>
              <w:t>磋商小组构</w:t>
            </w:r>
            <w:r>
              <w:rPr>
                <w:rFonts w:hint="eastAsia" w:ascii="宋体" w:hAnsi="宋体" w:cs="宋体"/>
                <w:color w:val="000000"/>
                <w:kern w:val="0"/>
                <w:sz w:val="24"/>
                <w:szCs w:val="24"/>
              </w:rPr>
              <w:t>成：采购人依法组建3人或以上单数</w:t>
            </w:r>
            <w:r>
              <w:rPr>
                <w:rFonts w:hint="eastAsia" w:ascii="宋体" w:hAnsi="宋体" w:cs="宋体"/>
                <w:kern w:val="0"/>
                <w:sz w:val="24"/>
                <w:szCs w:val="24"/>
              </w:rPr>
              <w:t>，其中经济、技术</w:t>
            </w:r>
            <w:r>
              <w:rPr>
                <w:rFonts w:ascii="宋体" w:hAnsi="宋体" w:cs="宋体"/>
                <w:kern w:val="0"/>
                <w:sz w:val="24"/>
                <w:szCs w:val="24"/>
              </w:rPr>
              <w:t>等方面的专家不少于成员总数的三分之二</w:t>
            </w:r>
            <w:r>
              <w:rPr>
                <w:rFonts w:hint="eastAsia" w:ascii="宋体" w:hAnsi="宋体" w:cs="宋体"/>
                <w:kern w:val="0"/>
                <w:sz w:val="24"/>
                <w:szCs w:val="24"/>
              </w:rPr>
              <w:t>。</w:t>
            </w:r>
          </w:p>
        </w:tc>
      </w:tr>
      <w:tr w14:paraId="5980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28" w:type="dxa"/>
            <w:vAlign w:val="center"/>
          </w:tcPr>
          <w:p w14:paraId="33D2C22B">
            <w:pPr>
              <w:spacing w:line="400" w:lineRule="exact"/>
              <w:jc w:val="center"/>
              <w:rPr>
                <w:rFonts w:ascii="宋体" w:hAnsi="宋体" w:cs="宋体"/>
                <w:kern w:val="0"/>
                <w:sz w:val="24"/>
                <w:szCs w:val="24"/>
              </w:rPr>
            </w:pPr>
            <w:r>
              <w:rPr>
                <w:rFonts w:hint="eastAsia" w:ascii="宋体" w:hAnsi="宋体" w:cs="宋体"/>
                <w:kern w:val="0"/>
                <w:sz w:val="24"/>
                <w:szCs w:val="24"/>
              </w:rPr>
              <w:t>30</w:t>
            </w:r>
          </w:p>
        </w:tc>
        <w:tc>
          <w:tcPr>
            <w:tcW w:w="2150" w:type="dxa"/>
            <w:vAlign w:val="center"/>
          </w:tcPr>
          <w:p w14:paraId="47C0BCEF">
            <w:pPr>
              <w:spacing w:line="400" w:lineRule="exact"/>
              <w:jc w:val="left"/>
              <w:rPr>
                <w:rFonts w:ascii="宋体" w:hAnsi="宋体" w:cs="宋体"/>
                <w:kern w:val="0"/>
                <w:sz w:val="24"/>
                <w:szCs w:val="24"/>
              </w:rPr>
            </w:pPr>
            <w:r>
              <w:rPr>
                <w:rFonts w:hint="eastAsia" w:ascii="宋体" w:hAnsi="宋体" w:cs="宋体"/>
                <w:kern w:val="0"/>
                <w:sz w:val="24"/>
                <w:szCs w:val="24"/>
              </w:rPr>
              <w:t>是否授权磋商小组确定成交供应商</w:t>
            </w:r>
          </w:p>
        </w:tc>
        <w:tc>
          <w:tcPr>
            <w:tcW w:w="6855" w:type="dxa"/>
            <w:vAlign w:val="center"/>
          </w:tcPr>
          <w:p w14:paraId="0BD34670">
            <w:pPr>
              <w:spacing w:line="400" w:lineRule="exact"/>
              <w:jc w:val="left"/>
              <w:rPr>
                <w:rFonts w:ascii="宋体" w:hAnsi="宋体"/>
                <w:sz w:val="24"/>
              </w:rPr>
            </w:pPr>
            <w:r>
              <w:rPr>
                <w:rFonts w:hint="eastAsia" w:ascii="宋体" w:hAnsi="宋体" w:cs="宋体"/>
                <w:color w:val="000000"/>
                <w:kern w:val="0"/>
                <w:sz w:val="24"/>
                <w:szCs w:val="24"/>
              </w:rPr>
              <w:t>磋商小组根据综合评审结果推荐1～3名为成交候选人，由采购人依法确定成交供应商。</w:t>
            </w:r>
          </w:p>
        </w:tc>
      </w:tr>
      <w:tr w14:paraId="3C3A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8" w:type="dxa"/>
            <w:vAlign w:val="center"/>
          </w:tcPr>
          <w:p w14:paraId="6E1C04D5">
            <w:pPr>
              <w:spacing w:line="400" w:lineRule="exact"/>
              <w:jc w:val="center"/>
              <w:rPr>
                <w:rFonts w:ascii="宋体" w:hAnsi="宋体" w:cs="宋体"/>
                <w:kern w:val="0"/>
                <w:sz w:val="24"/>
                <w:szCs w:val="24"/>
              </w:rPr>
            </w:pPr>
            <w:r>
              <w:rPr>
                <w:rFonts w:hint="eastAsia" w:ascii="宋体" w:hAnsi="宋体" w:cs="宋体"/>
                <w:kern w:val="0"/>
                <w:sz w:val="24"/>
                <w:szCs w:val="24"/>
              </w:rPr>
              <w:t>31</w:t>
            </w:r>
          </w:p>
        </w:tc>
        <w:tc>
          <w:tcPr>
            <w:tcW w:w="2150" w:type="dxa"/>
            <w:vAlign w:val="center"/>
          </w:tcPr>
          <w:p w14:paraId="054F26EA">
            <w:pPr>
              <w:spacing w:line="400" w:lineRule="exact"/>
              <w:jc w:val="left"/>
              <w:rPr>
                <w:rFonts w:ascii="宋体" w:hAnsi="宋体" w:cs="宋体"/>
                <w:kern w:val="0"/>
                <w:sz w:val="24"/>
                <w:szCs w:val="24"/>
              </w:rPr>
            </w:pPr>
            <w:r>
              <w:rPr>
                <w:rFonts w:ascii="宋体" w:hAnsi="宋体" w:cs="宋体"/>
                <w:kern w:val="0"/>
                <w:sz w:val="24"/>
                <w:szCs w:val="24"/>
              </w:rPr>
              <w:t>履约</w:t>
            </w:r>
            <w:r>
              <w:rPr>
                <w:rFonts w:hint="eastAsia" w:ascii="宋体" w:hAnsi="宋体" w:cs="宋体"/>
                <w:kern w:val="0"/>
                <w:sz w:val="24"/>
                <w:szCs w:val="24"/>
              </w:rPr>
              <w:t>保证金</w:t>
            </w:r>
          </w:p>
        </w:tc>
        <w:tc>
          <w:tcPr>
            <w:tcW w:w="6855" w:type="dxa"/>
            <w:vAlign w:val="center"/>
          </w:tcPr>
          <w:p w14:paraId="22108D34">
            <w:pPr>
              <w:pStyle w:val="27"/>
              <w:tabs>
                <w:tab w:val="left" w:pos="714"/>
              </w:tabs>
              <w:spacing w:before="15" w:line="362" w:lineRule="auto"/>
              <w:ind w:right="78"/>
              <w:jc w:val="left"/>
              <w:rPr>
                <w:sz w:val="24"/>
              </w:rPr>
            </w:pPr>
            <w:r>
              <w:rPr>
                <w:rFonts w:hint="eastAsia"/>
                <w:spacing w:val="-5"/>
                <w:sz w:val="24"/>
                <w:lang w:val="en-US"/>
              </w:rPr>
              <w:t>1、</w:t>
            </w:r>
            <w:r>
              <w:rPr>
                <w:rFonts w:hint="eastAsia"/>
                <w:spacing w:val="-5"/>
                <w:sz w:val="24"/>
              </w:rPr>
              <w:t>履约担保形式：采用履约保证金或银行履约保函形式提交履约担保。</w:t>
            </w:r>
          </w:p>
          <w:p w14:paraId="3299B52A">
            <w:pPr>
              <w:pStyle w:val="27"/>
              <w:tabs>
                <w:tab w:val="left" w:pos="714"/>
              </w:tabs>
              <w:spacing w:before="2"/>
              <w:rPr>
                <w:sz w:val="24"/>
              </w:rPr>
            </w:pPr>
            <w:r>
              <w:rPr>
                <w:rFonts w:hint="eastAsia"/>
                <w:spacing w:val="-5"/>
                <w:sz w:val="24"/>
                <w:lang w:val="en-US"/>
              </w:rPr>
              <w:t>2、</w:t>
            </w:r>
            <w:r>
              <w:rPr>
                <w:rFonts w:hint="eastAsia"/>
                <w:spacing w:val="-5"/>
                <w:sz w:val="24"/>
              </w:rPr>
              <w:t>履约担保金额：按中标价的</w:t>
            </w:r>
            <w:r>
              <w:rPr>
                <w:rFonts w:hint="eastAsia"/>
                <w:spacing w:val="-5"/>
                <w:sz w:val="24"/>
                <w:lang w:val="en-US"/>
              </w:rPr>
              <w:t>2</w:t>
            </w:r>
            <w:r>
              <w:rPr>
                <w:rFonts w:hint="eastAsia"/>
                <w:sz w:val="24"/>
              </w:rPr>
              <w:t>%。</w:t>
            </w:r>
          </w:p>
          <w:p w14:paraId="4CB5AEF0">
            <w:pPr>
              <w:pStyle w:val="27"/>
              <w:tabs>
                <w:tab w:val="left" w:pos="714"/>
              </w:tabs>
              <w:spacing w:before="2"/>
              <w:rPr>
                <w:rStyle w:val="28"/>
                <w:rFonts w:ascii="宋体" w:hAnsi="宋体"/>
                <w:sz w:val="24"/>
              </w:rPr>
            </w:pPr>
            <w:r>
              <w:rPr>
                <w:rFonts w:hint="eastAsia"/>
                <w:sz w:val="24"/>
                <w:lang w:val="en-US"/>
              </w:rPr>
              <w:t>3、</w:t>
            </w:r>
            <w:r>
              <w:rPr>
                <w:rStyle w:val="28"/>
                <w:rFonts w:ascii="宋体" w:hAnsi="宋体"/>
                <w:sz w:val="24"/>
              </w:rPr>
              <w:t>履约保证金提交时间：收到中标通知书之日起7日内，合同签订前，必须缴纳履约担保；否则，招标人可以取消其中标资格，其投标保证金不予退还；招标人可以选择重新招标或由第二中标候选人递补。</w:t>
            </w:r>
          </w:p>
          <w:p w14:paraId="04545082">
            <w:pPr>
              <w:spacing w:line="400" w:lineRule="exact"/>
              <w:jc w:val="left"/>
              <w:rPr>
                <w:rFonts w:ascii="宋体" w:hAnsi="宋体" w:cs="宋体"/>
                <w:kern w:val="0"/>
                <w:sz w:val="24"/>
                <w:szCs w:val="24"/>
              </w:rPr>
            </w:pPr>
            <w:r>
              <w:rPr>
                <w:rStyle w:val="28"/>
                <w:rFonts w:ascii="宋体" w:hAnsi="宋体"/>
                <w:sz w:val="24"/>
              </w:rPr>
              <w:t>4、履约保证金的退还：验收合格后一次性退还（无息）。</w:t>
            </w:r>
          </w:p>
        </w:tc>
      </w:tr>
      <w:tr w14:paraId="2B69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8" w:type="dxa"/>
            <w:vAlign w:val="center"/>
          </w:tcPr>
          <w:p w14:paraId="104F34F8">
            <w:pPr>
              <w:spacing w:line="400" w:lineRule="exact"/>
              <w:jc w:val="center"/>
              <w:rPr>
                <w:rFonts w:ascii="宋体" w:hAnsi="宋体" w:cs="宋体"/>
                <w:kern w:val="0"/>
                <w:sz w:val="24"/>
                <w:szCs w:val="24"/>
              </w:rPr>
            </w:pPr>
            <w:r>
              <w:rPr>
                <w:rFonts w:hint="eastAsia" w:ascii="宋体" w:hAnsi="宋体" w:cs="宋体"/>
                <w:kern w:val="0"/>
                <w:sz w:val="24"/>
                <w:szCs w:val="24"/>
              </w:rPr>
              <w:t>32</w:t>
            </w:r>
          </w:p>
        </w:tc>
        <w:tc>
          <w:tcPr>
            <w:tcW w:w="2150" w:type="dxa"/>
            <w:vAlign w:val="center"/>
          </w:tcPr>
          <w:p w14:paraId="0E35BE51">
            <w:pPr>
              <w:spacing w:line="400" w:lineRule="exact"/>
              <w:jc w:val="left"/>
              <w:rPr>
                <w:rFonts w:ascii="宋体" w:hAnsi="宋体" w:cs="宋体"/>
                <w:kern w:val="0"/>
                <w:sz w:val="24"/>
                <w:szCs w:val="24"/>
              </w:rPr>
            </w:pPr>
            <w:r>
              <w:rPr>
                <w:rFonts w:hint="eastAsia" w:ascii="宋体" w:hAnsi="宋体" w:cs="宋体"/>
                <w:kern w:val="0"/>
                <w:sz w:val="24"/>
                <w:szCs w:val="24"/>
              </w:rPr>
              <w:t>招标代理服务费</w:t>
            </w:r>
          </w:p>
        </w:tc>
        <w:tc>
          <w:tcPr>
            <w:tcW w:w="6855" w:type="dxa"/>
            <w:vAlign w:val="center"/>
          </w:tcPr>
          <w:p w14:paraId="00BE4191">
            <w:pPr>
              <w:spacing w:line="400" w:lineRule="exact"/>
              <w:jc w:val="left"/>
              <w:rPr>
                <w:rFonts w:ascii="宋体" w:hAnsi="宋体" w:cs="宋体"/>
                <w:b/>
                <w:kern w:val="0"/>
                <w:sz w:val="24"/>
                <w:szCs w:val="24"/>
              </w:rPr>
            </w:pPr>
            <w:r>
              <w:rPr>
                <w:rStyle w:val="28"/>
                <w:rFonts w:hint="eastAsia" w:ascii="宋体" w:hAnsi="宋体"/>
                <w:bCs/>
                <w:sz w:val="24"/>
              </w:rPr>
              <w:t>本次招标代理服务费及专家评审费向中标人收取。招标代理费按（2002）1980号文规定收取（不足3000元，按3000元计取），专家评审费以实际支付为准（不提供发票）。中标单位在领取中标通知书前向代理单位交纳该费用。</w:t>
            </w:r>
          </w:p>
        </w:tc>
      </w:tr>
      <w:tr w14:paraId="1B4D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8" w:type="dxa"/>
            <w:vAlign w:val="center"/>
          </w:tcPr>
          <w:p w14:paraId="717C732C">
            <w:pPr>
              <w:spacing w:line="400" w:lineRule="exact"/>
              <w:jc w:val="center"/>
              <w:rPr>
                <w:rFonts w:ascii="宋体" w:hAnsi="宋体" w:cs="宋体"/>
                <w:kern w:val="0"/>
                <w:sz w:val="24"/>
                <w:szCs w:val="24"/>
              </w:rPr>
            </w:pPr>
            <w:r>
              <w:rPr>
                <w:rFonts w:hint="eastAsia" w:ascii="宋体" w:hAnsi="宋体" w:cs="宋体"/>
                <w:kern w:val="0"/>
                <w:sz w:val="24"/>
                <w:szCs w:val="24"/>
              </w:rPr>
              <w:t>33</w:t>
            </w:r>
          </w:p>
        </w:tc>
        <w:tc>
          <w:tcPr>
            <w:tcW w:w="2150" w:type="dxa"/>
            <w:vAlign w:val="center"/>
          </w:tcPr>
          <w:p w14:paraId="1FC25AF4">
            <w:pPr>
              <w:spacing w:line="400" w:lineRule="exact"/>
              <w:jc w:val="left"/>
              <w:rPr>
                <w:rFonts w:ascii="宋体" w:hAnsi="宋体" w:cs="宋体"/>
                <w:kern w:val="0"/>
                <w:sz w:val="24"/>
                <w:szCs w:val="24"/>
              </w:rPr>
            </w:pPr>
            <w:r>
              <w:rPr>
                <w:rFonts w:hint="eastAsia" w:ascii="宋体" w:hAnsi="宋体" w:cs="宋体"/>
                <w:kern w:val="0"/>
                <w:sz w:val="24"/>
                <w:szCs w:val="24"/>
              </w:rPr>
              <w:t xml:space="preserve"> 知识产权</w:t>
            </w:r>
          </w:p>
        </w:tc>
        <w:tc>
          <w:tcPr>
            <w:tcW w:w="6855" w:type="dxa"/>
            <w:vAlign w:val="center"/>
          </w:tcPr>
          <w:p w14:paraId="6CC79459">
            <w:pPr>
              <w:spacing w:line="400" w:lineRule="exact"/>
              <w:jc w:val="left"/>
              <w:rPr>
                <w:rFonts w:ascii="宋体" w:hAnsi="宋体" w:cs="宋体"/>
                <w:kern w:val="0"/>
                <w:sz w:val="24"/>
                <w:szCs w:val="24"/>
              </w:rPr>
            </w:pPr>
            <w:r>
              <w:rPr>
                <w:rFonts w:hint="eastAsia" w:ascii="宋体" w:hAnsi="宋体" w:cs="宋体"/>
                <w:kern w:val="0"/>
                <w:sz w:val="24"/>
                <w:szCs w:val="24"/>
              </w:rPr>
              <w:t>投标人须保障采购人在使用该服务或其任何一部分时不受到第三方关于侵犯专利权、商标权等知识产权的指控。如果任何第三方提出侵权指控与采购人无关，投标人须与第三方交涉并承担可能发生的责任与一切费用。如采购人因此而遭致损失的，投标人应赔偿该损失。</w:t>
            </w:r>
          </w:p>
        </w:tc>
      </w:tr>
      <w:tr w14:paraId="296A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28" w:type="dxa"/>
            <w:vAlign w:val="center"/>
          </w:tcPr>
          <w:p w14:paraId="0F9D1908">
            <w:pPr>
              <w:spacing w:line="400" w:lineRule="exact"/>
              <w:jc w:val="center"/>
              <w:rPr>
                <w:rFonts w:ascii="宋体" w:hAnsi="宋体" w:cs="宋体"/>
                <w:kern w:val="0"/>
                <w:sz w:val="24"/>
                <w:szCs w:val="24"/>
              </w:rPr>
            </w:pPr>
            <w:r>
              <w:rPr>
                <w:rFonts w:hint="eastAsia" w:ascii="宋体" w:hAnsi="宋体" w:cs="宋体"/>
                <w:kern w:val="0"/>
                <w:sz w:val="24"/>
                <w:szCs w:val="24"/>
              </w:rPr>
              <w:t>34</w:t>
            </w:r>
          </w:p>
        </w:tc>
        <w:tc>
          <w:tcPr>
            <w:tcW w:w="2150" w:type="dxa"/>
            <w:vAlign w:val="center"/>
          </w:tcPr>
          <w:p w14:paraId="538C9C6B">
            <w:pPr>
              <w:spacing w:line="400" w:lineRule="exact"/>
              <w:jc w:val="left"/>
              <w:rPr>
                <w:rFonts w:ascii="宋体" w:hAnsi="宋体" w:cs="宋体"/>
                <w:kern w:val="0"/>
                <w:sz w:val="24"/>
                <w:szCs w:val="24"/>
              </w:rPr>
            </w:pPr>
            <w:r>
              <w:rPr>
                <w:rFonts w:hint="eastAsia" w:ascii="宋体" w:hAnsi="宋体" w:cs="宋体"/>
                <w:kern w:val="0"/>
                <w:sz w:val="24"/>
                <w:szCs w:val="24"/>
              </w:rPr>
              <w:t>其他事项</w:t>
            </w:r>
          </w:p>
        </w:tc>
        <w:tc>
          <w:tcPr>
            <w:tcW w:w="6855" w:type="dxa"/>
            <w:vAlign w:val="center"/>
          </w:tcPr>
          <w:p w14:paraId="03409F50">
            <w:pPr>
              <w:spacing w:line="400" w:lineRule="exact"/>
              <w:jc w:val="left"/>
              <w:rPr>
                <w:rFonts w:ascii="宋体" w:hAnsi="宋体" w:cs="宋体"/>
                <w:kern w:val="0"/>
                <w:sz w:val="24"/>
                <w:szCs w:val="24"/>
              </w:rPr>
            </w:pPr>
            <w:r>
              <w:rPr>
                <w:rFonts w:hint="eastAsia" w:ascii="宋体" w:hAnsi="宋体" w:cs="宋体"/>
                <w:kern w:val="0"/>
                <w:sz w:val="24"/>
                <w:szCs w:val="24"/>
              </w:rPr>
              <w:t>1、磋商文件解释权归招标人所有。由采购人负责解释。</w:t>
            </w:r>
          </w:p>
          <w:p w14:paraId="2954C0BC">
            <w:pPr>
              <w:spacing w:line="400" w:lineRule="exact"/>
              <w:jc w:val="left"/>
              <w:rPr>
                <w:rFonts w:ascii="宋体" w:hAnsi="宋体" w:cs="宋体"/>
                <w:kern w:val="0"/>
                <w:sz w:val="24"/>
                <w:szCs w:val="24"/>
              </w:rPr>
            </w:pPr>
            <w:r>
              <w:rPr>
                <w:rFonts w:hint="eastAsia" w:ascii="宋体" w:hAnsi="宋体" w:cs="宋体"/>
                <w:kern w:val="0"/>
                <w:sz w:val="24"/>
                <w:szCs w:val="24"/>
              </w:rPr>
              <w:t>2、如谈判文件中出现前后不一致的描述，解释优先顺序依次为投标人须知前附表＞评标办法＞招标文件其他内容。</w:t>
            </w:r>
          </w:p>
          <w:p w14:paraId="4774142C">
            <w:pPr>
              <w:spacing w:line="400" w:lineRule="exact"/>
              <w:jc w:val="left"/>
            </w:pPr>
            <w:r>
              <w:rPr>
                <w:rFonts w:hint="eastAsia" w:ascii="宋体" w:hAnsi="宋体" w:cs="宋体"/>
                <w:kern w:val="0"/>
                <w:sz w:val="24"/>
                <w:szCs w:val="24"/>
              </w:rPr>
              <w:t>3、疫情防控，开标时供应商安排一名授权代表参加，做好个人防疫措施。</w:t>
            </w:r>
          </w:p>
        </w:tc>
      </w:tr>
    </w:tbl>
    <w:p w14:paraId="146C8E1E">
      <w:pPr>
        <w:pStyle w:val="4"/>
        <w:spacing w:before="0" w:after="0" w:line="360" w:lineRule="auto"/>
        <w:rPr>
          <w:sz w:val="36"/>
          <w:szCs w:val="36"/>
        </w:rPr>
      </w:pPr>
      <w:bookmarkStart w:id="33" w:name="_Toc476419574"/>
      <w:bookmarkStart w:id="34" w:name="_Toc23012"/>
      <w:r>
        <w:rPr>
          <w:rFonts w:hint="eastAsia"/>
          <w:sz w:val="24"/>
          <w:szCs w:val="36"/>
        </w:rPr>
        <w:t>注：磋商文件中如有与竞争性磋商须知前附表不一致之处，以竞争性磋商须知前附表为准。</w:t>
      </w:r>
      <w:bookmarkEnd w:id="33"/>
      <w:r>
        <w:br w:type="page"/>
      </w:r>
      <w:bookmarkStart w:id="35" w:name="_Toc532918994"/>
      <w:r>
        <w:rPr>
          <w:rFonts w:hint="eastAsia"/>
        </w:rPr>
        <w:t xml:space="preserve">                       </w:t>
      </w:r>
      <w:r>
        <w:rPr>
          <w:rFonts w:hint="eastAsia" w:ascii="黑体" w:hAnsi="黑体" w:eastAsia="黑体"/>
          <w:sz w:val="32"/>
          <w:szCs w:val="32"/>
        </w:rPr>
        <w:t>第三章 采购需求</w:t>
      </w:r>
      <w:bookmarkEnd w:id="34"/>
      <w:bookmarkEnd w:id="35"/>
    </w:p>
    <w:p w14:paraId="11CE67DF">
      <w:pPr>
        <w:widowControl/>
        <w:spacing w:line="500" w:lineRule="exact"/>
        <w:ind w:firstLine="482" w:firstLineChars="200"/>
        <w:rPr>
          <w:rFonts w:ascii="宋体" w:hAnsi="宋体" w:cs="Arial"/>
          <w:b/>
          <w:bCs/>
          <w:kern w:val="0"/>
          <w:sz w:val="24"/>
          <w:szCs w:val="24"/>
        </w:rPr>
      </w:pPr>
      <w:bookmarkStart w:id="36" w:name="OLE_LINK17"/>
      <w:bookmarkStart w:id="37" w:name="OLE_LINK15"/>
      <w:bookmarkStart w:id="38" w:name="OLE_LINK14"/>
      <w:bookmarkStart w:id="39" w:name="OLE_LINK16"/>
      <w:bookmarkStart w:id="40" w:name="OLE_LINK12"/>
      <w:bookmarkStart w:id="41" w:name="OLE_LINK19"/>
      <w:bookmarkStart w:id="42" w:name="OLE_LINK18"/>
      <w:bookmarkStart w:id="43" w:name="OLE_LINK13"/>
      <w:bookmarkStart w:id="44" w:name="OLE_LINK11"/>
      <w:bookmarkStart w:id="45" w:name="_Toc19573"/>
      <w:bookmarkStart w:id="46" w:name="_Toc8465"/>
      <w:r>
        <w:rPr>
          <w:rFonts w:hint="eastAsia" w:ascii="宋体" w:hAnsi="宋体" w:cs="Arial"/>
          <w:b/>
          <w:bCs/>
          <w:kern w:val="0"/>
          <w:sz w:val="24"/>
          <w:szCs w:val="24"/>
        </w:rPr>
        <w:t>一、项目基本情况</w:t>
      </w:r>
    </w:p>
    <w:p w14:paraId="1028752A">
      <w:pPr>
        <w:spacing w:line="520" w:lineRule="exact"/>
        <w:ind w:firstLine="480" w:firstLineChars="200"/>
        <w:rPr>
          <w:rFonts w:ascii="宋体" w:hAnsi="宋体"/>
          <w:sz w:val="24"/>
          <w:szCs w:val="24"/>
        </w:rPr>
      </w:pPr>
      <w:r>
        <w:rPr>
          <w:rFonts w:hint="eastAsia" w:ascii="宋体" w:hAnsi="宋体"/>
          <w:sz w:val="24"/>
          <w:szCs w:val="24"/>
        </w:rPr>
        <w:t>（1）项目名称：淮南经开区节水型工业园区建设项目。</w:t>
      </w:r>
    </w:p>
    <w:p w14:paraId="4F4B9266">
      <w:pPr>
        <w:widowControl/>
        <w:spacing w:line="500" w:lineRule="exact"/>
        <w:ind w:firstLine="480" w:firstLineChars="200"/>
        <w:rPr>
          <w:rFonts w:ascii="宋体" w:hAnsi="宋体"/>
          <w:sz w:val="24"/>
          <w:szCs w:val="24"/>
        </w:rPr>
      </w:pPr>
      <w:r>
        <w:rPr>
          <w:rFonts w:hint="eastAsia" w:ascii="宋体" w:hAnsi="宋体"/>
          <w:sz w:val="24"/>
          <w:szCs w:val="24"/>
        </w:rPr>
        <w:t>（2）项目区域范围：本次节水型园区设计面积根据有关批复文件决定，规划面积4.29平方公里，区块范畴：</w:t>
      </w:r>
      <w:r>
        <w:rPr>
          <w:rFonts w:ascii="宋体" w:hAnsi="宋体"/>
          <w:sz w:val="24"/>
          <w:szCs w:val="24"/>
        </w:rPr>
        <w:t>东至规划中兴路，南至大通火车站，西至田大路、建兴路、建设路、田东村，北至国庆路、朝阳居委会、田东村。</w:t>
      </w:r>
    </w:p>
    <w:bookmarkEnd w:id="36"/>
    <w:bookmarkEnd w:id="37"/>
    <w:bookmarkEnd w:id="38"/>
    <w:bookmarkEnd w:id="39"/>
    <w:bookmarkEnd w:id="40"/>
    <w:bookmarkEnd w:id="41"/>
    <w:bookmarkEnd w:id="42"/>
    <w:bookmarkEnd w:id="43"/>
    <w:bookmarkEnd w:id="44"/>
    <w:p w14:paraId="661DC2B6">
      <w:pPr>
        <w:widowControl/>
        <w:spacing w:line="500" w:lineRule="exact"/>
        <w:ind w:firstLine="482" w:firstLineChars="200"/>
        <w:rPr>
          <w:rFonts w:ascii="宋体" w:hAnsi="宋体" w:cs="Arial"/>
          <w:b/>
          <w:bCs/>
          <w:kern w:val="0"/>
          <w:sz w:val="24"/>
          <w:szCs w:val="24"/>
        </w:rPr>
      </w:pPr>
      <w:r>
        <w:rPr>
          <w:rFonts w:hint="eastAsia" w:ascii="宋体" w:hAnsi="宋体" w:cs="Arial"/>
          <w:b/>
          <w:bCs/>
          <w:kern w:val="0"/>
          <w:sz w:val="24"/>
          <w:szCs w:val="24"/>
        </w:rPr>
        <w:t xml:space="preserve">二、服务要求 </w:t>
      </w:r>
    </w:p>
    <w:p w14:paraId="59BF787F">
      <w:pPr>
        <w:spacing w:line="520" w:lineRule="exact"/>
        <w:ind w:firstLine="480" w:firstLineChars="200"/>
        <w:rPr>
          <w:rFonts w:ascii="宋体" w:hAnsi="宋体"/>
          <w:sz w:val="24"/>
          <w:szCs w:val="24"/>
        </w:rPr>
      </w:pPr>
      <w:r>
        <w:rPr>
          <w:rFonts w:hint="eastAsia" w:ascii="宋体" w:hAnsi="宋体"/>
          <w:sz w:val="24"/>
          <w:szCs w:val="24"/>
        </w:rPr>
        <w:t>满足行业主管部门相关要求及采购人要求：</w:t>
      </w:r>
    </w:p>
    <w:p w14:paraId="77208E03">
      <w:pPr>
        <w:spacing w:line="520" w:lineRule="exact"/>
        <w:ind w:firstLine="480" w:firstLineChars="200"/>
        <w:rPr>
          <w:rFonts w:ascii="宋体" w:hAnsi="宋体"/>
          <w:sz w:val="24"/>
          <w:szCs w:val="24"/>
        </w:rPr>
      </w:pPr>
      <w:r>
        <w:rPr>
          <w:rFonts w:hint="eastAsia" w:ascii="宋体" w:hAnsi="宋体"/>
          <w:sz w:val="24"/>
          <w:szCs w:val="24"/>
        </w:rPr>
        <w:t>（1）根据省水利厅文件对园区进行调查和自我评估；</w:t>
      </w:r>
    </w:p>
    <w:p w14:paraId="5E43ECC0">
      <w:pPr>
        <w:spacing w:line="520" w:lineRule="exact"/>
        <w:ind w:firstLine="480" w:firstLineChars="200"/>
        <w:rPr>
          <w:rFonts w:ascii="宋体" w:hAnsi="宋体"/>
          <w:sz w:val="24"/>
          <w:szCs w:val="24"/>
          <w:highlight w:val="none"/>
        </w:rPr>
      </w:pPr>
      <w:r>
        <w:rPr>
          <w:rFonts w:hint="eastAsia" w:ascii="宋体" w:hAnsi="宋体"/>
          <w:sz w:val="24"/>
          <w:szCs w:val="24"/>
          <w:highlight w:val="none"/>
        </w:rPr>
        <w:t>（2）结合自我评估结果编制经开区节水型园区建设实施方案；（2</w:t>
      </w:r>
      <w:r>
        <w:rPr>
          <w:rFonts w:ascii="宋体" w:hAnsi="宋体"/>
          <w:sz w:val="24"/>
          <w:szCs w:val="24"/>
          <w:highlight w:val="none"/>
        </w:rPr>
        <w:t>023</w:t>
      </w:r>
      <w:r>
        <w:rPr>
          <w:rFonts w:hint="eastAsia" w:ascii="宋体" w:hAnsi="宋体"/>
          <w:sz w:val="24"/>
          <w:szCs w:val="24"/>
          <w:highlight w:val="none"/>
        </w:rPr>
        <w:t>年6月2</w:t>
      </w:r>
      <w:r>
        <w:rPr>
          <w:rFonts w:ascii="宋体" w:hAnsi="宋体"/>
          <w:sz w:val="24"/>
          <w:szCs w:val="24"/>
          <w:highlight w:val="none"/>
        </w:rPr>
        <w:t>5</w:t>
      </w:r>
      <w:r>
        <w:rPr>
          <w:rFonts w:hint="eastAsia" w:ascii="宋体" w:hAnsi="宋体"/>
          <w:sz w:val="24"/>
          <w:szCs w:val="24"/>
          <w:highlight w:val="none"/>
        </w:rPr>
        <w:t>日之前完成）</w:t>
      </w:r>
    </w:p>
    <w:p w14:paraId="6492F88A">
      <w:pPr>
        <w:spacing w:line="520" w:lineRule="exact"/>
        <w:ind w:firstLine="480" w:firstLineChars="200"/>
        <w:rPr>
          <w:rFonts w:ascii="宋体" w:hAnsi="宋体"/>
          <w:sz w:val="24"/>
          <w:szCs w:val="24"/>
          <w:highlight w:val="none"/>
        </w:rPr>
      </w:pPr>
      <w:r>
        <w:rPr>
          <w:rFonts w:hint="eastAsia" w:ascii="宋体" w:hAnsi="宋体"/>
          <w:sz w:val="24"/>
          <w:szCs w:val="24"/>
          <w:highlight w:val="none"/>
        </w:rPr>
        <w:t>（3）结合经开区实际，编制节水型园区管理制度；</w:t>
      </w:r>
    </w:p>
    <w:p w14:paraId="1A66530B">
      <w:pPr>
        <w:spacing w:line="520" w:lineRule="exact"/>
        <w:ind w:firstLine="480" w:firstLineChars="200"/>
        <w:rPr>
          <w:rFonts w:ascii="宋体" w:hAnsi="宋体"/>
          <w:sz w:val="24"/>
          <w:szCs w:val="24"/>
          <w:highlight w:val="none"/>
        </w:rPr>
      </w:pPr>
      <w:r>
        <w:rPr>
          <w:rFonts w:hint="eastAsia" w:ascii="宋体" w:hAnsi="宋体"/>
          <w:sz w:val="24"/>
          <w:szCs w:val="24"/>
          <w:highlight w:val="none"/>
        </w:rPr>
        <w:t>（4）做好建设期间的指导工作；</w:t>
      </w:r>
    </w:p>
    <w:p w14:paraId="3171E9D3">
      <w:pPr>
        <w:spacing w:line="520" w:lineRule="exact"/>
        <w:ind w:firstLine="480" w:firstLineChars="200"/>
        <w:rPr>
          <w:rFonts w:hint="eastAsia" w:ascii="宋体" w:hAnsi="宋体"/>
          <w:sz w:val="24"/>
          <w:szCs w:val="24"/>
          <w:highlight w:val="none"/>
        </w:rPr>
      </w:pPr>
      <w:r>
        <w:rPr>
          <w:rFonts w:hint="eastAsia" w:ascii="宋体" w:hAnsi="宋体"/>
          <w:sz w:val="24"/>
          <w:szCs w:val="24"/>
          <w:highlight w:val="none"/>
        </w:rPr>
        <w:t>（5）做好验收、申报材料的编制等工作；（2</w:t>
      </w:r>
      <w:r>
        <w:rPr>
          <w:rFonts w:ascii="宋体" w:hAnsi="宋体"/>
          <w:sz w:val="24"/>
          <w:szCs w:val="24"/>
          <w:highlight w:val="none"/>
        </w:rPr>
        <w:t>023</w:t>
      </w:r>
      <w:r>
        <w:rPr>
          <w:rFonts w:hint="eastAsia" w:ascii="宋体" w:hAnsi="宋体"/>
          <w:sz w:val="24"/>
          <w:szCs w:val="24"/>
          <w:highlight w:val="none"/>
        </w:rPr>
        <w:t>年6月底报送市级初验材料，2</w:t>
      </w:r>
      <w:r>
        <w:rPr>
          <w:rFonts w:ascii="宋体" w:hAnsi="宋体"/>
          <w:sz w:val="24"/>
          <w:szCs w:val="24"/>
          <w:highlight w:val="none"/>
        </w:rPr>
        <w:t>023</w:t>
      </w:r>
      <w:r>
        <w:rPr>
          <w:rFonts w:hint="eastAsia" w:ascii="宋体" w:hAnsi="宋体"/>
          <w:sz w:val="24"/>
          <w:szCs w:val="24"/>
          <w:highlight w:val="none"/>
        </w:rPr>
        <w:t>年7月底完成市级初验，2</w:t>
      </w:r>
      <w:r>
        <w:rPr>
          <w:rFonts w:ascii="宋体" w:hAnsi="宋体"/>
          <w:sz w:val="24"/>
          <w:szCs w:val="24"/>
          <w:highlight w:val="none"/>
        </w:rPr>
        <w:t>023</w:t>
      </w:r>
      <w:r>
        <w:rPr>
          <w:rFonts w:hint="eastAsia" w:ascii="宋体" w:hAnsi="宋体"/>
          <w:sz w:val="24"/>
          <w:szCs w:val="24"/>
          <w:highlight w:val="none"/>
        </w:rPr>
        <w:t>年8月底前完成省级验收）；</w:t>
      </w:r>
    </w:p>
    <w:p w14:paraId="6576DB58">
      <w:pPr>
        <w:spacing w:line="520" w:lineRule="exact"/>
        <w:ind w:firstLine="480" w:firstLineChars="200"/>
        <w:rPr>
          <w:rFonts w:ascii="宋体" w:hAnsi="宋体"/>
          <w:sz w:val="24"/>
          <w:szCs w:val="24"/>
          <w:highlight w:val="none"/>
        </w:rPr>
      </w:pPr>
      <w:r>
        <w:rPr>
          <w:rFonts w:hint="eastAsia" w:ascii="宋体" w:hAnsi="宋体"/>
          <w:sz w:val="24"/>
          <w:szCs w:val="24"/>
          <w:highlight w:val="none"/>
        </w:rPr>
        <w:t>（6）配合并做好各项现场检查的准备工作；</w:t>
      </w:r>
    </w:p>
    <w:p w14:paraId="62D742E3">
      <w:pPr>
        <w:spacing w:line="520" w:lineRule="exact"/>
        <w:ind w:firstLine="480" w:firstLineChars="200"/>
        <w:rPr>
          <w:rFonts w:ascii="宋体" w:hAnsi="宋体"/>
          <w:sz w:val="24"/>
          <w:szCs w:val="24"/>
          <w:highlight w:val="none"/>
        </w:rPr>
      </w:pPr>
      <w:r>
        <w:rPr>
          <w:rFonts w:hint="eastAsia" w:ascii="宋体" w:hAnsi="宋体"/>
          <w:sz w:val="24"/>
          <w:szCs w:val="24"/>
          <w:highlight w:val="none"/>
        </w:rPr>
        <w:t>（7）省水利厅若对节水型工业园区建设工作时限进行调整，具体工作日程安排另行商议。</w:t>
      </w:r>
    </w:p>
    <w:p w14:paraId="5B4D1F3A">
      <w:pPr>
        <w:widowControl/>
        <w:spacing w:line="500" w:lineRule="exact"/>
        <w:ind w:firstLine="482" w:firstLineChars="200"/>
        <w:rPr>
          <w:rFonts w:ascii="宋体" w:hAnsi="宋体"/>
          <w:sz w:val="24"/>
          <w:szCs w:val="24"/>
          <w:highlight w:val="none"/>
        </w:rPr>
      </w:pPr>
      <w:r>
        <w:rPr>
          <w:rFonts w:hint="eastAsia" w:ascii="宋体" w:hAnsi="宋体" w:cs="Arial"/>
          <w:b/>
          <w:bCs/>
          <w:kern w:val="0"/>
          <w:sz w:val="24"/>
          <w:szCs w:val="24"/>
          <w:highlight w:val="none"/>
        </w:rPr>
        <w:t>三、人员要求</w:t>
      </w:r>
    </w:p>
    <w:p w14:paraId="3D3F859E">
      <w:pPr>
        <w:spacing w:line="520" w:lineRule="exact"/>
        <w:ind w:firstLine="480" w:firstLineChars="200"/>
        <w:rPr>
          <w:rFonts w:ascii="宋体" w:hAnsi="宋体" w:cs="Arial"/>
          <w:bCs/>
          <w:kern w:val="0"/>
          <w:sz w:val="24"/>
          <w:szCs w:val="24"/>
        </w:rPr>
      </w:pPr>
      <w:r>
        <w:rPr>
          <w:rFonts w:hint="eastAsia" w:ascii="宋体" w:hAnsi="宋体" w:cs="Arial"/>
          <w:bCs/>
          <w:kern w:val="0"/>
          <w:sz w:val="24"/>
          <w:szCs w:val="24"/>
        </w:rPr>
        <w:t>具有履行合同所必须的专业技术力量和人员保障。</w:t>
      </w:r>
    </w:p>
    <w:p w14:paraId="6B1CFA39">
      <w:pPr>
        <w:widowControl/>
        <w:jc w:val="left"/>
        <w:rPr>
          <w:b/>
          <w:bCs/>
          <w:kern w:val="44"/>
          <w:sz w:val="32"/>
          <w:szCs w:val="32"/>
        </w:rPr>
      </w:pPr>
      <w:r>
        <w:rPr>
          <w:sz w:val="32"/>
          <w:szCs w:val="32"/>
        </w:rPr>
        <w:br w:type="page"/>
      </w:r>
    </w:p>
    <w:p w14:paraId="0A6715CD">
      <w:pPr>
        <w:pStyle w:val="4"/>
        <w:spacing w:line="240" w:lineRule="auto"/>
        <w:jc w:val="center"/>
        <w:rPr>
          <w:sz w:val="36"/>
          <w:szCs w:val="36"/>
        </w:rPr>
      </w:pPr>
      <w:r>
        <w:rPr>
          <w:rFonts w:hint="eastAsia"/>
          <w:sz w:val="32"/>
          <w:szCs w:val="32"/>
        </w:rPr>
        <w:t>第四章 评标办法</w:t>
      </w:r>
      <w:bookmarkEnd w:id="45"/>
      <w:bookmarkEnd w:id="46"/>
      <w:bookmarkStart w:id="47" w:name="EB85e39523cc2b4b9cbf8d23e78c066b7a"/>
    </w:p>
    <w:bookmarkEnd w:id="47"/>
    <w:p w14:paraId="70324488">
      <w:pPr>
        <w:adjustRightInd w:val="0"/>
        <w:snapToGrid w:val="0"/>
        <w:spacing w:line="360" w:lineRule="auto"/>
        <w:jc w:val="center"/>
        <w:rPr>
          <w:rFonts w:ascii="宋体"/>
          <w:b/>
          <w:bCs/>
          <w:sz w:val="24"/>
          <w:szCs w:val="24"/>
        </w:rPr>
      </w:pPr>
      <w:r>
        <w:rPr>
          <w:rFonts w:hint="eastAsia" w:ascii="宋体" w:hAnsi="宋体" w:cs="宋体"/>
          <w:b/>
          <w:bCs/>
          <w:sz w:val="24"/>
          <w:szCs w:val="24"/>
        </w:rPr>
        <w:t>一．总则</w:t>
      </w:r>
    </w:p>
    <w:p w14:paraId="1D06D6BB">
      <w:pPr>
        <w:adjustRightInd w:val="0"/>
        <w:snapToGrid w:val="0"/>
        <w:spacing w:line="360" w:lineRule="auto"/>
        <w:ind w:firstLine="482" w:firstLineChars="200"/>
        <w:rPr>
          <w:rFonts w:ascii="宋体"/>
          <w:sz w:val="24"/>
          <w:szCs w:val="24"/>
        </w:rPr>
      </w:pPr>
      <w:r>
        <w:rPr>
          <w:rFonts w:hint="eastAsia" w:ascii="宋体" w:hAnsi="宋体" w:cs="宋体"/>
          <w:b/>
          <w:bCs/>
          <w:sz w:val="24"/>
          <w:szCs w:val="24"/>
        </w:rPr>
        <w:t>第一条</w:t>
      </w:r>
      <w:r>
        <w:rPr>
          <w:rFonts w:hint="eastAsia" w:ascii="宋体" w:hAnsi="宋体" w:cs="宋体"/>
          <w:sz w:val="24"/>
          <w:szCs w:val="24"/>
        </w:rPr>
        <w:t>为了做好</w:t>
      </w:r>
      <w:bookmarkStart w:id="48" w:name="EBefd672fb60444b7ea5efc17f86dd5f95"/>
      <w:bookmarkEnd w:id="48"/>
      <w:r>
        <w:rPr>
          <w:rFonts w:hint="eastAsia" w:ascii="宋体" w:hAnsi="宋体" w:cs="宋体"/>
          <w:sz w:val="24"/>
          <w:szCs w:val="24"/>
          <w:u w:val="single"/>
        </w:rPr>
        <w:t>本项目</w:t>
      </w:r>
      <w:r>
        <w:rPr>
          <w:rFonts w:hint="eastAsia" w:ascii="宋体" w:hAnsi="宋体" w:cs="宋体"/>
          <w:sz w:val="24"/>
          <w:szCs w:val="24"/>
        </w:rPr>
        <w:t>招标评标工作，保证项目评审工作的正常有序进行，维护采购人、投标人的合法权益，依据《中华人民共和国政府采购法》、《中华人民共和国招标投标法》及其它相关法律法规，本着公开、公平、公正的原则，制定评标办法。</w:t>
      </w:r>
    </w:p>
    <w:p w14:paraId="7B30E46B">
      <w:pPr>
        <w:adjustRightInd w:val="0"/>
        <w:snapToGrid w:val="0"/>
        <w:spacing w:line="360" w:lineRule="auto"/>
        <w:ind w:firstLine="482" w:firstLineChars="200"/>
        <w:rPr>
          <w:rFonts w:ascii="宋体"/>
          <w:sz w:val="24"/>
          <w:szCs w:val="24"/>
        </w:rPr>
      </w:pPr>
      <w:r>
        <w:rPr>
          <w:rFonts w:hint="eastAsia" w:ascii="宋体" w:hAnsi="宋体" w:cs="宋体"/>
          <w:b/>
          <w:bCs/>
          <w:sz w:val="24"/>
          <w:szCs w:val="24"/>
        </w:rPr>
        <w:t>第二条</w:t>
      </w:r>
      <w:r>
        <w:rPr>
          <w:rFonts w:hint="eastAsia" w:ascii="宋体" w:hAnsi="宋体" w:cs="宋体"/>
          <w:sz w:val="24"/>
          <w:szCs w:val="24"/>
        </w:rPr>
        <w:t>本次项目评标采用</w:t>
      </w:r>
      <w:r>
        <w:rPr>
          <w:rFonts w:hint="eastAsia" w:ascii="宋体" w:hAnsi="宋体" w:cs="宋体"/>
          <w:b/>
          <w:bCs/>
          <w:sz w:val="24"/>
          <w:szCs w:val="24"/>
        </w:rPr>
        <w:t>综合评分法</w:t>
      </w:r>
      <w:r>
        <w:rPr>
          <w:rFonts w:hint="eastAsia" w:ascii="宋体" w:hAnsi="宋体" w:cs="宋体"/>
          <w:sz w:val="24"/>
          <w:szCs w:val="24"/>
        </w:rPr>
        <w:t>作为对投标人标书的比较方法。</w:t>
      </w:r>
    </w:p>
    <w:p w14:paraId="34025200">
      <w:pPr>
        <w:adjustRightInd w:val="0"/>
        <w:snapToGrid w:val="0"/>
        <w:spacing w:line="360" w:lineRule="auto"/>
        <w:ind w:firstLine="482" w:firstLineChars="200"/>
        <w:rPr>
          <w:rFonts w:ascii="宋体"/>
          <w:sz w:val="24"/>
          <w:szCs w:val="24"/>
        </w:rPr>
      </w:pPr>
      <w:r>
        <w:rPr>
          <w:rFonts w:hint="eastAsia" w:ascii="宋体" w:hAnsi="宋体" w:cs="宋体"/>
          <w:b/>
          <w:bCs/>
          <w:sz w:val="24"/>
          <w:szCs w:val="24"/>
        </w:rPr>
        <w:t>第三条</w:t>
      </w:r>
      <w:r>
        <w:rPr>
          <w:rFonts w:hint="eastAsia" w:ascii="宋体" w:hAnsi="宋体" w:cs="宋体"/>
          <w:sz w:val="24"/>
          <w:szCs w:val="24"/>
        </w:rPr>
        <w:t>采购人负责组织不少</w:t>
      </w:r>
      <w:r>
        <w:rPr>
          <w:rFonts w:hint="eastAsia" w:ascii="宋体" w:hAnsi="宋体" w:cs="宋体"/>
          <w:sz w:val="24"/>
          <w:szCs w:val="24"/>
          <w:u w:val="single"/>
        </w:rPr>
        <w:t>3</w:t>
      </w:r>
      <w:r>
        <w:rPr>
          <w:rFonts w:hint="eastAsia" w:ascii="宋体" w:hAnsi="宋体" w:cs="宋体"/>
          <w:sz w:val="24"/>
          <w:szCs w:val="24"/>
        </w:rPr>
        <w:t>人组成的评标委员会（以下简称评委会），负责本项目的评标工作。</w:t>
      </w:r>
    </w:p>
    <w:p w14:paraId="33187F97">
      <w:pPr>
        <w:adjustRightInd w:val="0"/>
        <w:snapToGrid w:val="0"/>
        <w:spacing w:line="360" w:lineRule="auto"/>
        <w:ind w:firstLine="482" w:firstLineChars="200"/>
        <w:rPr>
          <w:rFonts w:ascii="宋体"/>
          <w:sz w:val="24"/>
          <w:szCs w:val="24"/>
        </w:rPr>
      </w:pPr>
      <w:r>
        <w:rPr>
          <w:rFonts w:hint="eastAsia" w:ascii="宋体" w:hAnsi="宋体" w:cs="宋体"/>
          <w:b/>
          <w:bCs/>
          <w:sz w:val="24"/>
          <w:szCs w:val="24"/>
        </w:rPr>
        <w:t>第四条</w:t>
      </w:r>
      <w:r>
        <w:rPr>
          <w:rFonts w:hint="eastAsia" w:ascii="宋体" w:hAnsi="宋体" w:cs="宋体"/>
          <w:sz w:val="24"/>
          <w:szCs w:val="24"/>
        </w:rPr>
        <w:t>评委会按照“客观公正，实事求是”的原则，评价参加本次招标的投标人所提供的产品价格、性能、质量、服务及对竞争性磋商文件的符合性及响应性。</w:t>
      </w:r>
    </w:p>
    <w:p w14:paraId="3A4CC405">
      <w:pPr>
        <w:adjustRightInd w:val="0"/>
        <w:snapToGrid w:val="0"/>
        <w:spacing w:line="360" w:lineRule="auto"/>
        <w:ind w:right="-10"/>
        <w:jc w:val="center"/>
        <w:rPr>
          <w:rFonts w:ascii="宋体"/>
          <w:sz w:val="24"/>
          <w:szCs w:val="24"/>
        </w:rPr>
      </w:pPr>
      <w:r>
        <w:rPr>
          <w:rFonts w:hint="eastAsia" w:ascii="宋体" w:hAnsi="宋体" w:cs="宋体"/>
          <w:b/>
          <w:bCs/>
          <w:sz w:val="24"/>
          <w:szCs w:val="24"/>
        </w:rPr>
        <w:t>二．评标程序及评审细则</w:t>
      </w:r>
    </w:p>
    <w:p w14:paraId="2070E3D9">
      <w:pPr>
        <w:adjustRightInd w:val="0"/>
        <w:snapToGrid w:val="0"/>
        <w:spacing w:line="360" w:lineRule="auto"/>
        <w:ind w:firstLine="482" w:firstLineChars="200"/>
        <w:rPr>
          <w:rFonts w:ascii="宋体"/>
          <w:sz w:val="24"/>
          <w:szCs w:val="24"/>
        </w:rPr>
      </w:pPr>
      <w:r>
        <w:rPr>
          <w:rFonts w:hint="eastAsia" w:ascii="宋体" w:hAnsi="宋体" w:cs="宋体"/>
          <w:b/>
          <w:bCs/>
          <w:sz w:val="24"/>
          <w:szCs w:val="24"/>
        </w:rPr>
        <w:t>第五条</w:t>
      </w:r>
      <w:r>
        <w:rPr>
          <w:rFonts w:hint="eastAsia" w:ascii="宋体" w:hAnsi="宋体" w:cs="宋体"/>
          <w:sz w:val="24"/>
          <w:szCs w:val="24"/>
        </w:rPr>
        <w:t>评标工作于开标后进行。评委会应认真研究竞争性磋商文件，至少应了解和熟悉以下内容：</w:t>
      </w:r>
    </w:p>
    <w:p w14:paraId="1A847B4C">
      <w:pPr>
        <w:adjustRightInd w:val="0"/>
        <w:snapToGrid w:val="0"/>
        <w:spacing w:line="360" w:lineRule="auto"/>
        <w:ind w:firstLine="480" w:firstLineChars="200"/>
        <w:rPr>
          <w:rFonts w:ascii="宋体"/>
          <w:sz w:val="24"/>
          <w:szCs w:val="24"/>
        </w:rPr>
      </w:pPr>
      <w:r>
        <w:rPr>
          <w:rFonts w:hint="eastAsia" w:ascii="宋体" w:hAnsi="宋体" w:cs="宋体"/>
          <w:sz w:val="24"/>
          <w:szCs w:val="24"/>
        </w:rPr>
        <w:t>（一）招标的目标；</w:t>
      </w:r>
    </w:p>
    <w:p w14:paraId="3AEAACAC">
      <w:pPr>
        <w:adjustRightInd w:val="0"/>
        <w:snapToGrid w:val="0"/>
        <w:spacing w:line="360" w:lineRule="auto"/>
        <w:ind w:firstLine="480" w:firstLineChars="200"/>
        <w:rPr>
          <w:rFonts w:ascii="宋体"/>
          <w:sz w:val="24"/>
          <w:szCs w:val="24"/>
        </w:rPr>
      </w:pPr>
      <w:r>
        <w:rPr>
          <w:rFonts w:hint="eastAsia" w:ascii="宋体" w:hAnsi="宋体" w:cs="宋体"/>
          <w:sz w:val="24"/>
          <w:szCs w:val="24"/>
        </w:rPr>
        <w:t>（二）招标项目的范围和性质；</w:t>
      </w:r>
    </w:p>
    <w:p w14:paraId="49244EF7">
      <w:pPr>
        <w:adjustRightInd w:val="0"/>
        <w:snapToGrid w:val="0"/>
        <w:spacing w:line="360" w:lineRule="auto"/>
        <w:ind w:firstLine="480" w:firstLineChars="200"/>
        <w:rPr>
          <w:rFonts w:ascii="宋体"/>
          <w:sz w:val="24"/>
          <w:szCs w:val="24"/>
        </w:rPr>
      </w:pPr>
      <w:r>
        <w:rPr>
          <w:rFonts w:hint="eastAsia" w:ascii="宋体" w:hAnsi="宋体" w:cs="宋体"/>
          <w:sz w:val="24"/>
          <w:szCs w:val="24"/>
        </w:rPr>
        <w:t>（三）竞争性磋商文件中规定的主要技术要求、标准和商务条款；</w:t>
      </w:r>
    </w:p>
    <w:p w14:paraId="1CDF89E6">
      <w:pPr>
        <w:adjustRightInd w:val="0"/>
        <w:snapToGrid w:val="0"/>
        <w:spacing w:line="360" w:lineRule="auto"/>
        <w:ind w:firstLine="480" w:firstLineChars="200"/>
        <w:rPr>
          <w:rFonts w:ascii="宋体"/>
          <w:sz w:val="24"/>
          <w:szCs w:val="24"/>
        </w:rPr>
      </w:pPr>
      <w:r>
        <w:rPr>
          <w:rFonts w:hint="eastAsia" w:ascii="宋体" w:hAnsi="宋体" w:cs="宋体"/>
          <w:sz w:val="24"/>
          <w:szCs w:val="24"/>
        </w:rPr>
        <w:t>（四）竞争性磋商文件规定的评标标准、评标方法和在评标过程中考虑的相关因素。</w:t>
      </w:r>
    </w:p>
    <w:p w14:paraId="38D2572B">
      <w:pPr>
        <w:pStyle w:val="29"/>
        <w:adjustRightInd w:val="0"/>
        <w:snapToGrid w:val="0"/>
        <w:spacing w:line="360" w:lineRule="auto"/>
        <w:ind w:firstLine="480" w:firstLineChars="200"/>
        <w:outlineLvl w:val="9"/>
        <w:rPr>
          <w:rFonts w:hAnsi="宋体"/>
          <w:sz w:val="24"/>
          <w:szCs w:val="24"/>
          <w:lang w:val="zh-CN"/>
        </w:rPr>
      </w:pPr>
      <w:bookmarkStart w:id="49" w:name="_Toc20719"/>
      <w:r>
        <w:rPr>
          <w:rFonts w:hint="eastAsia" w:hAnsi="宋体"/>
          <w:sz w:val="24"/>
          <w:szCs w:val="24"/>
          <w:lang w:val="zh-CN"/>
        </w:rPr>
        <w:t>评标委员会依据磋商文件的规定，采购对响应文件的有效性、完整性和对磋商文件的响应程度进行审查，以确定是否对磋商文件的要求做出实质性响应。未对磋商文件做实质性响应的供应商，不得进入具体磋商程序。</w:t>
      </w:r>
      <w:bookmarkEnd w:id="49"/>
    </w:p>
    <w:p w14:paraId="5BECEE12">
      <w:pPr>
        <w:pStyle w:val="29"/>
        <w:adjustRightInd w:val="0"/>
        <w:snapToGrid w:val="0"/>
        <w:spacing w:line="360" w:lineRule="auto"/>
        <w:ind w:firstLine="480" w:firstLineChars="200"/>
        <w:outlineLvl w:val="9"/>
        <w:rPr>
          <w:rFonts w:hAnsi="宋体"/>
          <w:sz w:val="24"/>
          <w:szCs w:val="24"/>
        </w:rPr>
      </w:pPr>
      <w:bookmarkStart w:id="50" w:name="_Toc22039"/>
      <w:r>
        <w:rPr>
          <w:rFonts w:hint="eastAsia" w:hAnsi="宋体"/>
          <w:sz w:val="24"/>
          <w:szCs w:val="24"/>
        </w:rPr>
        <w:t>磋商开始，与供应商谈各项内容：</w:t>
      </w:r>
      <w:bookmarkEnd w:id="50"/>
    </w:p>
    <w:p w14:paraId="0BE96EF8">
      <w:pPr>
        <w:pStyle w:val="29"/>
        <w:adjustRightInd w:val="0"/>
        <w:snapToGrid w:val="0"/>
        <w:spacing w:line="360" w:lineRule="auto"/>
        <w:ind w:firstLine="480" w:firstLineChars="200"/>
        <w:outlineLvl w:val="9"/>
        <w:rPr>
          <w:rFonts w:hAnsi="宋体"/>
          <w:sz w:val="24"/>
          <w:szCs w:val="24"/>
        </w:rPr>
      </w:pPr>
      <w:bookmarkStart w:id="51" w:name="_Toc22920"/>
      <w:r>
        <w:rPr>
          <w:rFonts w:hint="eastAsia" w:hAnsi="宋体"/>
          <w:sz w:val="24"/>
          <w:szCs w:val="24"/>
        </w:rPr>
        <w:t>评标委员会所有成员集中与单一供应商按照投标签到先后的磋商次序分别进行磋商。评标委员会可根据供应商的报价，响应内容及磋商的情况，给予每个正在参加磋商的供应商相同的磋商机会。</w:t>
      </w:r>
      <w:bookmarkEnd w:id="51"/>
    </w:p>
    <w:p w14:paraId="4A63F497">
      <w:pPr>
        <w:pStyle w:val="29"/>
        <w:adjustRightInd w:val="0"/>
        <w:snapToGrid w:val="0"/>
        <w:spacing w:line="360" w:lineRule="auto"/>
        <w:ind w:firstLine="480" w:firstLineChars="200"/>
        <w:outlineLvl w:val="9"/>
        <w:rPr>
          <w:rFonts w:hAnsi="宋体"/>
          <w:sz w:val="24"/>
          <w:szCs w:val="24"/>
        </w:rPr>
      </w:pPr>
      <w:bookmarkStart w:id="52" w:name="_Toc25322"/>
      <w:r>
        <w:rPr>
          <w:rFonts w:hint="eastAsia" w:hAnsi="宋体"/>
          <w:sz w:val="24"/>
          <w:szCs w:val="24"/>
        </w:rPr>
        <w:t>在磋商过程中，评标委员会可以根据磋商文件和磋商情况实质性变动采购需求中的技术、服务要求以及合同草案条款，但不得变动磋商文件中的其他内容。实质性变动的内容，须经采购人代表确认。</w:t>
      </w:r>
      <w:bookmarkEnd w:id="52"/>
    </w:p>
    <w:p w14:paraId="2EA2177E">
      <w:pPr>
        <w:pStyle w:val="29"/>
        <w:adjustRightInd w:val="0"/>
        <w:snapToGrid w:val="0"/>
        <w:spacing w:line="360" w:lineRule="auto"/>
        <w:ind w:firstLine="480" w:firstLineChars="200"/>
        <w:outlineLvl w:val="9"/>
        <w:rPr>
          <w:rFonts w:hAnsi="宋体"/>
          <w:sz w:val="24"/>
          <w:szCs w:val="24"/>
        </w:rPr>
      </w:pPr>
      <w:bookmarkStart w:id="53" w:name="_Toc26192"/>
      <w:r>
        <w:rPr>
          <w:rFonts w:hint="eastAsia" w:hAnsi="宋体"/>
          <w:sz w:val="24"/>
          <w:szCs w:val="24"/>
        </w:rPr>
        <w:t>对磋商文件做出的实质性变动是磋商文件的有效组成部分，评标委员会应当及时以书面形式同时通知所有参加磋商的供应商。</w:t>
      </w:r>
      <w:bookmarkEnd w:id="53"/>
    </w:p>
    <w:p w14:paraId="78541AB6">
      <w:pPr>
        <w:pStyle w:val="29"/>
        <w:adjustRightInd w:val="0"/>
        <w:snapToGrid w:val="0"/>
        <w:spacing w:line="360" w:lineRule="auto"/>
        <w:ind w:firstLine="480" w:firstLineChars="200"/>
        <w:outlineLvl w:val="9"/>
        <w:rPr>
          <w:rFonts w:hAnsi="宋体"/>
          <w:sz w:val="24"/>
          <w:szCs w:val="24"/>
        </w:rPr>
      </w:pPr>
      <w:bookmarkStart w:id="54" w:name="_Toc11627"/>
      <w:r>
        <w:rPr>
          <w:rFonts w:hint="eastAsia" w:hAnsi="宋体"/>
          <w:sz w:val="24"/>
          <w:szCs w:val="24"/>
        </w:rPr>
        <w:t>供应商应当按照磋商文件的变动情况和评标委员会的要求重新提交响应文件，并由其全权代表签章。</w:t>
      </w:r>
      <w:bookmarkEnd w:id="54"/>
    </w:p>
    <w:p w14:paraId="327DC18C">
      <w:pPr>
        <w:adjustRightInd w:val="0"/>
        <w:snapToGrid w:val="0"/>
        <w:spacing w:line="360" w:lineRule="auto"/>
        <w:ind w:firstLine="482" w:firstLineChars="200"/>
        <w:rPr>
          <w:rFonts w:ascii="宋体" w:hAnsi="宋体"/>
          <w:b/>
          <w:bCs/>
          <w:sz w:val="24"/>
          <w:szCs w:val="24"/>
        </w:rPr>
      </w:pPr>
      <w:r>
        <w:rPr>
          <w:rFonts w:hint="eastAsia" w:ascii="宋体" w:hAnsi="宋体"/>
          <w:b/>
          <w:bCs/>
          <w:sz w:val="24"/>
          <w:szCs w:val="24"/>
        </w:rPr>
        <w:t>本次磋商为投标供应商提供二次报价的机会，二次报价在初步评审后进行，所有通过初步评审的供应商应在规定的时间内（10分钟）提交二次报价单（格式后附），未在规定时间提交视同放弃二次报价的机会（以第一次报价为准）；二次报价不得高于首轮报价，否则按无效标处理；供应商商务得分以二次报价为计算依据。</w:t>
      </w:r>
    </w:p>
    <w:p w14:paraId="36093BD4">
      <w:pPr>
        <w:adjustRightInd w:val="0"/>
        <w:snapToGrid w:val="0"/>
        <w:spacing w:line="360" w:lineRule="auto"/>
        <w:ind w:firstLine="482" w:firstLineChars="200"/>
        <w:rPr>
          <w:rFonts w:ascii="宋体"/>
          <w:b/>
          <w:bCs/>
          <w:sz w:val="24"/>
          <w:szCs w:val="24"/>
        </w:rPr>
      </w:pPr>
      <w:r>
        <w:rPr>
          <w:rFonts w:hint="eastAsia" w:ascii="宋体" w:hAnsi="宋体" w:cs="宋体"/>
          <w:b/>
          <w:bCs/>
          <w:sz w:val="24"/>
          <w:szCs w:val="24"/>
        </w:rPr>
        <w:t>评标委员会按照投标人总分排名顺序，推荐排名前</w:t>
      </w:r>
      <w:r>
        <w:rPr>
          <w:rFonts w:ascii="宋体" w:hAnsi="宋体" w:cs="宋体"/>
          <w:b/>
          <w:bCs/>
          <w:sz w:val="24"/>
          <w:szCs w:val="24"/>
        </w:rPr>
        <w:t>1</w:t>
      </w:r>
      <w:r>
        <w:rPr>
          <w:rFonts w:hint="eastAsia" w:ascii="宋体" w:hAnsi="宋体" w:cs="宋体"/>
          <w:b/>
          <w:bCs/>
          <w:sz w:val="24"/>
          <w:szCs w:val="24"/>
        </w:rPr>
        <w:t>～</w:t>
      </w:r>
      <w:r>
        <w:rPr>
          <w:rFonts w:ascii="宋体" w:hAnsi="宋体" w:cs="宋体"/>
          <w:b/>
          <w:bCs/>
          <w:sz w:val="24"/>
          <w:szCs w:val="24"/>
        </w:rPr>
        <w:t>3</w:t>
      </w:r>
      <w:r>
        <w:rPr>
          <w:rFonts w:hint="eastAsia" w:ascii="宋体" w:hAnsi="宋体" w:cs="宋体"/>
          <w:b/>
          <w:bCs/>
          <w:sz w:val="24"/>
          <w:szCs w:val="24"/>
        </w:rPr>
        <w:t>名投标人作为中标候选人。</w:t>
      </w:r>
    </w:p>
    <w:p w14:paraId="367F4E2A">
      <w:pPr>
        <w:adjustRightInd w:val="0"/>
        <w:snapToGrid w:val="0"/>
        <w:spacing w:line="360" w:lineRule="auto"/>
        <w:ind w:right="-10" w:firstLine="482" w:firstLineChars="200"/>
        <w:rPr>
          <w:rFonts w:ascii="宋体"/>
          <w:sz w:val="24"/>
          <w:szCs w:val="24"/>
        </w:rPr>
      </w:pPr>
      <w:r>
        <w:rPr>
          <w:rFonts w:hint="eastAsia" w:ascii="宋体" w:hAnsi="宋体" w:cs="宋体"/>
          <w:b/>
          <w:bCs/>
          <w:sz w:val="24"/>
          <w:szCs w:val="24"/>
        </w:rPr>
        <w:t>第六条</w:t>
      </w:r>
      <w:r>
        <w:rPr>
          <w:rFonts w:hint="eastAsia" w:ascii="宋体" w:hAnsi="宋体" w:cs="宋体"/>
          <w:sz w:val="24"/>
          <w:szCs w:val="24"/>
        </w:rPr>
        <w:t>有效投标应符合以下原则：</w:t>
      </w:r>
    </w:p>
    <w:p w14:paraId="7FECB876">
      <w:pPr>
        <w:adjustRightInd w:val="0"/>
        <w:snapToGrid w:val="0"/>
        <w:spacing w:line="360" w:lineRule="auto"/>
        <w:ind w:left="480" w:right="-10"/>
        <w:rPr>
          <w:rFonts w:ascii="宋体"/>
          <w:sz w:val="24"/>
          <w:szCs w:val="24"/>
        </w:rPr>
      </w:pPr>
      <w:r>
        <w:rPr>
          <w:rFonts w:hint="eastAsia" w:ascii="宋体" w:hAnsi="宋体" w:cs="宋体"/>
          <w:sz w:val="24"/>
          <w:szCs w:val="24"/>
        </w:rPr>
        <w:t>（一）满足竞争性磋商文件的实质性要求；</w:t>
      </w:r>
    </w:p>
    <w:p w14:paraId="437FD599">
      <w:pPr>
        <w:adjustRightInd w:val="0"/>
        <w:snapToGrid w:val="0"/>
        <w:spacing w:line="360" w:lineRule="auto"/>
        <w:ind w:left="480" w:right="-10"/>
        <w:rPr>
          <w:rFonts w:ascii="宋体"/>
          <w:sz w:val="24"/>
          <w:szCs w:val="24"/>
        </w:rPr>
      </w:pPr>
      <w:r>
        <w:rPr>
          <w:rFonts w:hint="eastAsia" w:ascii="宋体" w:hAnsi="宋体" w:cs="宋体"/>
          <w:sz w:val="24"/>
          <w:szCs w:val="24"/>
        </w:rPr>
        <w:t>（二）无重大偏离、无采购人不能接受的附加条件；</w:t>
      </w:r>
    </w:p>
    <w:p w14:paraId="3A846DCC">
      <w:pPr>
        <w:adjustRightInd w:val="0"/>
        <w:snapToGrid w:val="0"/>
        <w:spacing w:line="360" w:lineRule="auto"/>
        <w:ind w:left="480" w:right="-10"/>
        <w:rPr>
          <w:rFonts w:ascii="宋体"/>
          <w:sz w:val="24"/>
          <w:szCs w:val="24"/>
        </w:rPr>
      </w:pPr>
      <w:r>
        <w:rPr>
          <w:rFonts w:hint="eastAsia" w:ascii="宋体" w:hAnsi="宋体" w:cs="宋体"/>
          <w:sz w:val="24"/>
          <w:szCs w:val="24"/>
        </w:rPr>
        <w:t>（三）通过投标有效性评审；</w:t>
      </w:r>
    </w:p>
    <w:p w14:paraId="42478494">
      <w:pPr>
        <w:adjustRightInd w:val="0"/>
        <w:snapToGrid w:val="0"/>
        <w:spacing w:line="360" w:lineRule="auto"/>
        <w:ind w:left="480" w:right="-10"/>
        <w:rPr>
          <w:rFonts w:ascii="宋体"/>
          <w:sz w:val="24"/>
          <w:szCs w:val="24"/>
        </w:rPr>
      </w:pPr>
      <w:r>
        <w:rPr>
          <w:rFonts w:hint="eastAsia" w:ascii="宋体" w:hAnsi="宋体" w:cs="宋体"/>
          <w:sz w:val="24"/>
          <w:szCs w:val="24"/>
        </w:rPr>
        <w:t>（四）评委会依据竞争性磋商文件认定的其他原则。</w:t>
      </w:r>
    </w:p>
    <w:p w14:paraId="645C011D">
      <w:pPr>
        <w:adjustRightInd w:val="0"/>
        <w:snapToGrid w:val="0"/>
        <w:spacing w:line="360" w:lineRule="auto"/>
        <w:ind w:right="-10" w:firstLine="482" w:firstLineChars="200"/>
        <w:rPr>
          <w:rFonts w:ascii="宋体"/>
          <w:sz w:val="24"/>
          <w:szCs w:val="24"/>
        </w:rPr>
      </w:pPr>
      <w:r>
        <w:rPr>
          <w:rFonts w:hint="eastAsia" w:ascii="宋体" w:hAnsi="宋体" w:cs="宋体"/>
          <w:b/>
          <w:bCs/>
          <w:sz w:val="24"/>
          <w:szCs w:val="24"/>
        </w:rPr>
        <w:t>第七条</w:t>
      </w:r>
      <w:r>
        <w:rPr>
          <w:rFonts w:hint="eastAsia" w:ascii="宋体" w:hAnsi="宋体" w:cs="宋体"/>
          <w:sz w:val="24"/>
          <w:szCs w:val="24"/>
        </w:rPr>
        <w:t>评委会对投标文件独立评审，按照</w:t>
      </w:r>
      <w:r>
        <w:rPr>
          <w:rFonts w:hint="eastAsia" w:ascii="宋体" w:hAnsi="宋体" w:cs="宋体"/>
          <w:b/>
          <w:bCs/>
          <w:sz w:val="24"/>
          <w:szCs w:val="24"/>
        </w:rPr>
        <w:t>综合得分</w:t>
      </w:r>
      <w:r>
        <w:rPr>
          <w:rFonts w:hint="eastAsia" w:ascii="宋体" w:hAnsi="宋体" w:cs="宋体"/>
          <w:sz w:val="24"/>
          <w:szCs w:val="24"/>
        </w:rPr>
        <w:t>由高到低的原则确定中标候选人。</w:t>
      </w:r>
    </w:p>
    <w:p w14:paraId="1F8F8BC9">
      <w:pPr>
        <w:adjustRightInd w:val="0"/>
        <w:snapToGrid w:val="0"/>
        <w:spacing w:line="360" w:lineRule="auto"/>
        <w:ind w:right="-10" w:firstLine="482" w:firstLineChars="200"/>
        <w:rPr>
          <w:rFonts w:ascii="宋体" w:hAnsi="宋体"/>
          <w:sz w:val="24"/>
          <w:szCs w:val="24"/>
        </w:rPr>
      </w:pPr>
      <w:r>
        <w:rPr>
          <w:rFonts w:hint="eastAsia" w:ascii="宋体" w:hAnsi="宋体" w:cs="宋体"/>
          <w:b/>
          <w:bCs/>
          <w:sz w:val="24"/>
          <w:szCs w:val="24"/>
        </w:rPr>
        <w:t>第八条</w:t>
      </w:r>
      <w:r>
        <w:rPr>
          <w:rFonts w:hint="eastAsia" w:ascii="宋体" w:hAnsi="宋体" w:cs="宋体"/>
          <w:sz w:val="24"/>
          <w:szCs w:val="24"/>
        </w:rPr>
        <w:t>评审中，评委会发现投标人的投标文件中对同类问题表述不一致、前后矛盾、有明显文字和计算错误的内容、有可能不符合竞争性磋商文件规定等情况需要澄清时，评委会将以询标的方式告知并要求投标人以书面方式进行必要的澄清、说明或补正。对于询标后判定为不符合竞争性磋商文件的投标文件，评委要提出充足的否定理由。最终对投标人的评审结论分为通过和未通过。</w:t>
      </w:r>
    </w:p>
    <w:p w14:paraId="7FCAD2AB">
      <w:pPr>
        <w:pStyle w:val="12"/>
        <w:spacing w:line="360" w:lineRule="auto"/>
        <w:ind w:right="-10" w:firstLine="482"/>
        <w:rPr>
          <w:rFonts w:ascii="宋体" w:hAnsi="宋体" w:eastAsia="宋体" w:cs="宋体"/>
          <w:b/>
          <w:bCs/>
          <w:sz w:val="24"/>
          <w:szCs w:val="24"/>
          <w:u w:val="single"/>
        </w:rPr>
      </w:pPr>
      <w:r>
        <w:rPr>
          <w:rFonts w:hint="eastAsia" w:ascii="宋体" w:hAnsi="宋体" w:eastAsia="宋体" w:cs="宋体"/>
          <w:b/>
          <w:bCs/>
          <w:sz w:val="24"/>
          <w:szCs w:val="24"/>
        </w:rPr>
        <w:t>第九条</w:t>
      </w:r>
      <w:r>
        <w:rPr>
          <w:rFonts w:hint="eastAsia" w:ascii="宋体" w:hAnsi="宋体" w:eastAsia="宋体" w:cs="宋体"/>
          <w:sz w:val="24"/>
          <w:szCs w:val="24"/>
        </w:rPr>
        <w:t>评委会按下表内容进行投标有效性评审。</w:t>
      </w:r>
      <w:r>
        <w:rPr>
          <w:rFonts w:hint="eastAsia" w:ascii="宋体" w:hAnsi="宋体" w:eastAsia="宋体" w:cs="宋体"/>
          <w:b/>
          <w:bCs/>
          <w:sz w:val="24"/>
          <w:szCs w:val="24"/>
          <w:u w:val="single"/>
        </w:rPr>
        <w:t>根据《财政部关于政府采购竞争性磋商采购方式管理暂行办法有关问题的补充通知》采用竞争性磋商采购方式采购的政府购买服务项目，在采购过程中符合要求的供应商只有</w:t>
      </w:r>
      <w:r>
        <w:rPr>
          <w:rFonts w:ascii="宋体" w:hAnsi="宋体" w:eastAsia="宋体" w:cs="宋体"/>
          <w:b/>
          <w:bCs/>
          <w:sz w:val="24"/>
          <w:szCs w:val="24"/>
          <w:u w:val="single"/>
        </w:rPr>
        <w:t>2</w:t>
      </w:r>
      <w:r>
        <w:rPr>
          <w:rFonts w:hint="eastAsia" w:ascii="宋体" w:hAnsi="宋体" w:eastAsia="宋体" w:cs="宋体"/>
          <w:b/>
          <w:bCs/>
          <w:sz w:val="24"/>
          <w:szCs w:val="24"/>
          <w:u w:val="single"/>
        </w:rPr>
        <w:t>家的，竞争性磋商采购活动可以继续进行。</w:t>
      </w:r>
    </w:p>
    <w:p w14:paraId="0ACCC181">
      <w:pPr>
        <w:pStyle w:val="12"/>
        <w:spacing w:line="360" w:lineRule="auto"/>
        <w:ind w:right="-10" w:firstLine="482"/>
        <w:rPr>
          <w:rFonts w:ascii="宋体" w:hAnsi="宋体" w:eastAsia="宋体"/>
          <w:sz w:val="24"/>
          <w:szCs w:val="24"/>
        </w:rPr>
      </w:pPr>
      <w:r>
        <w:rPr>
          <w:rFonts w:hint="eastAsia" w:ascii="宋体" w:hAnsi="宋体" w:eastAsia="宋体"/>
          <w:b/>
          <w:sz w:val="24"/>
          <w:szCs w:val="24"/>
        </w:rPr>
        <w:t xml:space="preserve">第十条 </w:t>
      </w:r>
      <w:r>
        <w:rPr>
          <w:rFonts w:hint="eastAsia" w:ascii="宋体" w:hAnsi="宋体" w:eastAsia="宋体"/>
          <w:bCs/>
          <w:sz w:val="24"/>
          <w:szCs w:val="24"/>
        </w:rPr>
        <w:t>评委独立评审后，评委会对投标人某项指标如有不同意见</w:t>
      </w:r>
      <w:r>
        <w:rPr>
          <w:rFonts w:hint="eastAsia" w:ascii="宋体" w:hAnsi="宋体" w:eastAsia="宋体"/>
          <w:sz w:val="24"/>
          <w:szCs w:val="24"/>
        </w:rPr>
        <w:t>，按照少数服从多数的原则，确定该项指标是否通过。符合初审指标及评审指标通过标准的，为有效投标。</w:t>
      </w:r>
    </w:p>
    <w:p w14:paraId="2C3A9FE2">
      <w:pPr>
        <w:pStyle w:val="12"/>
        <w:spacing w:line="360" w:lineRule="auto"/>
        <w:ind w:right="-10" w:firstLine="482"/>
        <w:rPr>
          <w:rFonts w:ascii="宋体" w:hAnsi="宋体" w:eastAsia="宋体"/>
          <w:sz w:val="24"/>
          <w:szCs w:val="24"/>
        </w:rPr>
      </w:pPr>
      <w:r>
        <w:rPr>
          <w:rFonts w:hint="eastAsia" w:ascii="宋体" w:hAnsi="宋体" w:eastAsia="宋体"/>
          <w:sz w:val="24"/>
          <w:szCs w:val="24"/>
          <w:highlight w:val="yellow"/>
        </w:rPr>
        <w:t>第十一条 如果评审得分相同的，以商务标得分最高的为排名靠前的中标候选人；若评审得分且最终报价均相同，则按照技术指标优劣顺序推荐。</w:t>
      </w:r>
    </w:p>
    <w:p w14:paraId="6BB962D4">
      <w:pPr>
        <w:adjustRightInd w:val="0"/>
        <w:snapToGrid w:val="0"/>
        <w:spacing w:line="360" w:lineRule="auto"/>
        <w:ind w:right="-10" w:firstLine="482" w:firstLineChars="200"/>
        <w:rPr>
          <w:rFonts w:ascii="宋体" w:hAnsi="宋体" w:cs="宋体"/>
          <w:sz w:val="24"/>
          <w:szCs w:val="24"/>
        </w:rPr>
      </w:pPr>
      <w:r>
        <w:rPr>
          <w:rFonts w:hint="eastAsia" w:ascii="宋体" w:hAnsi="宋体"/>
          <w:b/>
          <w:sz w:val="24"/>
          <w:szCs w:val="24"/>
        </w:rPr>
        <w:t>第</w:t>
      </w:r>
      <w:r>
        <w:rPr>
          <w:rFonts w:hint="eastAsia" w:ascii="宋体" w:hAnsi="宋体"/>
          <w:b/>
          <w:bCs/>
          <w:sz w:val="24"/>
          <w:szCs w:val="24"/>
        </w:rPr>
        <w:t>十二</w:t>
      </w:r>
      <w:r>
        <w:rPr>
          <w:rFonts w:hint="eastAsia" w:ascii="宋体" w:hAnsi="宋体"/>
          <w:b/>
          <w:sz w:val="24"/>
          <w:szCs w:val="24"/>
        </w:rPr>
        <w:t xml:space="preserve">条 </w:t>
      </w:r>
      <w:r>
        <w:rPr>
          <w:rFonts w:hint="eastAsia" w:ascii="宋体" w:hAnsi="宋体"/>
          <w:sz w:val="24"/>
          <w:szCs w:val="24"/>
        </w:rPr>
        <w:t>评委会在评标过程中发现的问题，应当及</w:t>
      </w:r>
      <w:r>
        <w:rPr>
          <w:rFonts w:hint="eastAsia" w:ascii="宋体" w:hAnsi="宋体" w:cs="宋体"/>
          <w:sz w:val="24"/>
          <w:szCs w:val="24"/>
        </w:rPr>
        <w:t>时作出处理或者向采购人提出处理建议，并作书面记录。</w:t>
      </w:r>
    </w:p>
    <w:p w14:paraId="45D7E580">
      <w:pPr>
        <w:adjustRightInd w:val="0"/>
        <w:snapToGrid w:val="0"/>
        <w:spacing w:line="360" w:lineRule="auto"/>
        <w:ind w:right="-10" w:firstLine="480" w:firstLineChars="200"/>
        <w:rPr>
          <w:rFonts w:ascii="宋体" w:hAnsi="宋体" w:cs="宋体"/>
          <w:sz w:val="24"/>
          <w:szCs w:val="24"/>
        </w:rPr>
      </w:pPr>
      <w:r>
        <w:rPr>
          <w:rFonts w:hint="eastAsia" w:ascii="宋体" w:hAnsi="宋体" w:cs="宋体"/>
          <w:sz w:val="24"/>
          <w:szCs w:val="24"/>
        </w:rPr>
        <w:t>第十三条 在评审过程中，评委会发现投标人的报价或者某些分项报价明显不合理或者低于成本，有可能影响商品质量和不能诚信履约的，应当要求其在规定的期限内提供文件予以解释说明，并提交相关证明材料；否则，评委会可以取消该投标人的中标候选资格，按顺序由排在后面的中标候选人递补，以此类推。</w:t>
      </w:r>
    </w:p>
    <w:p w14:paraId="4611D4C7">
      <w:pPr>
        <w:adjustRightInd w:val="0"/>
        <w:snapToGrid w:val="0"/>
        <w:spacing w:line="360" w:lineRule="auto"/>
        <w:ind w:right="-10" w:firstLine="480" w:firstLineChars="200"/>
        <w:rPr>
          <w:rFonts w:ascii="宋体" w:hAnsi="宋体" w:cs="宋体"/>
          <w:sz w:val="24"/>
          <w:szCs w:val="24"/>
        </w:rPr>
      </w:pPr>
      <w:r>
        <w:rPr>
          <w:rFonts w:hint="eastAsia" w:ascii="宋体" w:hAnsi="宋体" w:cs="宋体"/>
          <w:sz w:val="24"/>
          <w:szCs w:val="24"/>
        </w:rPr>
        <w:t>第十四条 评标后，评标委员会应制作评标报告。评委会全体成员均须在评标报告上签字。评审报告应如实记录本次评标的主要过程，全面反映评标过程中的各种不同的意见，以及其他澄清、说明、补正事项。</w:t>
      </w:r>
    </w:p>
    <w:p w14:paraId="1778D00A">
      <w:pPr>
        <w:adjustRightInd w:val="0"/>
        <w:snapToGrid w:val="0"/>
        <w:spacing w:line="360" w:lineRule="auto"/>
        <w:ind w:right="-10"/>
        <w:jc w:val="center"/>
        <w:rPr>
          <w:rFonts w:ascii="宋体" w:hAnsi="宋体" w:cs="宋体"/>
          <w:b/>
          <w:bCs/>
          <w:sz w:val="24"/>
          <w:szCs w:val="24"/>
        </w:rPr>
      </w:pPr>
      <w:r>
        <w:rPr>
          <w:rFonts w:hint="eastAsia" w:ascii="宋体" w:hAnsi="宋体" w:cs="宋体"/>
          <w:b/>
          <w:bCs/>
          <w:sz w:val="24"/>
          <w:szCs w:val="24"/>
        </w:rPr>
        <w:t>三．评标纪律</w:t>
      </w:r>
    </w:p>
    <w:p w14:paraId="4FD951F0">
      <w:pPr>
        <w:adjustRightInd w:val="0"/>
        <w:snapToGrid w:val="0"/>
        <w:spacing w:line="360" w:lineRule="auto"/>
        <w:ind w:right="-10"/>
        <w:rPr>
          <w:rFonts w:ascii="宋体" w:hAnsi="宋体" w:cs="宋体"/>
          <w:sz w:val="24"/>
          <w:szCs w:val="24"/>
        </w:rPr>
      </w:pPr>
      <w:r>
        <w:rPr>
          <w:rFonts w:hint="eastAsia" w:ascii="宋体" w:hAnsi="宋体" w:cs="宋体"/>
          <w:sz w:val="24"/>
          <w:szCs w:val="24"/>
        </w:rPr>
        <w:t xml:space="preserve">    第十五条 评委会和评标工作人员应严格遵守国家的法律、法规和规章制度；严格按照本次招标文件进行评标；公正廉洁、不徇私情，不得损害国家利益；保护招、投标人的合法权益。</w:t>
      </w:r>
    </w:p>
    <w:p w14:paraId="65C6047F">
      <w:pPr>
        <w:adjustRightInd w:val="0"/>
        <w:snapToGrid w:val="0"/>
        <w:spacing w:line="360" w:lineRule="auto"/>
        <w:ind w:right="-10" w:firstLine="480" w:firstLineChars="200"/>
        <w:rPr>
          <w:rFonts w:ascii="宋体" w:hAnsi="宋体" w:cs="宋体"/>
          <w:sz w:val="24"/>
          <w:szCs w:val="24"/>
        </w:rPr>
      </w:pPr>
      <w:r>
        <w:rPr>
          <w:rFonts w:hint="eastAsia" w:ascii="宋体" w:hAnsi="宋体" w:cs="宋体"/>
          <w:sz w:val="24"/>
          <w:szCs w:val="24"/>
        </w:rPr>
        <w:t>第十六条 在评标过程中，评委、监督人员及其他评标工作人员必须对评标情况严格保密，任何人不得将评标情况透露给与投标人有关的单位和个人。如有违反评标纪律的情况发生，将依据《中华人民共和国政府采购法》及其他有关法律法规的规定，追究有关当事人的责任。</w:t>
      </w:r>
    </w:p>
    <w:p w14:paraId="61D9AA0B">
      <w:pPr>
        <w:ind w:firstLine="470" w:firstLineChars="196"/>
        <w:rPr>
          <w:rFonts w:ascii="宋体" w:hAnsi="宋体" w:cs="宋体"/>
          <w:sz w:val="24"/>
          <w:szCs w:val="24"/>
        </w:rPr>
      </w:pPr>
      <w:r>
        <w:rPr>
          <w:rFonts w:hint="eastAsia" w:ascii="宋体" w:hAnsi="宋体" w:cs="宋体"/>
          <w:sz w:val="24"/>
          <w:szCs w:val="24"/>
        </w:rPr>
        <w:t>第十七条 本评标办法的解释权属于采购人。</w:t>
      </w:r>
    </w:p>
    <w:p w14:paraId="3A885DCD">
      <w:pPr>
        <w:pStyle w:val="2"/>
        <w:rPr>
          <w:rFonts w:hAnsi="宋体" w:cs="宋体"/>
        </w:rPr>
      </w:pPr>
    </w:p>
    <w:p w14:paraId="54FCAFFB">
      <w:pPr>
        <w:pStyle w:val="18"/>
        <w:rPr>
          <w:rFonts w:hAnsi="宋体" w:cs="宋体"/>
        </w:rPr>
      </w:pPr>
    </w:p>
    <w:p w14:paraId="6188AE02">
      <w:pPr>
        <w:rPr>
          <w:rFonts w:hAnsi="宋体" w:cs="宋体"/>
        </w:rPr>
      </w:pPr>
    </w:p>
    <w:p w14:paraId="0181F82D">
      <w:pPr>
        <w:pStyle w:val="2"/>
        <w:rPr>
          <w:rFonts w:hAnsi="宋体" w:cs="宋体"/>
        </w:rPr>
      </w:pPr>
    </w:p>
    <w:p w14:paraId="604B0734">
      <w:pPr>
        <w:pStyle w:val="18"/>
        <w:rPr>
          <w:rFonts w:hAnsi="宋体" w:cs="宋体"/>
        </w:rPr>
      </w:pPr>
    </w:p>
    <w:p w14:paraId="15226147">
      <w:pPr>
        <w:rPr>
          <w:rFonts w:hAnsi="宋体" w:cs="宋体"/>
        </w:rPr>
      </w:pPr>
    </w:p>
    <w:p w14:paraId="2756947B">
      <w:pPr>
        <w:pStyle w:val="2"/>
        <w:rPr>
          <w:rFonts w:hAnsi="宋体" w:cs="宋体"/>
        </w:rPr>
      </w:pPr>
    </w:p>
    <w:p w14:paraId="200BB98B">
      <w:pPr>
        <w:pStyle w:val="18"/>
        <w:rPr>
          <w:rFonts w:hAnsi="宋体" w:cs="宋体"/>
        </w:rPr>
      </w:pPr>
    </w:p>
    <w:p w14:paraId="63D59183">
      <w:pPr>
        <w:rPr>
          <w:rFonts w:hAnsi="宋体" w:cs="宋体"/>
        </w:rPr>
      </w:pPr>
    </w:p>
    <w:p w14:paraId="5EEA586F">
      <w:pPr>
        <w:pStyle w:val="2"/>
        <w:rPr>
          <w:rFonts w:hAnsi="宋体" w:cs="宋体"/>
        </w:rPr>
      </w:pPr>
    </w:p>
    <w:p w14:paraId="41813F27">
      <w:pPr>
        <w:pStyle w:val="18"/>
        <w:rPr>
          <w:rFonts w:hAnsi="宋体" w:cs="宋体"/>
        </w:rPr>
      </w:pPr>
    </w:p>
    <w:p w14:paraId="6483C6E6">
      <w:pPr>
        <w:rPr>
          <w:rFonts w:hAnsi="宋体" w:cs="宋体"/>
        </w:rPr>
      </w:pPr>
    </w:p>
    <w:p w14:paraId="2C57ADE0">
      <w:pPr>
        <w:pStyle w:val="2"/>
        <w:rPr>
          <w:rFonts w:hAnsi="宋体" w:cs="宋体"/>
        </w:rPr>
      </w:pPr>
    </w:p>
    <w:p w14:paraId="563CBDE5">
      <w:pPr>
        <w:pStyle w:val="18"/>
        <w:rPr>
          <w:rFonts w:hAnsi="宋体" w:cs="宋体"/>
        </w:rPr>
      </w:pPr>
    </w:p>
    <w:p w14:paraId="480BECD8">
      <w:pPr>
        <w:rPr>
          <w:rFonts w:hAnsi="宋体" w:cs="宋体"/>
        </w:rPr>
      </w:pPr>
    </w:p>
    <w:p w14:paraId="05141924">
      <w:pPr>
        <w:pStyle w:val="2"/>
        <w:rPr>
          <w:rFonts w:hAnsi="宋体" w:cs="宋体"/>
        </w:rPr>
      </w:pPr>
    </w:p>
    <w:p w14:paraId="72A63172">
      <w:pPr>
        <w:pStyle w:val="3"/>
        <w:rPr>
          <w:rFonts w:hAnsi="宋体" w:cs="宋体"/>
        </w:rPr>
      </w:pPr>
    </w:p>
    <w:p w14:paraId="40A3DE38"/>
    <w:p w14:paraId="4296AF30">
      <w:pPr>
        <w:pStyle w:val="2"/>
      </w:pPr>
    </w:p>
    <w:p w14:paraId="0D1C151D">
      <w:pPr>
        <w:pStyle w:val="2"/>
        <w:rPr>
          <w:rFonts w:hAnsi="宋体" w:cs="宋体"/>
        </w:rPr>
      </w:pPr>
    </w:p>
    <w:p w14:paraId="6D44D66E">
      <w:pPr>
        <w:pStyle w:val="3"/>
        <w:rPr>
          <w:rFonts w:hAnsi="宋体" w:cs="宋体"/>
        </w:rPr>
      </w:pPr>
    </w:p>
    <w:p w14:paraId="22FDCCAA">
      <w:pPr>
        <w:rPr>
          <w:rFonts w:hAnsi="宋体" w:cs="宋体"/>
        </w:rPr>
      </w:pPr>
    </w:p>
    <w:p w14:paraId="77410807">
      <w:pPr>
        <w:spacing w:line="360" w:lineRule="auto"/>
        <w:ind w:right="-10"/>
        <w:rPr>
          <w:rFonts w:ascii="宋体" w:hAnsi="宋体" w:cs="宋体"/>
          <w:b/>
          <w:sz w:val="28"/>
        </w:rPr>
      </w:pPr>
    </w:p>
    <w:p w14:paraId="33583F49">
      <w:pPr>
        <w:spacing w:line="360" w:lineRule="auto"/>
        <w:ind w:right="-10" w:firstLine="562"/>
        <w:jc w:val="center"/>
        <w:rPr>
          <w:rFonts w:ascii="宋体" w:hAnsi="宋体" w:cs="宋体"/>
          <w:b/>
          <w:sz w:val="28"/>
        </w:rPr>
      </w:pPr>
      <w:r>
        <w:rPr>
          <w:rFonts w:hint="eastAsia" w:ascii="宋体" w:hAnsi="宋体" w:cs="宋体"/>
          <w:b/>
          <w:sz w:val="28"/>
        </w:rPr>
        <w:t>四、</w:t>
      </w:r>
      <w:r>
        <w:rPr>
          <w:rFonts w:ascii="宋体" w:hAnsi="宋体" w:cs="宋体"/>
          <w:b/>
          <w:sz w:val="28"/>
        </w:rPr>
        <w:t>初步评审</w:t>
      </w:r>
    </w:p>
    <w:p w14:paraId="74625846">
      <w:pPr>
        <w:spacing w:line="360" w:lineRule="auto"/>
        <w:ind w:right="-10" w:firstLine="562"/>
        <w:jc w:val="left"/>
        <w:rPr>
          <w:rFonts w:ascii="宋体" w:hAnsi="宋体" w:cs="宋体"/>
          <w:b/>
          <w:sz w:val="28"/>
        </w:rPr>
      </w:pPr>
      <w:r>
        <w:rPr>
          <w:rFonts w:hint="eastAsia" w:ascii="宋体" w:hAnsi="宋体" w:cs="宋体"/>
          <w:b/>
          <w:sz w:val="28"/>
        </w:rPr>
        <w:t>评委对下述评审因素进行评审，如有一项未符合要求，视为未能对招标文件做出实质性响应，作无效标处理。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258"/>
        <w:gridCol w:w="2408"/>
        <w:gridCol w:w="4706"/>
      </w:tblGrid>
      <w:tr w14:paraId="032D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163" w:type="dxa"/>
            <w:gridSpan w:val="2"/>
            <w:vAlign w:val="center"/>
          </w:tcPr>
          <w:p w14:paraId="025F2E07">
            <w:pPr>
              <w:jc w:val="center"/>
              <w:rPr>
                <w:rFonts w:ascii="仿宋" w:hAnsi="仿宋" w:eastAsia="仿宋"/>
                <w:b/>
                <w:sz w:val="24"/>
                <w:szCs w:val="24"/>
              </w:rPr>
            </w:pPr>
            <w:r>
              <w:rPr>
                <w:rFonts w:ascii="仿宋" w:hAnsi="仿宋" w:eastAsia="仿宋"/>
                <w:b/>
                <w:sz w:val="24"/>
                <w:szCs w:val="24"/>
              </w:rPr>
              <w:t>条款号</w:t>
            </w:r>
          </w:p>
        </w:tc>
        <w:tc>
          <w:tcPr>
            <w:tcW w:w="2408" w:type="dxa"/>
            <w:vAlign w:val="center"/>
          </w:tcPr>
          <w:p w14:paraId="011ABEF7">
            <w:pPr>
              <w:jc w:val="center"/>
              <w:rPr>
                <w:rFonts w:ascii="仿宋" w:hAnsi="仿宋" w:eastAsia="仿宋"/>
                <w:b/>
                <w:sz w:val="24"/>
                <w:szCs w:val="24"/>
              </w:rPr>
            </w:pPr>
            <w:r>
              <w:rPr>
                <w:rFonts w:ascii="仿宋" w:hAnsi="仿宋" w:eastAsia="仿宋"/>
                <w:b/>
                <w:sz w:val="24"/>
                <w:szCs w:val="24"/>
              </w:rPr>
              <w:t>评审因素</w:t>
            </w:r>
          </w:p>
        </w:tc>
        <w:tc>
          <w:tcPr>
            <w:tcW w:w="4706" w:type="dxa"/>
            <w:vAlign w:val="center"/>
          </w:tcPr>
          <w:p w14:paraId="3E2F5B37">
            <w:pPr>
              <w:jc w:val="center"/>
              <w:rPr>
                <w:rFonts w:ascii="仿宋" w:hAnsi="仿宋" w:eastAsia="仿宋"/>
                <w:b/>
                <w:sz w:val="24"/>
                <w:szCs w:val="24"/>
              </w:rPr>
            </w:pPr>
            <w:r>
              <w:rPr>
                <w:rFonts w:ascii="仿宋" w:hAnsi="仿宋" w:eastAsia="仿宋"/>
                <w:b/>
                <w:sz w:val="24"/>
                <w:szCs w:val="24"/>
              </w:rPr>
              <w:t>评审标准</w:t>
            </w:r>
          </w:p>
        </w:tc>
      </w:tr>
      <w:tr w14:paraId="6535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5" w:type="dxa"/>
            <w:vMerge w:val="restart"/>
            <w:vAlign w:val="center"/>
          </w:tcPr>
          <w:p w14:paraId="215E415A">
            <w:pPr>
              <w:spacing w:line="360" w:lineRule="auto"/>
              <w:ind w:firstLine="550"/>
              <w:rPr>
                <w:rFonts w:ascii="宋体" w:hAnsi="宋体"/>
                <w:sz w:val="24"/>
              </w:rPr>
            </w:pPr>
            <w:r>
              <w:rPr>
                <w:rFonts w:hint="eastAsia" w:ascii="宋体" w:hAnsi="宋体"/>
                <w:sz w:val="24"/>
              </w:rPr>
              <w:t>1</w:t>
            </w:r>
          </w:p>
        </w:tc>
        <w:tc>
          <w:tcPr>
            <w:tcW w:w="1258" w:type="dxa"/>
            <w:vMerge w:val="restart"/>
            <w:vAlign w:val="center"/>
          </w:tcPr>
          <w:p w14:paraId="71C11F8C">
            <w:pPr>
              <w:spacing w:line="360" w:lineRule="auto"/>
              <w:rPr>
                <w:rFonts w:ascii="宋体" w:hAnsi="宋体"/>
                <w:sz w:val="24"/>
              </w:rPr>
            </w:pPr>
            <w:r>
              <w:rPr>
                <w:rFonts w:hint="eastAsia" w:ascii="宋体" w:hAnsi="宋体"/>
                <w:sz w:val="24"/>
              </w:rPr>
              <w:t>形式评审标准</w:t>
            </w:r>
          </w:p>
        </w:tc>
        <w:tc>
          <w:tcPr>
            <w:tcW w:w="2408" w:type="dxa"/>
            <w:vAlign w:val="center"/>
          </w:tcPr>
          <w:p w14:paraId="372C351D">
            <w:pPr>
              <w:spacing w:line="360" w:lineRule="auto"/>
              <w:jc w:val="left"/>
              <w:rPr>
                <w:rFonts w:ascii="宋体" w:hAnsi="宋体"/>
                <w:sz w:val="24"/>
              </w:rPr>
            </w:pPr>
            <w:r>
              <w:rPr>
                <w:rFonts w:hint="eastAsia" w:ascii="宋体" w:hAnsi="宋体"/>
                <w:sz w:val="24"/>
              </w:rPr>
              <w:t>供应商营业执照或事业单位法人证书</w:t>
            </w:r>
          </w:p>
        </w:tc>
        <w:tc>
          <w:tcPr>
            <w:tcW w:w="4706" w:type="dxa"/>
            <w:vAlign w:val="center"/>
          </w:tcPr>
          <w:p w14:paraId="5653C689">
            <w:pPr>
              <w:spacing w:line="360" w:lineRule="auto"/>
              <w:jc w:val="left"/>
              <w:rPr>
                <w:rFonts w:ascii="宋体" w:hAnsi="宋体"/>
                <w:sz w:val="24"/>
              </w:rPr>
            </w:pPr>
            <w:r>
              <w:rPr>
                <w:rFonts w:hint="eastAsia" w:ascii="宋体" w:hAnsi="宋体"/>
                <w:sz w:val="24"/>
              </w:rPr>
              <w:t>与扫描件一致</w:t>
            </w:r>
          </w:p>
        </w:tc>
      </w:tr>
      <w:tr w14:paraId="5FF83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05" w:type="dxa"/>
            <w:vMerge w:val="continue"/>
            <w:vAlign w:val="center"/>
          </w:tcPr>
          <w:p w14:paraId="7316E49D">
            <w:pPr>
              <w:spacing w:line="360" w:lineRule="auto"/>
              <w:ind w:firstLine="550"/>
              <w:rPr>
                <w:rFonts w:ascii="宋体" w:hAnsi="宋体"/>
                <w:sz w:val="24"/>
              </w:rPr>
            </w:pPr>
          </w:p>
        </w:tc>
        <w:tc>
          <w:tcPr>
            <w:tcW w:w="1258" w:type="dxa"/>
            <w:vMerge w:val="continue"/>
            <w:vAlign w:val="center"/>
          </w:tcPr>
          <w:p w14:paraId="225FBDC3">
            <w:pPr>
              <w:spacing w:line="360" w:lineRule="auto"/>
              <w:ind w:firstLine="550"/>
              <w:rPr>
                <w:rFonts w:ascii="宋体" w:hAnsi="宋体"/>
                <w:sz w:val="24"/>
              </w:rPr>
            </w:pPr>
          </w:p>
        </w:tc>
        <w:tc>
          <w:tcPr>
            <w:tcW w:w="2408" w:type="dxa"/>
            <w:vAlign w:val="center"/>
          </w:tcPr>
          <w:p w14:paraId="78796C13">
            <w:pPr>
              <w:spacing w:line="360" w:lineRule="auto"/>
              <w:jc w:val="left"/>
              <w:rPr>
                <w:rFonts w:ascii="宋体" w:hAnsi="宋体"/>
                <w:sz w:val="24"/>
              </w:rPr>
            </w:pPr>
            <w:r>
              <w:rPr>
                <w:rFonts w:hint="eastAsia" w:ascii="宋体" w:hAnsi="宋体"/>
                <w:sz w:val="24"/>
              </w:rPr>
              <w:t>投标函签字、盖章</w:t>
            </w:r>
          </w:p>
        </w:tc>
        <w:tc>
          <w:tcPr>
            <w:tcW w:w="4706" w:type="dxa"/>
            <w:vAlign w:val="center"/>
          </w:tcPr>
          <w:p w14:paraId="0F0F866E">
            <w:pPr>
              <w:spacing w:line="360" w:lineRule="auto"/>
              <w:jc w:val="left"/>
              <w:rPr>
                <w:rFonts w:ascii="宋体" w:hAnsi="宋体"/>
                <w:sz w:val="24"/>
              </w:rPr>
            </w:pPr>
            <w:r>
              <w:rPr>
                <w:rFonts w:hint="eastAsia" w:ascii="宋体" w:hAnsi="宋体"/>
                <w:sz w:val="24"/>
              </w:rPr>
              <w:t>符合招标文件规定</w:t>
            </w:r>
          </w:p>
        </w:tc>
      </w:tr>
      <w:tr w14:paraId="0078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905" w:type="dxa"/>
            <w:vMerge w:val="continue"/>
            <w:vAlign w:val="center"/>
          </w:tcPr>
          <w:p w14:paraId="51B589C0">
            <w:pPr>
              <w:spacing w:line="360" w:lineRule="auto"/>
              <w:ind w:firstLine="550"/>
              <w:rPr>
                <w:rFonts w:ascii="宋体" w:hAnsi="宋体"/>
                <w:sz w:val="24"/>
              </w:rPr>
            </w:pPr>
          </w:p>
        </w:tc>
        <w:tc>
          <w:tcPr>
            <w:tcW w:w="1258" w:type="dxa"/>
            <w:vMerge w:val="continue"/>
            <w:vAlign w:val="center"/>
          </w:tcPr>
          <w:p w14:paraId="3324BF5B">
            <w:pPr>
              <w:spacing w:line="360" w:lineRule="auto"/>
              <w:ind w:firstLine="550"/>
              <w:rPr>
                <w:rFonts w:ascii="宋体" w:hAnsi="宋体"/>
                <w:sz w:val="24"/>
              </w:rPr>
            </w:pPr>
          </w:p>
        </w:tc>
        <w:tc>
          <w:tcPr>
            <w:tcW w:w="2408" w:type="dxa"/>
            <w:vAlign w:val="center"/>
          </w:tcPr>
          <w:p w14:paraId="7E426246">
            <w:pPr>
              <w:spacing w:line="360" w:lineRule="auto"/>
              <w:jc w:val="left"/>
              <w:rPr>
                <w:rFonts w:ascii="宋体" w:hAnsi="宋体"/>
                <w:sz w:val="24"/>
              </w:rPr>
            </w:pPr>
            <w:r>
              <w:rPr>
                <w:rFonts w:hint="eastAsia" w:ascii="宋体" w:hAnsi="宋体"/>
                <w:sz w:val="24"/>
              </w:rPr>
              <w:t>投标报价</w:t>
            </w:r>
          </w:p>
        </w:tc>
        <w:tc>
          <w:tcPr>
            <w:tcW w:w="4706" w:type="dxa"/>
            <w:vAlign w:val="center"/>
          </w:tcPr>
          <w:p w14:paraId="2A80B544">
            <w:pPr>
              <w:spacing w:line="360" w:lineRule="auto"/>
              <w:jc w:val="left"/>
              <w:rPr>
                <w:rFonts w:ascii="宋体" w:hAnsi="宋体"/>
                <w:sz w:val="24"/>
              </w:rPr>
            </w:pPr>
            <w:r>
              <w:rPr>
                <w:rFonts w:hint="eastAsia" w:ascii="宋体" w:hAnsi="宋体"/>
                <w:sz w:val="24"/>
              </w:rPr>
              <w:t>不高于最高限价</w:t>
            </w:r>
          </w:p>
        </w:tc>
      </w:tr>
      <w:tr w14:paraId="0AEA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05" w:type="dxa"/>
            <w:vMerge w:val="continue"/>
            <w:vAlign w:val="center"/>
          </w:tcPr>
          <w:p w14:paraId="5CAA15AC">
            <w:pPr>
              <w:spacing w:line="360" w:lineRule="auto"/>
              <w:ind w:firstLine="550"/>
              <w:rPr>
                <w:rFonts w:ascii="宋体" w:hAnsi="宋体"/>
                <w:sz w:val="24"/>
              </w:rPr>
            </w:pPr>
          </w:p>
        </w:tc>
        <w:tc>
          <w:tcPr>
            <w:tcW w:w="1258" w:type="dxa"/>
            <w:vMerge w:val="continue"/>
            <w:vAlign w:val="center"/>
          </w:tcPr>
          <w:p w14:paraId="06A46C9F">
            <w:pPr>
              <w:spacing w:line="360" w:lineRule="auto"/>
              <w:ind w:firstLine="550"/>
              <w:rPr>
                <w:rFonts w:ascii="宋体" w:hAnsi="宋体"/>
                <w:sz w:val="24"/>
              </w:rPr>
            </w:pPr>
          </w:p>
        </w:tc>
        <w:tc>
          <w:tcPr>
            <w:tcW w:w="2408" w:type="dxa"/>
            <w:vAlign w:val="center"/>
          </w:tcPr>
          <w:p w14:paraId="3CB391B9">
            <w:pPr>
              <w:spacing w:line="360" w:lineRule="auto"/>
              <w:jc w:val="left"/>
              <w:rPr>
                <w:rFonts w:ascii="宋体" w:hAnsi="宋体"/>
                <w:sz w:val="24"/>
              </w:rPr>
            </w:pPr>
            <w:r>
              <w:rPr>
                <w:rFonts w:hint="eastAsia" w:ascii="宋体" w:hAnsi="宋体"/>
                <w:sz w:val="24"/>
              </w:rPr>
              <w:t>联合体投标</w:t>
            </w:r>
          </w:p>
        </w:tc>
        <w:tc>
          <w:tcPr>
            <w:tcW w:w="4706" w:type="dxa"/>
            <w:vAlign w:val="center"/>
          </w:tcPr>
          <w:p w14:paraId="78FC6FD3">
            <w:pPr>
              <w:spacing w:line="360" w:lineRule="auto"/>
              <w:jc w:val="left"/>
              <w:rPr>
                <w:rFonts w:ascii="宋体" w:hAnsi="宋体"/>
                <w:sz w:val="24"/>
              </w:rPr>
            </w:pPr>
            <w:r>
              <w:rPr>
                <w:rFonts w:hint="eastAsia" w:ascii="宋体" w:hAnsi="宋体"/>
                <w:sz w:val="24"/>
              </w:rPr>
              <w:t>不允许</w:t>
            </w:r>
          </w:p>
        </w:tc>
      </w:tr>
      <w:tr w14:paraId="0351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05" w:type="dxa"/>
            <w:vMerge w:val="restart"/>
            <w:vAlign w:val="center"/>
          </w:tcPr>
          <w:p w14:paraId="760D57C4">
            <w:pPr>
              <w:spacing w:line="360" w:lineRule="auto"/>
              <w:ind w:firstLine="550"/>
              <w:rPr>
                <w:rFonts w:ascii="宋体" w:hAnsi="宋体"/>
                <w:sz w:val="24"/>
              </w:rPr>
            </w:pPr>
            <w:r>
              <w:rPr>
                <w:rFonts w:hint="eastAsia" w:ascii="宋体" w:hAnsi="宋体"/>
                <w:sz w:val="24"/>
              </w:rPr>
              <w:t>2</w:t>
            </w:r>
          </w:p>
        </w:tc>
        <w:tc>
          <w:tcPr>
            <w:tcW w:w="1258" w:type="dxa"/>
            <w:vMerge w:val="restart"/>
            <w:vAlign w:val="center"/>
          </w:tcPr>
          <w:p w14:paraId="23105857">
            <w:pPr>
              <w:spacing w:line="360" w:lineRule="auto"/>
              <w:rPr>
                <w:rFonts w:ascii="宋体" w:hAnsi="宋体"/>
                <w:sz w:val="24"/>
              </w:rPr>
            </w:pPr>
            <w:r>
              <w:rPr>
                <w:rFonts w:hint="eastAsia" w:ascii="宋体" w:hAnsi="宋体"/>
                <w:sz w:val="24"/>
              </w:rPr>
              <w:t>资格评审标准</w:t>
            </w:r>
          </w:p>
        </w:tc>
        <w:tc>
          <w:tcPr>
            <w:tcW w:w="2408" w:type="dxa"/>
            <w:vAlign w:val="center"/>
          </w:tcPr>
          <w:p w14:paraId="1F0508FE">
            <w:pPr>
              <w:spacing w:line="360" w:lineRule="auto"/>
              <w:jc w:val="left"/>
              <w:rPr>
                <w:rFonts w:ascii="宋体" w:hAnsi="宋体"/>
                <w:sz w:val="24"/>
              </w:rPr>
            </w:pPr>
            <w:r>
              <w:rPr>
                <w:rFonts w:hint="eastAsia" w:ascii="宋体" w:hAnsi="宋体"/>
                <w:sz w:val="24"/>
              </w:rPr>
              <w:t>供应商资质</w:t>
            </w:r>
          </w:p>
        </w:tc>
        <w:tc>
          <w:tcPr>
            <w:tcW w:w="4706" w:type="dxa"/>
            <w:vAlign w:val="center"/>
          </w:tcPr>
          <w:p w14:paraId="6A30DFF9">
            <w:pPr>
              <w:spacing w:line="360" w:lineRule="auto"/>
              <w:jc w:val="left"/>
              <w:rPr>
                <w:rFonts w:ascii="宋体" w:hAnsi="宋体"/>
                <w:sz w:val="24"/>
              </w:rPr>
            </w:pPr>
            <w:r>
              <w:rPr>
                <w:rFonts w:hint="eastAsia" w:ascii="宋体" w:hAnsi="宋体"/>
                <w:sz w:val="24"/>
              </w:rPr>
              <w:t>符合招标文件规定</w:t>
            </w:r>
          </w:p>
        </w:tc>
      </w:tr>
      <w:tr w14:paraId="3ACF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5" w:type="dxa"/>
            <w:vMerge w:val="continue"/>
            <w:vAlign w:val="center"/>
          </w:tcPr>
          <w:p w14:paraId="230231B7">
            <w:pPr>
              <w:spacing w:line="360" w:lineRule="auto"/>
              <w:ind w:firstLine="550"/>
              <w:rPr>
                <w:rFonts w:ascii="宋体" w:hAnsi="宋体"/>
                <w:sz w:val="24"/>
              </w:rPr>
            </w:pPr>
          </w:p>
        </w:tc>
        <w:tc>
          <w:tcPr>
            <w:tcW w:w="1258" w:type="dxa"/>
            <w:vMerge w:val="continue"/>
            <w:vAlign w:val="center"/>
          </w:tcPr>
          <w:p w14:paraId="1DE3F878">
            <w:pPr>
              <w:spacing w:line="360" w:lineRule="auto"/>
              <w:ind w:firstLine="550"/>
              <w:rPr>
                <w:rFonts w:ascii="宋体" w:hAnsi="宋体"/>
                <w:sz w:val="24"/>
              </w:rPr>
            </w:pPr>
          </w:p>
        </w:tc>
        <w:tc>
          <w:tcPr>
            <w:tcW w:w="2408" w:type="dxa"/>
            <w:vAlign w:val="center"/>
          </w:tcPr>
          <w:p w14:paraId="6370F08D">
            <w:pPr>
              <w:spacing w:line="360" w:lineRule="auto"/>
              <w:jc w:val="left"/>
              <w:rPr>
                <w:rFonts w:ascii="宋体" w:hAnsi="宋体"/>
                <w:sz w:val="24"/>
              </w:rPr>
            </w:pPr>
            <w:r>
              <w:rPr>
                <w:rFonts w:hint="eastAsia" w:ascii="宋体" w:hAnsi="宋体"/>
                <w:sz w:val="24"/>
              </w:rPr>
              <w:t>供应商信誉承诺</w:t>
            </w:r>
          </w:p>
        </w:tc>
        <w:tc>
          <w:tcPr>
            <w:tcW w:w="4706" w:type="dxa"/>
            <w:vAlign w:val="center"/>
          </w:tcPr>
          <w:p w14:paraId="0DADFBD4">
            <w:pPr>
              <w:spacing w:line="360" w:lineRule="auto"/>
              <w:jc w:val="left"/>
              <w:rPr>
                <w:rFonts w:ascii="宋体" w:hAnsi="宋体"/>
                <w:sz w:val="24"/>
              </w:rPr>
            </w:pPr>
            <w:r>
              <w:rPr>
                <w:rFonts w:hint="eastAsia" w:ascii="宋体" w:hAnsi="宋体"/>
                <w:sz w:val="24"/>
              </w:rPr>
              <w:t>符合招标文件规定</w:t>
            </w:r>
          </w:p>
        </w:tc>
      </w:tr>
      <w:tr w14:paraId="58F2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5" w:type="dxa"/>
            <w:vMerge w:val="restart"/>
            <w:vAlign w:val="center"/>
          </w:tcPr>
          <w:p w14:paraId="1D8F0C7F">
            <w:pPr>
              <w:spacing w:line="360" w:lineRule="auto"/>
              <w:ind w:firstLine="550"/>
              <w:rPr>
                <w:rFonts w:ascii="宋体" w:hAnsi="宋体"/>
                <w:sz w:val="24"/>
              </w:rPr>
            </w:pPr>
            <w:r>
              <w:rPr>
                <w:rFonts w:hint="eastAsia" w:ascii="宋体" w:hAnsi="宋体"/>
                <w:sz w:val="24"/>
              </w:rPr>
              <w:t>3</w:t>
            </w:r>
          </w:p>
        </w:tc>
        <w:tc>
          <w:tcPr>
            <w:tcW w:w="1258" w:type="dxa"/>
            <w:vMerge w:val="restart"/>
            <w:vAlign w:val="center"/>
          </w:tcPr>
          <w:p w14:paraId="7B176408">
            <w:pPr>
              <w:spacing w:line="360" w:lineRule="auto"/>
              <w:rPr>
                <w:rFonts w:ascii="宋体" w:hAnsi="宋体"/>
                <w:sz w:val="24"/>
              </w:rPr>
            </w:pPr>
            <w:r>
              <w:rPr>
                <w:rFonts w:hint="eastAsia" w:ascii="宋体" w:hAnsi="宋体"/>
                <w:sz w:val="24"/>
              </w:rPr>
              <w:t>响应性评审标准</w:t>
            </w:r>
          </w:p>
        </w:tc>
        <w:tc>
          <w:tcPr>
            <w:tcW w:w="2408" w:type="dxa"/>
            <w:vAlign w:val="center"/>
          </w:tcPr>
          <w:p w14:paraId="5643B4DE">
            <w:pPr>
              <w:spacing w:line="360" w:lineRule="auto"/>
              <w:jc w:val="left"/>
              <w:rPr>
                <w:rFonts w:ascii="宋体" w:hAnsi="宋体"/>
                <w:sz w:val="24"/>
              </w:rPr>
            </w:pPr>
            <w:r>
              <w:rPr>
                <w:rFonts w:hint="eastAsia" w:ascii="宋体" w:hAnsi="宋体"/>
                <w:sz w:val="24"/>
              </w:rPr>
              <w:t>投标内容</w:t>
            </w:r>
          </w:p>
        </w:tc>
        <w:tc>
          <w:tcPr>
            <w:tcW w:w="4706" w:type="dxa"/>
            <w:vAlign w:val="center"/>
          </w:tcPr>
          <w:p w14:paraId="6E0298C5">
            <w:pPr>
              <w:spacing w:line="360" w:lineRule="auto"/>
              <w:jc w:val="left"/>
              <w:rPr>
                <w:rFonts w:ascii="宋体" w:hAnsi="宋体"/>
                <w:sz w:val="24"/>
              </w:rPr>
            </w:pPr>
            <w:r>
              <w:rPr>
                <w:rFonts w:hint="eastAsia" w:ascii="宋体" w:hAnsi="宋体"/>
                <w:sz w:val="24"/>
              </w:rPr>
              <w:t>符合招标文件规定</w:t>
            </w:r>
          </w:p>
        </w:tc>
      </w:tr>
      <w:tr w14:paraId="60FFC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5" w:type="dxa"/>
            <w:vMerge w:val="continue"/>
            <w:vAlign w:val="center"/>
          </w:tcPr>
          <w:p w14:paraId="6BD13E2C">
            <w:pPr>
              <w:spacing w:line="360" w:lineRule="auto"/>
              <w:ind w:firstLine="550"/>
              <w:rPr>
                <w:rFonts w:ascii="宋体" w:hAnsi="宋体"/>
                <w:sz w:val="24"/>
              </w:rPr>
            </w:pPr>
          </w:p>
        </w:tc>
        <w:tc>
          <w:tcPr>
            <w:tcW w:w="1258" w:type="dxa"/>
            <w:vMerge w:val="continue"/>
            <w:vAlign w:val="center"/>
          </w:tcPr>
          <w:p w14:paraId="56E46BD3">
            <w:pPr>
              <w:spacing w:line="360" w:lineRule="auto"/>
              <w:ind w:firstLine="550"/>
              <w:rPr>
                <w:rFonts w:ascii="宋体" w:hAnsi="宋体"/>
                <w:sz w:val="24"/>
              </w:rPr>
            </w:pPr>
          </w:p>
        </w:tc>
        <w:tc>
          <w:tcPr>
            <w:tcW w:w="2408" w:type="dxa"/>
            <w:vAlign w:val="center"/>
          </w:tcPr>
          <w:p w14:paraId="5BF7FE7C">
            <w:pPr>
              <w:spacing w:line="360" w:lineRule="auto"/>
              <w:jc w:val="left"/>
              <w:rPr>
                <w:rFonts w:ascii="宋体" w:hAnsi="宋体"/>
                <w:sz w:val="24"/>
              </w:rPr>
            </w:pPr>
            <w:r>
              <w:rPr>
                <w:rFonts w:hint="eastAsia" w:ascii="宋体" w:hAnsi="宋体" w:cs="宋体"/>
                <w:sz w:val="24"/>
              </w:rPr>
              <w:t>服务期</w:t>
            </w:r>
          </w:p>
        </w:tc>
        <w:tc>
          <w:tcPr>
            <w:tcW w:w="4706" w:type="dxa"/>
            <w:vAlign w:val="center"/>
          </w:tcPr>
          <w:p w14:paraId="701CD68A">
            <w:pPr>
              <w:spacing w:line="360" w:lineRule="auto"/>
              <w:jc w:val="left"/>
              <w:rPr>
                <w:rFonts w:ascii="宋体" w:hAnsi="宋体"/>
                <w:sz w:val="24"/>
              </w:rPr>
            </w:pPr>
            <w:r>
              <w:rPr>
                <w:rFonts w:hint="eastAsia" w:ascii="宋体" w:hAnsi="宋体"/>
                <w:sz w:val="24"/>
              </w:rPr>
              <w:t>响应招标文件</w:t>
            </w:r>
          </w:p>
        </w:tc>
      </w:tr>
      <w:tr w14:paraId="6F8B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5" w:type="dxa"/>
            <w:vMerge w:val="continue"/>
            <w:vAlign w:val="center"/>
          </w:tcPr>
          <w:p w14:paraId="7DE51EA7">
            <w:pPr>
              <w:spacing w:line="360" w:lineRule="auto"/>
              <w:ind w:firstLine="550"/>
              <w:rPr>
                <w:rFonts w:ascii="宋体" w:hAnsi="宋体"/>
                <w:sz w:val="24"/>
              </w:rPr>
            </w:pPr>
          </w:p>
        </w:tc>
        <w:tc>
          <w:tcPr>
            <w:tcW w:w="1258" w:type="dxa"/>
            <w:vMerge w:val="continue"/>
            <w:vAlign w:val="center"/>
          </w:tcPr>
          <w:p w14:paraId="1EB002F6">
            <w:pPr>
              <w:spacing w:line="360" w:lineRule="auto"/>
              <w:ind w:firstLine="550"/>
              <w:rPr>
                <w:rFonts w:ascii="宋体" w:hAnsi="宋体"/>
                <w:sz w:val="24"/>
              </w:rPr>
            </w:pPr>
          </w:p>
        </w:tc>
        <w:tc>
          <w:tcPr>
            <w:tcW w:w="2408" w:type="dxa"/>
            <w:vAlign w:val="center"/>
          </w:tcPr>
          <w:p w14:paraId="5B82F466">
            <w:pPr>
              <w:spacing w:line="360" w:lineRule="auto"/>
              <w:jc w:val="left"/>
              <w:rPr>
                <w:rFonts w:ascii="宋体" w:hAnsi="宋体"/>
                <w:sz w:val="24"/>
              </w:rPr>
            </w:pPr>
            <w:r>
              <w:rPr>
                <w:rFonts w:hint="eastAsia" w:ascii="宋体" w:hAnsi="宋体"/>
                <w:sz w:val="24"/>
              </w:rPr>
              <w:t>服务质量</w:t>
            </w:r>
          </w:p>
        </w:tc>
        <w:tc>
          <w:tcPr>
            <w:tcW w:w="4706" w:type="dxa"/>
            <w:vAlign w:val="center"/>
          </w:tcPr>
          <w:p w14:paraId="71E4C641">
            <w:pPr>
              <w:spacing w:line="360" w:lineRule="auto"/>
              <w:jc w:val="left"/>
              <w:rPr>
                <w:rFonts w:ascii="宋体" w:hAnsi="宋体"/>
                <w:sz w:val="24"/>
              </w:rPr>
            </w:pPr>
            <w:r>
              <w:rPr>
                <w:rFonts w:hint="eastAsia" w:ascii="宋体" w:hAnsi="宋体"/>
                <w:sz w:val="24"/>
              </w:rPr>
              <w:t>符合招标文件规定</w:t>
            </w:r>
          </w:p>
        </w:tc>
      </w:tr>
      <w:tr w14:paraId="1521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5" w:type="dxa"/>
            <w:vMerge w:val="continue"/>
            <w:vAlign w:val="center"/>
          </w:tcPr>
          <w:p w14:paraId="5E324AC9">
            <w:pPr>
              <w:spacing w:line="360" w:lineRule="auto"/>
              <w:ind w:firstLine="550"/>
              <w:rPr>
                <w:rFonts w:ascii="宋体" w:hAnsi="宋体"/>
                <w:sz w:val="24"/>
              </w:rPr>
            </w:pPr>
          </w:p>
        </w:tc>
        <w:tc>
          <w:tcPr>
            <w:tcW w:w="1258" w:type="dxa"/>
            <w:vMerge w:val="continue"/>
            <w:vAlign w:val="center"/>
          </w:tcPr>
          <w:p w14:paraId="7FECBAD8">
            <w:pPr>
              <w:spacing w:line="360" w:lineRule="auto"/>
              <w:ind w:firstLine="550"/>
              <w:rPr>
                <w:rFonts w:ascii="宋体" w:hAnsi="宋体"/>
                <w:sz w:val="24"/>
              </w:rPr>
            </w:pPr>
          </w:p>
        </w:tc>
        <w:tc>
          <w:tcPr>
            <w:tcW w:w="2408" w:type="dxa"/>
            <w:vAlign w:val="center"/>
          </w:tcPr>
          <w:p w14:paraId="083E6CE2">
            <w:pPr>
              <w:spacing w:line="360" w:lineRule="auto"/>
              <w:jc w:val="left"/>
              <w:rPr>
                <w:rFonts w:ascii="宋体" w:hAnsi="宋体"/>
                <w:sz w:val="24"/>
              </w:rPr>
            </w:pPr>
            <w:r>
              <w:rPr>
                <w:rFonts w:hint="eastAsia" w:ascii="宋体" w:hAnsi="宋体"/>
                <w:sz w:val="24"/>
              </w:rPr>
              <w:t>投标有效期</w:t>
            </w:r>
          </w:p>
        </w:tc>
        <w:tc>
          <w:tcPr>
            <w:tcW w:w="4706" w:type="dxa"/>
            <w:vAlign w:val="center"/>
          </w:tcPr>
          <w:p w14:paraId="58F0982B">
            <w:pPr>
              <w:spacing w:line="360" w:lineRule="auto"/>
              <w:jc w:val="left"/>
              <w:rPr>
                <w:rFonts w:ascii="宋体" w:hAnsi="宋体"/>
                <w:sz w:val="24"/>
              </w:rPr>
            </w:pPr>
            <w:r>
              <w:rPr>
                <w:rFonts w:hint="eastAsia" w:ascii="宋体" w:hAnsi="宋体"/>
                <w:sz w:val="24"/>
              </w:rPr>
              <w:t>响应招标文件规定</w:t>
            </w:r>
          </w:p>
        </w:tc>
      </w:tr>
    </w:tbl>
    <w:p w14:paraId="57538093">
      <w:pPr>
        <w:spacing w:after="100" w:afterAutospacing="1" w:line="360" w:lineRule="auto"/>
        <w:ind w:firstLine="482" w:firstLineChars="200"/>
        <w:jc w:val="left"/>
        <w:rPr>
          <w:rFonts w:ascii="宋体" w:hAnsi="宋体"/>
          <w:b/>
          <w:bCs/>
          <w:sz w:val="24"/>
        </w:rPr>
      </w:pPr>
      <w:r>
        <w:rPr>
          <w:rFonts w:hint="eastAsia" w:ascii="宋体" w:hAnsi="宋体"/>
          <w:b/>
          <w:bCs/>
          <w:sz w:val="24"/>
        </w:rPr>
        <w:t>注：供应商必须通过上述全部指标，有一项未通过将不进入后续评审。开标现场除提供参加开标代表原件其它不需要提供原件，只需根据磋商文件要求，把清晰可辨的复印件或影印件放入投标文件内，如因不清晰造成的不良后果自负。</w:t>
      </w:r>
    </w:p>
    <w:p w14:paraId="598B22B8">
      <w:pPr>
        <w:spacing w:line="360" w:lineRule="auto"/>
        <w:ind w:right="-10" w:firstLine="562"/>
        <w:jc w:val="center"/>
        <w:rPr>
          <w:rFonts w:ascii="宋体" w:hAnsi="宋体" w:cs="宋体"/>
          <w:b/>
          <w:sz w:val="28"/>
        </w:rPr>
      </w:pPr>
    </w:p>
    <w:p w14:paraId="65530714">
      <w:pPr>
        <w:spacing w:line="360" w:lineRule="auto"/>
        <w:ind w:right="-10" w:firstLine="562"/>
        <w:jc w:val="center"/>
        <w:rPr>
          <w:rFonts w:ascii="宋体" w:hAnsi="宋体" w:cs="宋体"/>
          <w:b/>
          <w:sz w:val="28"/>
        </w:rPr>
      </w:pPr>
    </w:p>
    <w:p w14:paraId="3FC9AED9">
      <w:pPr>
        <w:spacing w:line="360" w:lineRule="auto"/>
        <w:ind w:right="-10" w:firstLine="562"/>
        <w:jc w:val="center"/>
        <w:rPr>
          <w:rFonts w:ascii="宋体" w:hAnsi="宋体" w:cs="宋体"/>
          <w:b/>
          <w:sz w:val="28"/>
        </w:rPr>
      </w:pPr>
    </w:p>
    <w:p w14:paraId="79AC7239">
      <w:pPr>
        <w:pStyle w:val="2"/>
      </w:pPr>
    </w:p>
    <w:p w14:paraId="65E91B29">
      <w:pPr>
        <w:spacing w:line="360" w:lineRule="auto"/>
        <w:ind w:right="-10"/>
        <w:rPr>
          <w:rFonts w:ascii="宋体" w:hAnsi="宋体" w:cs="宋体"/>
          <w:b/>
          <w:sz w:val="28"/>
        </w:rPr>
      </w:pPr>
    </w:p>
    <w:p w14:paraId="50BA607C">
      <w:pPr>
        <w:pStyle w:val="2"/>
      </w:pPr>
    </w:p>
    <w:p w14:paraId="07D23E3B">
      <w:pPr>
        <w:spacing w:line="360" w:lineRule="auto"/>
        <w:ind w:right="-10"/>
        <w:jc w:val="center"/>
        <w:rPr>
          <w:rFonts w:ascii="宋体" w:hAnsi="宋体" w:cs="宋体"/>
          <w:b/>
          <w:sz w:val="28"/>
        </w:rPr>
      </w:pPr>
      <w:r>
        <w:rPr>
          <w:rFonts w:hint="eastAsia" w:ascii="宋体" w:hAnsi="宋体" w:cs="宋体"/>
          <w:b/>
          <w:sz w:val="28"/>
        </w:rPr>
        <w:br w:type="page"/>
      </w:r>
      <w:r>
        <w:rPr>
          <w:rFonts w:hint="eastAsia" w:ascii="宋体" w:hAnsi="宋体" w:cs="宋体"/>
          <w:b/>
          <w:sz w:val="28"/>
        </w:rPr>
        <w:t>五、评分细则</w:t>
      </w:r>
    </w:p>
    <w:tbl>
      <w:tblPr>
        <w:tblStyle w:val="22"/>
        <w:tblW w:w="9700" w:type="dxa"/>
        <w:tblInd w:w="93" w:type="dxa"/>
        <w:tblLayout w:type="fixed"/>
        <w:tblCellMar>
          <w:top w:w="0" w:type="dxa"/>
          <w:left w:w="108" w:type="dxa"/>
          <w:bottom w:w="0" w:type="dxa"/>
          <w:right w:w="108" w:type="dxa"/>
        </w:tblCellMar>
      </w:tblPr>
      <w:tblGrid>
        <w:gridCol w:w="776"/>
        <w:gridCol w:w="1224"/>
        <w:gridCol w:w="850"/>
        <w:gridCol w:w="6850"/>
      </w:tblGrid>
      <w:tr w14:paraId="3C9076CC">
        <w:tblPrEx>
          <w:tblCellMar>
            <w:top w:w="0" w:type="dxa"/>
            <w:left w:w="108" w:type="dxa"/>
            <w:bottom w:w="0" w:type="dxa"/>
            <w:right w:w="108" w:type="dxa"/>
          </w:tblCellMar>
        </w:tblPrEx>
        <w:trPr>
          <w:trHeight w:val="270" w:hRule="atLeast"/>
        </w:trPr>
        <w:tc>
          <w:tcPr>
            <w:tcW w:w="776" w:type="dxa"/>
            <w:tcBorders>
              <w:top w:val="single" w:color="auto" w:sz="4" w:space="0"/>
              <w:left w:val="single" w:color="auto" w:sz="4" w:space="0"/>
              <w:bottom w:val="single" w:color="auto" w:sz="4" w:space="0"/>
              <w:right w:val="single" w:color="auto" w:sz="4" w:space="0"/>
            </w:tcBorders>
            <w:vAlign w:val="center"/>
          </w:tcPr>
          <w:p w14:paraId="1BB1AA01">
            <w:pPr>
              <w:widowControl/>
              <w:jc w:val="center"/>
              <w:rPr>
                <w:rFonts w:ascii="宋体" w:hAnsi="宋体" w:cs="宋体"/>
                <w:b/>
                <w:bCs/>
                <w:kern w:val="0"/>
                <w:sz w:val="32"/>
                <w:szCs w:val="32"/>
              </w:rPr>
            </w:pPr>
            <w:r>
              <w:rPr>
                <w:rFonts w:hint="eastAsia" w:ascii="宋体" w:hAnsi="宋体" w:cs="宋体"/>
                <w:b/>
                <w:bCs/>
                <w:kern w:val="0"/>
                <w:sz w:val="32"/>
                <w:szCs w:val="32"/>
              </w:rPr>
              <w:t>序号</w:t>
            </w:r>
          </w:p>
        </w:tc>
        <w:tc>
          <w:tcPr>
            <w:tcW w:w="1224" w:type="dxa"/>
            <w:tcBorders>
              <w:top w:val="single" w:color="auto" w:sz="4" w:space="0"/>
              <w:left w:val="nil"/>
              <w:bottom w:val="single" w:color="auto" w:sz="4" w:space="0"/>
              <w:right w:val="single" w:color="auto" w:sz="4" w:space="0"/>
            </w:tcBorders>
            <w:vAlign w:val="center"/>
          </w:tcPr>
          <w:p w14:paraId="6B52DEC9">
            <w:pPr>
              <w:widowControl/>
              <w:jc w:val="center"/>
              <w:rPr>
                <w:rFonts w:ascii="宋体" w:hAnsi="宋体" w:cs="宋体"/>
                <w:b/>
                <w:bCs/>
                <w:kern w:val="0"/>
                <w:sz w:val="24"/>
                <w:szCs w:val="24"/>
              </w:rPr>
            </w:pPr>
            <w:r>
              <w:rPr>
                <w:rFonts w:hint="eastAsia" w:ascii="宋体" w:hAnsi="宋体" w:cs="宋体"/>
                <w:b/>
                <w:bCs/>
                <w:kern w:val="0"/>
                <w:sz w:val="24"/>
                <w:szCs w:val="24"/>
              </w:rPr>
              <w:t>评分要素</w:t>
            </w:r>
          </w:p>
        </w:tc>
        <w:tc>
          <w:tcPr>
            <w:tcW w:w="850" w:type="dxa"/>
            <w:tcBorders>
              <w:top w:val="single" w:color="auto" w:sz="4" w:space="0"/>
              <w:left w:val="nil"/>
              <w:bottom w:val="single" w:color="auto" w:sz="4" w:space="0"/>
              <w:right w:val="single" w:color="auto" w:sz="4" w:space="0"/>
            </w:tcBorders>
            <w:vAlign w:val="center"/>
          </w:tcPr>
          <w:p w14:paraId="1C3135EF">
            <w:pPr>
              <w:widowControl/>
              <w:jc w:val="center"/>
              <w:rPr>
                <w:rFonts w:ascii="宋体" w:hAnsi="宋体" w:cs="宋体"/>
                <w:b/>
                <w:bCs/>
                <w:kern w:val="0"/>
                <w:sz w:val="24"/>
                <w:szCs w:val="24"/>
              </w:rPr>
            </w:pPr>
            <w:r>
              <w:rPr>
                <w:rFonts w:hint="eastAsia" w:ascii="宋体" w:hAnsi="宋体" w:cs="宋体"/>
                <w:b/>
                <w:bCs/>
                <w:kern w:val="0"/>
                <w:sz w:val="24"/>
                <w:szCs w:val="24"/>
              </w:rPr>
              <w:t>满分</w:t>
            </w:r>
          </w:p>
        </w:tc>
        <w:tc>
          <w:tcPr>
            <w:tcW w:w="6850" w:type="dxa"/>
            <w:tcBorders>
              <w:top w:val="single" w:color="auto" w:sz="4" w:space="0"/>
              <w:left w:val="nil"/>
              <w:bottom w:val="single" w:color="auto" w:sz="4" w:space="0"/>
              <w:right w:val="single" w:color="auto" w:sz="4" w:space="0"/>
            </w:tcBorders>
            <w:vAlign w:val="center"/>
          </w:tcPr>
          <w:p w14:paraId="76BC6703">
            <w:pPr>
              <w:widowControl/>
              <w:jc w:val="center"/>
              <w:rPr>
                <w:rFonts w:ascii="宋体" w:hAnsi="宋体" w:cs="宋体"/>
                <w:b/>
                <w:bCs/>
                <w:kern w:val="0"/>
                <w:sz w:val="24"/>
                <w:szCs w:val="24"/>
              </w:rPr>
            </w:pPr>
            <w:r>
              <w:rPr>
                <w:rFonts w:hint="eastAsia" w:ascii="宋体" w:hAnsi="宋体" w:cs="宋体"/>
                <w:b/>
                <w:bCs/>
                <w:kern w:val="0"/>
                <w:sz w:val="24"/>
                <w:szCs w:val="24"/>
              </w:rPr>
              <w:t>评分标准</w:t>
            </w:r>
          </w:p>
        </w:tc>
      </w:tr>
      <w:tr w14:paraId="2BBC5498">
        <w:tblPrEx>
          <w:tblCellMar>
            <w:top w:w="0" w:type="dxa"/>
            <w:left w:w="108" w:type="dxa"/>
            <w:bottom w:w="0" w:type="dxa"/>
            <w:right w:w="108" w:type="dxa"/>
          </w:tblCellMar>
        </w:tblPrEx>
        <w:trPr>
          <w:trHeight w:val="1867" w:hRule="atLeast"/>
        </w:trPr>
        <w:tc>
          <w:tcPr>
            <w:tcW w:w="776" w:type="dxa"/>
            <w:tcBorders>
              <w:top w:val="nil"/>
              <w:left w:val="single" w:color="auto" w:sz="4" w:space="0"/>
              <w:bottom w:val="single" w:color="auto" w:sz="4" w:space="0"/>
              <w:right w:val="single" w:color="auto" w:sz="4" w:space="0"/>
            </w:tcBorders>
            <w:vAlign w:val="center"/>
          </w:tcPr>
          <w:p w14:paraId="10CD84B4">
            <w:pPr>
              <w:widowControl/>
              <w:jc w:val="center"/>
              <w:rPr>
                <w:rFonts w:ascii="宋体" w:hAnsi="宋体" w:cs="宋体"/>
                <w:b/>
                <w:bCs/>
                <w:kern w:val="0"/>
                <w:sz w:val="24"/>
                <w:szCs w:val="24"/>
              </w:rPr>
            </w:pPr>
            <w:r>
              <w:rPr>
                <w:rFonts w:hint="eastAsia" w:ascii="宋体" w:hAnsi="宋体" w:cs="宋体"/>
                <w:b/>
                <w:bCs/>
                <w:kern w:val="0"/>
                <w:sz w:val="24"/>
                <w:szCs w:val="24"/>
              </w:rPr>
              <w:t>一</w:t>
            </w:r>
          </w:p>
        </w:tc>
        <w:tc>
          <w:tcPr>
            <w:tcW w:w="1224" w:type="dxa"/>
            <w:tcBorders>
              <w:top w:val="nil"/>
              <w:left w:val="nil"/>
              <w:bottom w:val="single" w:color="auto" w:sz="4" w:space="0"/>
              <w:right w:val="single" w:color="auto" w:sz="4" w:space="0"/>
            </w:tcBorders>
            <w:vAlign w:val="center"/>
          </w:tcPr>
          <w:p w14:paraId="704B31A6">
            <w:pPr>
              <w:widowControl/>
              <w:jc w:val="center"/>
              <w:rPr>
                <w:rFonts w:ascii="宋体" w:hAnsi="宋体" w:cs="宋体"/>
                <w:b/>
                <w:bCs/>
                <w:kern w:val="0"/>
                <w:sz w:val="24"/>
                <w:szCs w:val="24"/>
              </w:rPr>
            </w:pPr>
            <w:r>
              <w:rPr>
                <w:rFonts w:hint="eastAsia" w:ascii="宋体" w:hAnsi="宋体" w:cs="宋体"/>
                <w:b/>
                <w:bCs/>
                <w:kern w:val="0"/>
                <w:sz w:val="24"/>
                <w:szCs w:val="24"/>
              </w:rPr>
              <w:t>价格</w:t>
            </w:r>
          </w:p>
          <w:p w14:paraId="2D399A7E">
            <w:pPr>
              <w:widowControl/>
              <w:jc w:val="center"/>
              <w:rPr>
                <w:rFonts w:ascii="宋体" w:hAnsi="宋体" w:cs="宋体"/>
                <w:b/>
                <w:bCs/>
                <w:kern w:val="0"/>
                <w:sz w:val="24"/>
                <w:szCs w:val="24"/>
              </w:rPr>
            </w:pPr>
            <w:r>
              <w:rPr>
                <w:rFonts w:hint="eastAsia" w:ascii="宋体" w:hAnsi="宋体" w:cs="宋体"/>
                <w:b/>
                <w:bCs/>
                <w:kern w:val="0"/>
                <w:sz w:val="24"/>
                <w:szCs w:val="24"/>
              </w:rPr>
              <w:t>部分</w:t>
            </w:r>
          </w:p>
        </w:tc>
        <w:tc>
          <w:tcPr>
            <w:tcW w:w="850" w:type="dxa"/>
            <w:tcBorders>
              <w:top w:val="nil"/>
              <w:left w:val="nil"/>
              <w:bottom w:val="single" w:color="auto" w:sz="4" w:space="0"/>
              <w:right w:val="single" w:color="auto" w:sz="4" w:space="0"/>
            </w:tcBorders>
            <w:vAlign w:val="center"/>
          </w:tcPr>
          <w:p w14:paraId="2588E12F">
            <w:pPr>
              <w:widowControl/>
              <w:jc w:val="center"/>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0分</w:t>
            </w:r>
          </w:p>
        </w:tc>
        <w:tc>
          <w:tcPr>
            <w:tcW w:w="6850" w:type="dxa"/>
            <w:tcBorders>
              <w:top w:val="nil"/>
              <w:left w:val="nil"/>
              <w:bottom w:val="single" w:color="auto" w:sz="4" w:space="0"/>
              <w:right w:val="single" w:color="auto" w:sz="4" w:space="0"/>
            </w:tcBorders>
            <w:vAlign w:val="center"/>
          </w:tcPr>
          <w:p w14:paraId="5F0771DD">
            <w:pPr>
              <w:widowControl/>
              <w:jc w:val="left"/>
              <w:rPr>
                <w:rFonts w:ascii="宋体" w:hAnsi="宋体" w:cs="宋体"/>
                <w:b/>
                <w:kern w:val="0"/>
                <w:sz w:val="24"/>
                <w:szCs w:val="24"/>
                <w:highlight w:val="none"/>
              </w:rPr>
            </w:pPr>
            <w:r>
              <w:rPr>
                <w:rFonts w:hint="eastAsia" w:ascii="宋体" w:hAnsi="宋体" w:cs="宋体"/>
                <w:kern w:val="0"/>
                <w:sz w:val="24"/>
                <w:szCs w:val="24"/>
                <w:highlight w:val="none"/>
              </w:rPr>
              <w:t>本项目设有最高限价，高于最高限价的为无效报价，将否决其投标。价格分统一采用低价优先法，即满足磋商文件要求且资格审查通过的供应商二轮报价最低价作为评标基准价。价格分按照下列公式计算：投标报价得分＝（评标基准价/投标报价）×满分（小数点后保留两位）。</w:t>
            </w:r>
          </w:p>
        </w:tc>
      </w:tr>
      <w:tr w14:paraId="56C2BC2F">
        <w:tblPrEx>
          <w:tblCellMar>
            <w:top w:w="0" w:type="dxa"/>
            <w:left w:w="108" w:type="dxa"/>
            <w:bottom w:w="0" w:type="dxa"/>
            <w:right w:w="108" w:type="dxa"/>
          </w:tblCellMar>
        </w:tblPrEx>
        <w:trPr>
          <w:trHeight w:val="735" w:hRule="atLeast"/>
        </w:trPr>
        <w:tc>
          <w:tcPr>
            <w:tcW w:w="776" w:type="dxa"/>
            <w:tcBorders>
              <w:top w:val="nil"/>
              <w:left w:val="single" w:color="auto" w:sz="4" w:space="0"/>
              <w:bottom w:val="single" w:color="auto" w:sz="4" w:space="0"/>
              <w:right w:val="single" w:color="auto" w:sz="4" w:space="0"/>
            </w:tcBorders>
            <w:vAlign w:val="center"/>
          </w:tcPr>
          <w:p w14:paraId="1CB23BF7">
            <w:pPr>
              <w:widowControl/>
              <w:jc w:val="center"/>
              <w:rPr>
                <w:rFonts w:ascii="宋体" w:hAnsi="宋体" w:cs="宋体"/>
                <w:b/>
                <w:bCs/>
                <w:kern w:val="0"/>
                <w:sz w:val="24"/>
                <w:szCs w:val="24"/>
              </w:rPr>
            </w:pPr>
            <w:r>
              <w:rPr>
                <w:rFonts w:hint="eastAsia" w:ascii="宋体" w:hAnsi="宋体" w:cs="宋体"/>
                <w:b/>
                <w:bCs/>
                <w:kern w:val="0"/>
                <w:sz w:val="24"/>
                <w:szCs w:val="24"/>
              </w:rPr>
              <w:t>二</w:t>
            </w:r>
          </w:p>
        </w:tc>
        <w:tc>
          <w:tcPr>
            <w:tcW w:w="1224" w:type="dxa"/>
            <w:tcBorders>
              <w:top w:val="nil"/>
              <w:left w:val="nil"/>
              <w:bottom w:val="single" w:color="auto" w:sz="4" w:space="0"/>
              <w:right w:val="single" w:color="auto" w:sz="4" w:space="0"/>
            </w:tcBorders>
            <w:vAlign w:val="center"/>
          </w:tcPr>
          <w:p w14:paraId="5C2F5569">
            <w:pPr>
              <w:widowControl/>
              <w:rPr>
                <w:rFonts w:ascii="宋体" w:hAnsi="宋体" w:cs="宋体"/>
                <w:b/>
                <w:bCs/>
                <w:kern w:val="0"/>
                <w:sz w:val="24"/>
                <w:szCs w:val="24"/>
              </w:rPr>
            </w:pPr>
            <w:r>
              <w:rPr>
                <w:rFonts w:hint="eastAsia" w:ascii="宋体" w:hAnsi="宋体" w:cs="宋体"/>
                <w:b/>
                <w:bCs/>
                <w:kern w:val="0"/>
                <w:sz w:val="24"/>
                <w:szCs w:val="24"/>
              </w:rPr>
              <w:t>技术部分</w:t>
            </w:r>
          </w:p>
        </w:tc>
        <w:tc>
          <w:tcPr>
            <w:tcW w:w="850" w:type="dxa"/>
            <w:tcBorders>
              <w:top w:val="nil"/>
              <w:left w:val="nil"/>
              <w:bottom w:val="single" w:color="auto" w:sz="4" w:space="0"/>
              <w:right w:val="single" w:color="auto" w:sz="4" w:space="0"/>
            </w:tcBorders>
            <w:vAlign w:val="center"/>
          </w:tcPr>
          <w:p w14:paraId="2197E4EA">
            <w:pPr>
              <w:widowControl/>
              <w:jc w:val="center"/>
              <w:rPr>
                <w:rFonts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0分</w:t>
            </w:r>
          </w:p>
        </w:tc>
        <w:tc>
          <w:tcPr>
            <w:tcW w:w="6850" w:type="dxa"/>
            <w:tcBorders>
              <w:top w:val="nil"/>
              <w:left w:val="nil"/>
              <w:bottom w:val="single" w:color="auto" w:sz="4" w:space="0"/>
              <w:right w:val="single" w:color="auto" w:sz="4" w:space="0"/>
            </w:tcBorders>
            <w:vAlign w:val="center"/>
          </w:tcPr>
          <w:p w14:paraId="52402A76">
            <w:pPr>
              <w:widowControl/>
              <w:jc w:val="left"/>
              <w:rPr>
                <w:rFonts w:ascii="宋体" w:hAnsi="宋体" w:cs="宋体"/>
                <w:kern w:val="0"/>
                <w:sz w:val="24"/>
                <w:szCs w:val="24"/>
              </w:rPr>
            </w:pPr>
            <w:r>
              <w:rPr>
                <w:rFonts w:hint="eastAsia" w:ascii="宋体" w:hAnsi="宋体" w:cs="宋体"/>
                <w:kern w:val="0"/>
                <w:sz w:val="24"/>
                <w:szCs w:val="24"/>
              </w:rPr>
              <w:t>　</w:t>
            </w:r>
          </w:p>
        </w:tc>
      </w:tr>
      <w:tr w14:paraId="49FE092C">
        <w:tblPrEx>
          <w:tblCellMar>
            <w:top w:w="0" w:type="dxa"/>
            <w:left w:w="108" w:type="dxa"/>
            <w:bottom w:w="0" w:type="dxa"/>
            <w:right w:w="108" w:type="dxa"/>
          </w:tblCellMar>
        </w:tblPrEx>
        <w:trPr>
          <w:trHeight w:val="1451" w:hRule="atLeast"/>
        </w:trPr>
        <w:tc>
          <w:tcPr>
            <w:tcW w:w="776" w:type="dxa"/>
            <w:tcBorders>
              <w:top w:val="nil"/>
              <w:left w:val="single" w:color="auto" w:sz="4" w:space="0"/>
              <w:bottom w:val="single" w:color="auto" w:sz="4" w:space="0"/>
              <w:right w:val="single" w:color="auto" w:sz="4" w:space="0"/>
            </w:tcBorders>
            <w:shd w:val="clear" w:color="auto" w:fill="auto"/>
            <w:vAlign w:val="center"/>
          </w:tcPr>
          <w:p w14:paraId="18CDBCCB">
            <w:pPr>
              <w:widowControl/>
              <w:jc w:val="left"/>
              <w:rPr>
                <w:rFonts w:ascii="宋体" w:hAnsi="宋体" w:cs="宋体"/>
                <w:kern w:val="0"/>
                <w:sz w:val="24"/>
                <w:szCs w:val="24"/>
              </w:rPr>
            </w:pPr>
            <w:r>
              <w:rPr>
                <w:rFonts w:hint="eastAsia" w:ascii="宋体" w:hAnsi="宋体" w:cs="宋体"/>
                <w:kern w:val="0"/>
                <w:sz w:val="24"/>
                <w:szCs w:val="24"/>
              </w:rPr>
              <w:t>2.1</w:t>
            </w:r>
          </w:p>
        </w:tc>
        <w:tc>
          <w:tcPr>
            <w:tcW w:w="1224" w:type="dxa"/>
            <w:tcBorders>
              <w:top w:val="nil"/>
              <w:left w:val="nil"/>
              <w:bottom w:val="single" w:color="auto" w:sz="4" w:space="0"/>
              <w:right w:val="single" w:color="auto" w:sz="4" w:space="0"/>
            </w:tcBorders>
            <w:shd w:val="clear" w:color="auto" w:fill="auto"/>
            <w:vAlign w:val="center"/>
          </w:tcPr>
          <w:p w14:paraId="46B47998">
            <w:pPr>
              <w:widowControl/>
              <w:jc w:val="left"/>
              <w:rPr>
                <w:rFonts w:ascii="宋体" w:hAnsi="宋体" w:cs="宋体"/>
                <w:kern w:val="0"/>
                <w:sz w:val="24"/>
                <w:szCs w:val="24"/>
              </w:rPr>
            </w:pPr>
            <w:r>
              <w:rPr>
                <w:rFonts w:hint="eastAsia" w:ascii="宋体" w:hAnsi="宋体" w:cs="宋体"/>
                <w:kern w:val="0"/>
                <w:sz w:val="24"/>
                <w:szCs w:val="24"/>
              </w:rPr>
              <w:t>企业业绩</w:t>
            </w:r>
          </w:p>
        </w:tc>
        <w:tc>
          <w:tcPr>
            <w:tcW w:w="850" w:type="dxa"/>
            <w:tcBorders>
              <w:top w:val="nil"/>
              <w:left w:val="nil"/>
              <w:bottom w:val="single" w:color="auto" w:sz="4" w:space="0"/>
              <w:right w:val="single" w:color="auto" w:sz="4" w:space="0"/>
            </w:tcBorders>
            <w:shd w:val="clear" w:color="000000" w:fill="FFFFFF"/>
            <w:vAlign w:val="center"/>
          </w:tcPr>
          <w:p w14:paraId="48BCCAAA">
            <w:pPr>
              <w:widowControl/>
              <w:jc w:val="center"/>
              <w:rPr>
                <w:rFonts w:ascii="宋体" w:hAnsi="宋体" w:cs="宋体"/>
                <w:kern w:val="0"/>
                <w:sz w:val="24"/>
                <w:szCs w:val="24"/>
                <w:highlight w:val="none"/>
              </w:rPr>
            </w:pPr>
            <w:r>
              <w:rPr>
                <w:rFonts w:ascii="宋体" w:hAnsi="宋体" w:cs="宋体"/>
                <w:kern w:val="0"/>
                <w:sz w:val="24"/>
                <w:szCs w:val="24"/>
                <w:highlight w:val="none"/>
              </w:rPr>
              <w:t>30</w:t>
            </w:r>
            <w:r>
              <w:rPr>
                <w:rFonts w:hint="eastAsia" w:ascii="宋体" w:hAnsi="宋体" w:cs="宋体"/>
                <w:kern w:val="0"/>
                <w:sz w:val="24"/>
                <w:szCs w:val="24"/>
                <w:highlight w:val="none"/>
              </w:rPr>
              <w:t>分</w:t>
            </w:r>
          </w:p>
        </w:tc>
        <w:tc>
          <w:tcPr>
            <w:tcW w:w="6850" w:type="dxa"/>
            <w:tcBorders>
              <w:top w:val="nil"/>
              <w:left w:val="nil"/>
              <w:bottom w:val="single" w:color="auto" w:sz="4" w:space="0"/>
              <w:right w:val="single" w:color="auto" w:sz="4" w:space="0"/>
            </w:tcBorders>
            <w:vAlign w:val="center"/>
          </w:tcPr>
          <w:p w14:paraId="6D682B25">
            <w:pPr>
              <w:widowControl/>
              <w:spacing w:line="340" w:lineRule="exact"/>
              <w:jc w:val="left"/>
              <w:textAlignment w:val="center"/>
              <w:rPr>
                <w:rFonts w:ascii="宋体" w:hAnsi="宋体" w:cs="宋体"/>
                <w:kern w:val="0"/>
                <w:sz w:val="24"/>
                <w:szCs w:val="24"/>
                <w:highlight w:val="none"/>
              </w:rPr>
            </w:pPr>
            <w:r>
              <w:rPr>
                <w:rFonts w:ascii="宋体" w:hAnsi="宋体" w:cs="宋体"/>
                <w:kern w:val="0"/>
                <w:sz w:val="24"/>
                <w:szCs w:val="24"/>
                <w:highlight w:val="none"/>
              </w:rPr>
              <w:t>2020</w:t>
            </w:r>
            <w:r>
              <w:rPr>
                <w:rFonts w:hint="eastAsia" w:ascii="宋体" w:hAnsi="宋体" w:cs="宋体"/>
                <w:kern w:val="0"/>
                <w:sz w:val="24"/>
                <w:szCs w:val="24"/>
                <w:highlight w:val="none"/>
              </w:rPr>
              <w:t>年</w:t>
            </w:r>
            <w:r>
              <w:rPr>
                <w:rFonts w:ascii="宋体" w:hAnsi="宋体" w:cs="宋体"/>
                <w:kern w:val="0"/>
                <w:sz w:val="24"/>
                <w:szCs w:val="24"/>
                <w:highlight w:val="none"/>
              </w:rPr>
              <w:t>1</w:t>
            </w:r>
            <w:r>
              <w:rPr>
                <w:rFonts w:hint="eastAsia" w:ascii="宋体" w:hAnsi="宋体" w:cs="宋体"/>
                <w:kern w:val="0"/>
                <w:sz w:val="24"/>
                <w:szCs w:val="24"/>
                <w:highlight w:val="none"/>
              </w:rPr>
              <w:t>月</w:t>
            </w:r>
            <w:r>
              <w:rPr>
                <w:rFonts w:ascii="宋体" w:hAnsi="宋体" w:cs="宋体"/>
                <w:kern w:val="0"/>
                <w:sz w:val="24"/>
                <w:szCs w:val="24"/>
                <w:highlight w:val="none"/>
              </w:rPr>
              <w:t>1</w:t>
            </w:r>
            <w:r>
              <w:rPr>
                <w:rFonts w:hint="eastAsia" w:ascii="宋体" w:hAnsi="宋体" w:cs="宋体"/>
                <w:kern w:val="0"/>
                <w:sz w:val="24"/>
                <w:szCs w:val="24"/>
                <w:highlight w:val="none"/>
              </w:rPr>
              <w:t>日以来承接过（以合同签订时间为准）类似项目业绩的，每提供一个得</w:t>
            </w:r>
            <w:r>
              <w:rPr>
                <w:rFonts w:ascii="宋体" w:hAnsi="宋体" w:cs="宋体"/>
                <w:kern w:val="0"/>
                <w:sz w:val="24"/>
                <w:szCs w:val="24"/>
                <w:highlight w:val="none"/>
              </w:rPr>
              <w:t>10</w:t>
            </w:r>
            <w:r>
              <w:rPr>
                <w:rFonts w:hint="eastAsia" w:ascii="宋体" w:hAnsi="宋体" w:cs="宋体"/>
                <w:kern w:val="0"/>
                <w:sz w:val="24"/>
                <w:szCs w:val="24"/>
                <w:highlight w:val="none"/>
              </w:rPr>
              <w:t>分，满分</w:t>
            </w:r>
            <w:r>
              <w:rPr>
                <w:rFonts w:ascii="宋体" w:hAnsi="宋体" w:cs="宋体"/>
                <w:kern w:val="0"/>
                <w:sz w:val="24"/>
                <w:szCs w:val="24"/>
                <w:highlight w:val="none"/>
              </w:rPr>
              <w:t>30</w:t>
            </w:r>
            <w:r>
              <w:rPr>
                <w:rFonts w:hint="eastAsia" w:ascii="宋体" w:hAnsi="宋体" w:cs="宋体"/>
                <w:kern w:val="0"/>
                <w:sz w:val="24"/>
                <w:szCs w:val="24"/>
                <w:highlight w:val="none"/>
              </w:rPr>
              <w:t>分，须提供合同原件扫描件，未提供不得分。</w:t>
            </w:r>
          </w:p>
          <w:p w14:paraId="33E923F7">
            <w:pPr>
              <w:widowControl/>
              <w:jc w:val="left"/>
              <w:rPr>
                <w:rFonts w:ascii="宋体" w:hAnsi="宋体" w:cs="宋体"/>
                <w:kern w:val="0"/>
                <w:sz w:val="24"/>
                <w:szCs w:val="24"/>
                <w:highlight w:val="none"/>
              </w:rPr>
            </w:pPr>
            <w:r>
              <w:rPr>
                <w:rFonts w:hint="eastAsia" w:ascii="宋体" w:hAnsi="宋体" w:cs="宋体"/>
                <w:kern w:val="0"/>
                <w:sz w:val="24"/>
                <w:szCs w:val="24"/>
                <w:highlight w:val="none"/>
              </w:rPr>
              <w:t>注：上述类似项目业绩是指投标人所提供的业绩需与本项目内容相关的业绩，合同中必须体现甲乙双方单位名称及项目内容，双方印章清晰可辨认，否则不得分。</w:t>
            </w:r>
          </w:p>
        </w:tc>
      </w:tr>
      <w:tr w14:paraId="70840CEB">
        <w:tblPrEx>
          <w:tblCellMar>
            <w:top w:w="0" w:type="dxa"/>
            <w:left w:w="108" w:type="dxa"/>
            <w:bottom w:w="0" w:type="dxa"/>
            <w:right w:w="108" w:type="dxa"/>
          </w:tblCellMar>
        </w:tblPrEx>
        <w:trPr>
          <w:trHeight w:val="1451" w:hRule="atLeast"/>
        </w:trPr>
        <w:tc>
          <w:tcPr>
            <w:tcW w:w="776" w:type="dxa"/>
            <w:tcBorders>
              <w:top w:val="nil"/>
              <w:left w:val="single" w:color="auto" w:sz="4" w:space="0"/>
              <w:bottom w:val="single" w:color="auto" w:sz="4" w:space="0"/>
              <w:right w:val="single" w:color="auto" w:sz="4" w:space="0"/>
            </w:tcBorders>
            <w:shd w:val="clear" w:color="auto" w:fill="auto"/>
            <w:vAlign w:val="center"/>
          </w:tcPr>
          <w:p w14:paraId="4D7D7838">
            <w:pPr>
              <w:widowControl/>
              <w:jc w:val="left"/>
              <w:rPr>
                <w:rFonts w:ascii="宋体" w:hAnsi="宋体" w:cs="宋体"/>
                <w:kern w:val="0"/>
                <w:sz w:val="24"/>
                <w:szCs w:val="24"/>
              </w:rPr>
            </w:pPr>
            <w:r>
              <w:rPr>
                <w:rFonts w:hint="eastAsia" w:ascii="宋体" w:hAnsi="宋体" w:cs="宋体"/>
                <w:kern w:val="0"/>
                <w:sz w:val="24"/>
                <w:szCs w:val="24"/>
              </w:rPr>
              <w:t>2.2</w:t>
            </w:r>
          </w:p>
        </w:tc>
        <w:tc>
          <w:tcPr>
            <w:tcW w:w="1224" w:type="dxa"/>
            <w:tcBorders>
              <w:top w:val="nil"/>
              <w:left w:val="nil"/>
              <w:bottom w:val="single" w:color="auto" w:sz="4" w:space="0"/>
              <w:right w:val="single" w:color="auto" w:sz="4" w:space="0"/>
            </w:tcBorders>
            <w:shd w:val="clear" w:color="auto" w:fill="auto"/>
            <w:vAlign w:val="center"/>
          </w:tcPr>
          <w:p w14:paraId="198F8327">
            <w:pPr>
              <w:widowControl/>
              <w:jc w:val="left"/>
              <w:rPr>
                <w:rFonts w:ascii="宋体" w:hAnsi="宋体" w:cs="宋体"/>
                <w:kern w:val="0"/>
                <w:sz w:val="24"/>
                <w:szCs w:val="24"/>
              </w:rPr>
            </w:pPr>
            <w:r>
              <w:rPr>
                <w:rFonts w:hint="eastAsia" w:ascii="宋体" w:hAnsi="宋体" w:cs="宋体"/>
                <w:kern w:val="0"/>
                <w:sz w:val="24"/>
                <w:szCs w:val="24"/>
              </w:rPr>
              <w:t>服务方案</w:t>
            </w:r>
          </w:p>
        </w:tc>
        <w:tc>
          <w:tcPr>
            <w:tcW w:w="850" w:type="dxa"/>
            <w:tcBorders>
              <w:top w:val="nil"/>
              <w:left w:val="nil"/>
              <w:bottom w:val="single" w:color="auto" w:sz="4" w:space="0"/>
              <w:right w:val="single" w:color="auto" w:sz="4" w:space="0"/>
            </w:tcBorders>
            <w:shd w:val="clear" w:color="000000" w:fill="FFFFFF"/>
            <w:vAlign w:val="center"/>
          </w:tcPr>
          <w:p w14:paraId="3C5A4A95">
            <w:pPr>
              <w:widowControl/>
              <w:jc w:val="center"/>
              <w:rPr>
                <w:rFonts w:ascii="宋体" w:hAnsi="宋体" w:cs="宋体"/>
                <w:kern w:val="0"/>
                <w:sz w:val="24"/>
                <w:szCs w:val="24"/>
                <w:highlight w:val="none"/>
              </w:rPr>
            </w:pPr>
            <w:r>
              <w:rPr>
                <w:rFonts w:ascii="宋体" w:hAnsi="宋体" w:cs="宋体"/>
                <w:kern w:val="0"/>
                <w:sz w:val="24"/>
                <w:szCs w:val="24"/>
                <w:highlight w:val="none"/>
              </w:rPr>
              <w:t>40</w:t>
            </w:r>
            <w:r>
              <w:rPr>
                <w:rFonts w:hint="eastAsia" w:ascii="宋体" w:hAnsi="宋体" w:cs="宋体"/>
                <w:kern w:val="0"/>
                <w:sz w:val="24"/>
                <w:szCs w:val="24"/>
                <w:highlight w:val="none"/>
              </w:rPr>
              <w:t>分</w:t>
            </w:r>
          </w:p>
        </w:tc>
        <w:tc>
          <w:tcPr>
            <w:tcW w:w="6850" w:type="dxa"/>
            <w:tcBorders>
              <w:top w:val="nil"/>
              <w:left w:val="nil"/>
              <w:bottom w:val="single" w:color="auto" w:sz="4" w:space="0"/>
              <w:right w:val="single" w:color="auto" w:sz="4" w:space="0"/>
            </w:tcBorders>
            <w:vAlign w:val="center"/>
          </w:tcPr>
          <w:p w14:paraId="0999F643">
            <w:pPr>
              <w:widowControl/>
              <w:spacing w:line="340" w:lineRule="exact"/>
              <w:jc w:val="left"/>
              <w:textAlignment w:val="center"/>
              <w:rPr>
                <w:rFonts w:ascii="宋体" w:hAns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、评委根据投标人针对本项目编制的总体工作方案的基本情况、技术、路线、工作内容等，由评委酌情评分优得</w:t>
            </w:r>
            <w:r>
              <w:rPr>
                <w:rFonts w:ascii="宋体" w:hAnsi="宋体" w:cs="宋体"/>
                <w:kern w:val="0"/>
                <w:sz w:val="24"/>
                <w:szCs w:val="24"/>
                <w:highlight w:val="none"/>
              </w:rPr>
              <w:t>8</w:t>
            </w:r>
            <w:r>
              <w:rPr>
                <w:rFonts w:hint="eastAsia" w:ascii="宋体" w:hAnsi="宋体" w:cs="宋体"/>
                <w:kern w:val="0"/>
                <w:sz w:val="24"/>
                <w:szCs w:val="24"/>
                <w:highlight w:val="none"/>
              </w:rPr>
              <w:t>分；良好得</w:t>
            </w:r>
            <w:r>
              <w:rPr>
                <w:rFonts w:ascii="宋体" w:hAnsi="宋体" w:cs="宋体"/>
                <w:kern w:val="0"/>
                <w:sz w:val="24"/>
                <w:szCs w:val="24"/>
                <w:highlight w:val="none"/>
              </w:rPr>
              <w:t>6</w:t>
            </w:r>
            <w:r>
              <w:rPr>
                <w:rFonts w:hint="eastAsia" w:ascii="宋体" w:hAnsi="宋体" w:cs="宋体"/>
                <w:kern w:val="0"/>
                <w:sz w:val="24"/>
                <w:szCs w:val="24"/>
                <w:highlight w:val="none"/>
              </w:rPr>
              <w:t>分；一般得</w:t>
            </w:r>
            <w:r>
              <w:rPr>
                <w:rFonts w:ascii="宋体" w:hAnsi="宋体" w:cs="宋体"/>
                <w:kern w:val="0"/>
                <w:sz w:val="24"/>
                <w:szCs w:val="24"/>
                <w:highlight w:val="none"/>
              </w:rPr>
              <w:t>4</w:t>
            </w:r>
            <w:r>
              <w:rPr>
                <w:rFonts w:hint="eastAsia" w:ascii="宋体" w:hAnsi="宋体" w:cs="宋体"/>
                <w:kern w:val="0"/>
                <w:sz w:val="24"/>
                <w:szCs w:val="24"/>
                <w:highlight w:val="none"/>
              </w:rPr>
              <w:t>分，</w:t>
            </w:r>
            <w:r>
              <w:rPr>
                <w:rFonts w:ascii="宋体" w:hAnsi="宋体" w:cs="宋体"/>
                <w:kern w:val="0"/>
                <w:sz w:val="24"/>
                <w:szCs w:val="24"/>
                <w:highlight w:val="none"/>
              </w:rPr>
              <w:t>未提供的不得分</w:t>
            </w:r>
            <w:r>
              <w:rPr>
                <w:rFonts w:hint="eastAsia" w:ascii="宋体" w:hAnsi="宋体" w:cs="宋体"/>
                <w:kern w:val="0"/>
                <w:sz w:val="24"/>
                <w:szCs w:val="24"/>
                <w:highlight w:val="none"/>
              </w:rPr>
              <w:t>；</w:t>
            </w:r>
          </w:p>
          <w:p w14:paraId="47D363B1">
            <w:pPr>
              <w:widowControl/>
              <w:spacing w:line="340" w:lineRule="exact"/>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2、评委根据投标人对本项目基本情况分析、对相关规范性文件掌握、项目实施重难点分析及相关解决对策的，由评委酌情评分优得</w:t>
            </w:r>
            <w:r>
              <w:rPr>
                <w:rFonts w:ascii="宋体" w:hAnsi="宋体" w:cs="宋体"/>
                <w:kern w:val="0"/>
                <w:sz w:val="24"/>
                <w:szCs w:val="24"/>
                <w:highlight w:val="none"/>
              </w:rPr>
              <w:t>8</w:t>
            </w:r>
            <w:r>
              <w:rPr>
                <w:rFonts w:hint="eastAsia" w:ascii="宋体" w:hAnsi="宋体" w:cs="宋体"/>
                <w:kern w:val="0"/>
                <w:sz w:val="24"/>
                <w:szCs w:val="24"/>
                <w:highlight w:val="none"/>
              </w:rPr>
              <w:t>分；良好得</w:t>
            </w:r>
            <w:r>
              <w:rPr>
                <w:rFonts w:ascii="宋体" w:hAnsi="宋体" w:cs="宋体"/>
                <w:kern w:val="0"/>
                <w:sz w:val="24"/>
                <w:szCs w:val="24"/>
                <w:highlight w:val="none"/>
              </w:rPr>
              <w:t>6</w:t>
            </w:r>
            <w:r>
              <w:rPr>
                <w:rFonts w:hint="eastAsia" w:ascii="宋体" w:hAnsi="宋体" w:cs="宋体"/>
                <w:kern w:val="0"/>
                <w:sz w:val="24"/>
                <w:szCs w:val="24"/>
                <w:highlight w:val="none"/>
              </w:rPr>
              <w:t>分；一般得</w:t>
            </w:r>
            <w:r>
              <w:rPr>
                <w:rFonts w:ascii="宋体" w:hAnsi="宋体" w:cs="宋体"/>
                <w:kern w:val="0"/>
                <w:sz w:val="24"/>
                <w:szCs w:val="24"/>
                <w:highlight w:val="none"/>
              </w:rPr>
              <w:t>4</w:t>
            </w:r>
            <w:r>
              <w:rPr>
                <w:rFonts w:hint="eastAsia" w:ascii="宋体" w:hAnsi="宋体" w:cs="宋体"/>
                <w:kern w:val="0"/>
                <w:sz w:val="24"/>
                <w:szCs w:val="24"/>
                <w:highlight w:val="none"/>
              </w:rPr>
              <w:t>分，</w:t>
            </w:r>
            <w:r>
              <w:rPr>
                <w:rFonts w:ascii="宋体" w:hAnsi="宋体" w:cs="宋体"/>
                <w:kern w:val="0"/>
                <w:sz w:val="24"/>
                <w:szCs w:val="24"/>
                <w:highlight w:val="none"/>
              </w:rPr>
              <w:t>未提供的不得分</w:t>
            </w:r>
            <w:r>
              <w:rPr>
                <w:rFonts w:hint="eastAsia" w:ascii="宋体" w:hAnsi="宋体" w:cs="宋体"/>
                <w:kern w:val="0"/>
                <w:sz w:val="24"/>
                <w:szCs w:val="24"/>
                <w:highlight w:val="none"/>
              </w:rPr>
              <w:t>；</w:t>
            </w:r>
          </w:p>
          <w:p w14:paraId="2FA217F5">
            <w:pPr>
              <w:widowControl/>
              <w:spacing w:line="340" w:lineRule="exact"/>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3、评委根据投标人针对本项目进度安排计划、项目实施组织架构等评分，由评委酌情评分优得</w:t>
            </w:r>
            <w:r>
              <w:rPr>
                <w:rFonts w:ascii="宋体" w:hAnsi="宋体" w:cs="宋体"/>
                <w:kern w:val="0"/>
                <w:sz w:val="24"/>
                <w:szCs w:val="24"/>
                <w:highlight w:val="none"/>
              </w:rPr>
              <w:t>8</w:t>
            </w:r>
            <w:r>
              <w:rPr>
                <w:rFonts w:hint="eastAsia" w:ascii="宋体" w:hAnsi="宋体" w:cs="宋体"/>
                <w:kern w:val="0"/>
                <w:sz w:val="24"/>
                <w:szCs w:val="24"/>
                <w:highlight w:val="none"/>
              </w:rPr>
              <w:t>分；良好得</w:t>
            </w:r>
            <w:r>
              <w:rPr>
                <w:rFonts w:ascii="宋体" w:hAnsi="宋体" w:cs="宋体"/>
                <w:kern w:val="0"/>
                <w:sz w:val="24"/>
                <w:szCs w:val="24"/>
                <w:highlight w:val="none"/>
              </w:rPr>
              <w:t>6</w:t>
            </w:r>
            <w:r>
              <w:rPr>
                <w:rFonts w:hint="eastAsia" w:ascii="宋体" w:hAnsi="宋体" w:cs="宋体"/>
                <w:kern w:val="0"/>
                <w:sz w:val="24"/>
                <w:szCs w:val="24"/>
                <w:highlight w:val="none"/>
              </w:rPr>
              <w:t>分；一般得</w:t>
            </w:r>
            <w:r>
              <w:rPr>
                <w:rFonts w:ascii="宋体" w:hAnsi="宋体" w:cs="宋体"/>
                <w:kern w:val="0"/>
                <w:sz w:val="24"/>
                <w:szCs w:val="24"/>
                <w:highlight w:val="none"/>
              </w:rPr>
              <w:t>4</w:t>
            </w:r>
            <w:r>
              <w:rPr>
                <w:rFonts w:hint="eastAsia" w:ascii="宋体" w:hAnsi="宋体" w:cs="宋体"/>
                <w:kern w:val="0"/>
                <w:sz w:val="24"/>
                <w:szCs w:val="24"/>
                <w:highlight w:val="none"/>
              </w:rPr>
              <w:t>分，</w:t>
            </w:r>
            <w:r>
              <w:rPr>
                <w:rFonts w:ascii="宋体" w:hAnsi="宋体" w:cs="宋体"/>
                <w:kern w:val="0"/>
                <w:sz w:val="24"/>
                <w:szCs w:val="24"/>
                <w:highlight w:val="none"/>
              </w:rPr>
              <w:t>未提供的不得分</w:t>
            </w:r>
            <w:r>
              <w:rPr>
                <w:rFonts w:hint="eastAsia" w:ascii="宋体" w:hAnsi="宋体" w:cs="宋体"/>
                <w:kern w:val="0"/>
                <w:sz w:val="24"/>
                <w:szCs w:val="24"/>
                <w:highlight w:val="none"/>
              </w:rPr>
              <w:t>；</w:t>
            </w:r>
          </w:p>
          <w:p w14:paraId="36EB45DF">
            <w:pPr>
              <w:widowControl/>
              <w:spacing w:line="340" w:lineRule="exact"/>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4、评委根据投标人对质量保证措施、质量保证和管理体系，由评委酌情评分优得</w:t>
            </w:r>
            <w:r>
              <w:rPr>
                <w:rFonts w:ascii="宋体" w:hAnsi="宋体" w:cs="宋体"/>
                <w:kern w:val="0"/>
                <w:sz w:val="24"/>
                <w:szCs w:val="24"/>
                <w:highlight w:val="none"/>
              </w:rPr>
              <w:t>8</w:t>
            </w:r>
            <w:r>
              <w:rPr>
                <w:rFonts w:hint="eastAsia" w:ascii="宋体" w:hAnsi="宋体" w:cs="宋体"/>
                <w:kern w:val="0"/>
                <w:sz w:val="24"/>
                <w:szCs w:val="24"/>
                <w:highlight w:val="none"/>
              </w:rPr>
              <w:t>分；良好得</w:t>
            </w:r>
            <w:r>
              <w:rPr>
                <w:rFonts w:ascii="宋体" w:hAnsi="宋体" w:cs="宋体"/>
                <w:kern w:val="0"/>
                <w:sz w:val="24"/>
                <w:szCs w:val="24"/>
                <w:highlight w:val="none"/>
              </w:rPr>
              <w:t>6</w:t>
            </w:r>
            <w:r>
              <w:rPr>
                <w:rFonts w:hint="eastAsia" w:ascii="宋体" w:hAnsi="宋体" w:cs="宋体"/>
                <w:kern w:val="0"/>
                <w:sz w:val="24"/>
                <w:szCs w:val="24"/>
                <w:highlight w:val="none"/>
              </w:rPr>
              <w:t>分；一般得</w:t>
            </w:r>
            <w:r>
              <w:rPr>
                <w:rFonts w:ascii="宋体" w:hAnsi="宋体" w:cs="宋体"/>
                <w:kern w:val="0"/>
                <w:sz w:val="24"/>
                <w:szCs w:val="24"/>
                <w:highlight w:val="none"/>
              </w:rPr>
              <w:t>4</w:t>
            </w:r>
            <w:r>
              <w:rPr>
                <w:rFonts w:hint="eastAsia" w:ascii="宋体" w:hAnsi="宋体" w:cs="宋体"/>
                <w:kern w:val="0"/>
                <w:sz w:val="24"/>
                <w:szCs w:val="24"/>
                <w:highlight w:val="none"/>
              </w:rPr>
              <w:t>分，</w:t>
            </w:r>
            <w:r>
              <w:rPr>
                <w:rFonts w:ascii="宋体" w:hAnsi="宋体" w:cs="宋体"/>
                <w:kern w:val="0"/>
                <w:sz w:val="24"/>
                <w:szCs w:val="24"/>
                <w:highlight w:val="none"/>
              </w:rPr>
              <w:t>未提供的不得分</w:t>
            </w:r>
            <w:r>
              <w:rPr>
                <w:rFonts w:hint="eastAsia" w:ascii="宋体" w:hAnsi="宋体" w:cs="宋体"/>
                <w:kern w:val="0"/>
                <w:sz w:val="24"/>
                <w:szCs w:val="24"/>
                <w:highlight w:val="none"/>
              </w:rPr>
              <w:t>；</w:t>
            </w:r>
          </w:p>
          <w:p w14:paraId="06EBAD1A">
            <w:pPr>
              <w:widowControl/>
              <w:spacing w:line="340" w:lineRule="exact"/>
              <w:jc w:val="left"/>
              <w:textAlignment w:val="center"/>
              <w:rPr>
                <w:rFonts w:ascii="宋体" w:hAnsi="宋体" w:cs="宋体"/>
                <w:kern w:val="0"/>
                <w:sz w:val="24"/>
                <w:szCs w:val="24"/>
                <w:highlight w:val="none"/>
              </w:rPr>
            </w:pPr>
            <w:r>
              <w:rPr>
                <w:rFonts w:hint="eastAsia" w:ascii="宋体" w:hAnsi="宋体" w:cs="宋体"/>
                <w:kern w:val="0"/>
                <w:sz w:val="24"/>
                <w:szCs w:val="24"/>
                <w:highlight w:val="none"/>
              </w:rPr>
              <w:t>⑤评委对投标人的服务承诺及合理化建议进行评分，由评委酌情评分优得</w:t>
            </w:r>
            <w:r>
              <w:rPr>
                <w:rFonts w:ascii="宋体" w:hAnsi="宋体" w:cs="宋体"/>
                <w:kern w:val="0"/>
                <w:sz w:val="24"/>
                <w:szCs w:val="24"/>
                <w:highlight w:val="none"/>
              </w:rPr>
              <w:t>8</w:t>
            </w:r>
            <w:r>
              <w:rPr>
                <w:rFonts w:hint="eastAsia" w:ascii="宋体" w:hAnsi="宋体" w:cs="宋体"/>
                <w:kern w:val="0"/>
                <w:sz w:val="24"/>
                <w:szCs w:val="24"/>
                <w:highlight w:val="none"/>
              </w:rPr>
              <w:t>分；良好得</w:t>
            </w:r>
            <w:r>
              <w:rPr>
                <w:rFonts w:ascii="宋体" w:hAnsi="宋体" w:cs="宋体"/>
                <w:kern w:val="0"/>
                <w:sz w:val="24"/>
                <w:szCs w:val="24"/>
                <w:highlight w:val="none"/>
              </w:rPr>
              <w:t>6</w:t>
            </w:r>
            <w:r>
              <w:rPr>
                <w:rFonts w:hint="eastAsia" w:ascii="宋体" w:hAnsi="宋体" w:cs="宋体"/>
                <w:kern w:val="0"/>
                <w:sz w:val="24"/>
                <w:szCs w:val="24"/>
                <w:highlight w:val="none"/>
              </w:rPr>
              <w:t>分；一般得</w:t>
            </w:r>
            <w:r>
              <w:rPr>
                <w:rFonts w:ascii="宋体" w:hAnsi="宋体" w:cs="宋体"/>
                <w:kern w:val="0"/>
                <w:sz w:val="24"/>
                <w:szCs w:val="24"/>
                <w:highlight w:val="none"/>
              </w:rPr>
              <w:t>4</w:t>
            </w:r>
            <w:r>
              <w:rPr>
                <w:rFonts w:hint="eastAsia" w:ascii="宋体" w:hAnsi="宋体" w:cs="宋体"/>
                <w:kern w:val="0"/>
                <w:sz w:val="24"/>
                <w:szCs w:val="24"/>
                <w:highlight w:val="none"/>
              </w:rPr>
              <w:t>分，</w:t>
            </w:r>
            <w:r>
              <w:rPr>
                <w:rFonts w:ascii="宋体" w:hAnsi="宋体" w:cs="宋体"/>
                <w:kern w:val="0"/>
                <w:sz w:val="24"/>
                <w:szCs w:val="24"/>
                <w:highlight w:val="none"/>
              </w:rPr>
              <w:t>未提供的不得分</w:t>
            </w:r>
            <w:r>
              <w:rPr>
                <w:rFonts w:hint="eastAsia" w:ascii="宋体" w:hAnsi="宋体" w:cs="宋体"/>
                <w:kern w:val="0"/>
                <w:sz w:val="24"/>
                <w:szCs w:val="24"/>
                <w:highlight w:val="none"/>
              </w:rPr>
              <w:t>。</w:t>
            </w:r>
          </w:p>
        </w:tc>
      </w:tr>
      <w:tr w14:paraId="6EEB99A5">
        <w:tblPrEx>
          <w:tblCellMar>
            <w:top w:w="0" w:type="dxa"/>
            <w:left w:w="108" w:type="dxa"/>
            <w:bottom w:w="0" w:type="dxa"/>
            <w:right w:w="108" w:type="dxa"/>
          </w:tblCellMar>
        </w:tblPrEx>
        <w:trPr>
          <w:trHeight w:val="1451" w:hRule="atLeast"/>
        </w:trPr>
        <w:tc>
          <w:tcPr>
            <w:tcW w:w="776" w:type="dxa"/>
            <w:tcBorders>
              <w:top w:val="nil"/>
              <w:left w:val="single" w:color="auto" w:sz="4" w:space="0"/>
              <w:bottom w:val="single" w:color="auto" w:sz="4" w:space="0"/>
              <w:right w:val="single" w:color="auto" w:sz="4" w:space="0"/>
            </w:tcBorders>
            <w:shd w:val="clear" w:color="auto" w:fill="auto"/>
            <w:vAlign w:val="center"/>
          </w:tcPr>
          <w:p w14:paraId="199D2620">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.3</w:t>
            </w:r>
          </w:p>
        </w:tc>
        <w:tc>
          <w:tcPr>
            <w:tcW w:w="1224" w:type="dxa"/>
            <w:tcBorders>
              <w:top w:val="nil"/>
              <w:left w:val="nil"/>
              <w:bottom w:val="single" w:color="auto" w:sz="4" w:space="0"/>
              <w:right w:val="single" w:color="auto" w:sz="4" w:space="0"/>
            </w:tcBorders>
            <w:shd w:val="clear" w:color="auto" w:fill="auto"/>
            <w:vAlign w:val="center"/>
          </w:tcPr>
          <w:p w14:paraId="2B160BD2">
            <w:pPr>
              <w:widowControl/>
              <w:spacing w:line="340" w:lineRule="exact"/>
              <w:jc w:val="left"/>
              <w:textAlignment w:val="center"/>
              <w:rPr>
                <w:rFonts w:ascii="宋体" w:hAnsi="宋体" w:cs="宋体"/>
                <w:kern w:val="0"/>
                <w:sz w:val="24"/>
                <w:szCs w:val="24"/>
              </w:rPr>
            </w:pPr>
            <w:r>
              <w:rPr>
                <w:rFonts w:hint="eastAsia" w:ascii="宋体" w:hAnsi="宋体" w:cs="宋体"/>
                <w:kern w:val="0"/>
                <w:sz w:val="24"/>
                <w:szCs w:val="24"/>
              </w:rPr>
              <w:t>人员配备</w:t>
            </w:r>
          </w:p>
        </w:tc>
        <w:tc>
          <w:tcPr>
            <w:tcW w:w="850" w:type="dxa"/>
            <w:tcBorders>
              <w:top w:val="nil"/>
              <w:left w:val="nil"/>
              <w:bottom w:val="single" w:color="auto" w:sz="4" w:space="0"/>
              <w:right w:val="single" w:color="auto" w:sz="4" w:space="0"/>
            </w:tcBorders>
            <w:shd w:val="clear" w:color="000000" w:fill="FFFFFF"/>
            <w:vAlign w:val="center"/>
          </w:tcPr>
          <w:p w14:paraId="0257392C">
            <w:pPr>
              <w:widowControl/>
              <w:spacing w:line="340" w:lineRule="exact"/>
              <w:jc w:val="center"/>
              <w:textAlignment w:val="center"/>
              <w:rPr>
                <w:rFonts w:ascii="宋体" w:hAnsi="宋体" w:cs="宋体"/>
                <w:kern w:val="0"/>
                <w:sz w:val="24"/>
                <w:szCs w:val="24"/>
              </w:rPr>
            </w:pPr>
            <w:r>
              <w:rPr>
                <w:rFonts w:hint="eastAsia" w:ascii="宋体" w:hAnsi="宋体" w:cs="宋体"/>
                <w:kern w:val="0"/>
                <w:sz w:val="24"/>
                <w:szCs w:val="24"/>
              </w:rPr>
              <w:t>10分</w:t>
            </w:r>
          </w:p>
        </w:tc>
        <w:tc>
          <w:tcPr>
            <w:tcW w:w="6850" w:type="dxa"/>
            <w:tcBorders>
              <w:top w:val="nil"/>
              <w:left w:val="nil"/>
              <w:bottom w:val="single" w:color="auto" w:sz="4" w:space="0"/>
              <w:right w:val="single" w:color="auto" w:sz="4" w:space="0"/>
            </w:tcBorders>
            <w:vAlign w:val="center"/>
          </w:tcPr>
          <w:p w14:paraId="59475F1E">
            <w:pPr>
              <w:widowControl/>
              <w:spacing w:line="340" w:lineRule="exact"/>
              <w:jc w:val="left"/>
              <w:textAlignment w:val="center"/>
              <w:rPr>
                <w:rFonts w:ascii="宋体" w:hAnsi="宋体" w:cs="宋体"/>
                <w:kern w:val="0"/>
                <w:sz w:val="24"/>
                <w:szCs w:val="24"/>
              </w:rPr>
            </w:pPr>
            <w:r>
              <w:rPr>
                <w:rFonts w:hint="eastAsia" w:ascii="宋体" w:hAnsi="宋体" w:cs="宋体"/>
                <w:kern w:val="0"/>
                <w:sz w:val="24"/>
                <w:szCs w:val="24"/>
              </w:rPr>
              <w:t>1、项目负责人具有水利工程中级及以上职称的得2分，不提供不得分；</w:t>
            </w:r>
          </w:p>
          <w:p w14:paraId="0CBDA28E">
            <w:pPr>
              <w:widowControl/>
              <w:spacing w:line="340" w:lineRule="exact"/>
              <w:jc w:val="left"/>
              <w:textAlignment w:val="center"/>
              <w:rPr>
                <w:rFonts w:ascii="宋体" w:hAnsi="宋体" w:cs="宋体"/>
                <w:kern w:val="0"/>
                <w:sz w:val="24"/>
                <w:szCs w:val="24"/>
              </w:rPr>
            </w:pPr>
            <w:r>
              <w:rPr>
                <w:rFonts w:hint="eastAsia" w:ascii="宋体" w:hAnsi="宋体" w:cs="宋体"/>
                <w:kern w:val="0"/>
                <w:sz w:val="24"/>
                <w:szCs w:val="24"/>
              </w:rPr>
              <w:t>2、项目负责人具有注册咨询工程师资格证书的得</w:t>
            </w:r>
            <w:r>
              <w:rPr>
                <w:rFonts w:ascii="宋体" w:hAnsi="宋体" w:cs="宋体"/>
                <w:kern w:val="0"/>
                <w:sz w:val="24"/>
                <w:szCs w:val="24"/>
              </w:rPr>
              <w:t>2</w:t>
            </w:r>
            <w:r>
              <w:rPr>
                <w:rFonts w:hint="eastAsia" w:ascii="宋体" w:hAnsi="宋体" w:cs="宋体"/>
                <w:kern w:val="0"/>
                <w:sz w:val="24"/>
                <w:szCs w:val="24"/>
              </w:rPr>
              <w:t>分，不提供不得分；</w:t>
            </w:r>
          </w:p>
          <w:p w14:paraId="278A1A69">
            <w:pPr>
              <w:widowControl/>
              <w:spacing w:line="340" w:lineRule="exact"/>
              <w:jc w:val="left"/>
              <w:textAlignment w:val="center"/>
              <w:rPr>
                <w:rFonts w:ascii="宋体" w:hAnsi="宋体" w:cs="宋体"/>
                <w:kern w:val="0"/>
                <w:sz w:val="24"/>
                <w:szCs w:val="24"/>
              </w:rPr>
            </w:pPr>
            <w:r>
              <w:rPr>
                <w:rFonts w:hint="eastAsia" w:ascii="宋体" w:hAnsi="宋体" w:cs="宋体"/>
                <w:kern w:val="0"/>
                <w:sz w:val="24"/>
                <w:szCs w:val="24"/>
              </w:rPr>
              <w:t>3、拟派项目组成员（除项目负责人外）中具有水利相关</w:t>
            </w:r>
            <w:r>
              <w:rPr>
                <w:rFonts w:ascii="宋体" w:hAnsi="宋体" w:cs="宋体"/>
                <w:kern w:val="0"/>
                <w:sz w:val="24"/>
                <w:szCs w:val="24"/>
              </w:rPr>
              <w:t>专业</w:t>
            </w:r>
            <w:r>
              <w:rPr>
                <w:rFonts w:hint="eastAsia" w:ascii="宋体" w:hAnsi="宋体" w:cs="宋体"/>
                <w:kern w:val="0"/>
                <w:sz w:val="24"/>
                <w:szCs w:val="24"/>
              </w:rPr>
              <w:t>中级及以上职称，每提供一个得</w:t>
            </w:r>
            <w:r>
              <w:rPr>
                <w:rFonts w:ascii="宋体" w:hAnsi="宋体" w:cs="宋体"/>
                <w:kern w:val="0"/>
                <w:sz w:val="24"/>
                <w:szCs w:val="24"/>
              </w:rPr>
              <w:t>2</w:t>
            </w:r>
            <w:r>
              <w:rPr>
                <w:rFonts w:hint="eastAsia" w:ascii="宋体" w:hAnsi="宋体" w:cs="宋体"/>
                <w:kern w:val="0"/>
                <w:sz w:val="24"/>
                <w:szCs w:val="24"/>
              </w:rPr>
              <w:t>分，最高6分。</w:t>
            </w:r>
          </w:p>
          <w:p w14:paraId="3869D493">
            <w:pPr>
              <w:widowControl/>
              <w:spacing w:line="340" w:lineRule="exact"/>
              <w:jc w:val="left"/>
              <w:textAlignment w:val="center"/>
              <w:rPr>
                <w:rFonts w:ascii="宋体" w:hAnsi="宋体" w:cs="宋体"/>
                <w:kern w:val="0"/>
                <w:sz w:val="24"/>
                <w:szCs w:val="24"/>
              </w:rPr>
            </w:pPr>
            <w:r>
              <w:rPr>
                <w:rFonts w:hint="eastAsia" w:ascii="宋体" w:hAnsi="宋体" w:cs="宋体"/>
                <w:kern w:val="0"/>
                <w:sz w:val="24"/>
                <w:szCs w:val="24"/>
              </w:rPr>
              <w:t>备注：</w:t>
            </w:r>
            <w:r>
              <w:rPr>
                <w:rFonts w:ascii="宋体" w:hAnsi="宋体" w:cs="宋体"/>
                <w:kern w:val="0"/>
                <w:sz w:val="24"/>
                <w:szCs w:val="24"/>
              </w:rPr>
              <w:t>须</w:t>
            </w:r>
            <w:r>
              <w:rPr>
                <w:rFonts w:hint="eastAsia" w:ascii="宋体" w:hAnsi="宋体" w:cs="宋体"/>
                <w:kern w:val="0"/>
                <w:sz w:val="24"/>
                <w:szCs w:val="24"/>
              </w:rPr>
              <w:t>提供证书原件扫描件，</w:t>
            </w:r>
            <w:r>
              <w:rPr>
                <w:rFonts w:ascii="宋体" w:hAnsi="宋体" w:cs="宋体"/>
                <w:kern w:val="0"/>
                <w:sz w:val="24"/>
                <w:szCs w:val="24"/>
              </w:rPr>
              <w:t>证书不能体现相应专业的，同时提供能体现相应专业的毕业证书等相关证书</w:t>
            </w:r>
            <w:r>
              <w:rPr>
                <w:rFonts w:hint="eastAsia" w:ascii="宋体" w:hAnsi="宋体" w:cs="宋体"/>
                <w:kern w:val="0"/>
                <w:sz w:val="24"/>
                <w:szCs w:val="24"/>
              </w:rPr>
              <w:t>原件扫描件</w:t>
            </w:r>
            <w:r>
              <w:rPr>
                <w:rFonts w:ascii="宋体" w:hAnsi="宋体" w:cs="宋体"/>
                <w:kern w:val="0"/>
                <w:sz w:val="24"/>
                <w:szCs w:val="24"/>
              </w:rPr>
              <w:t>加盖投标单位公章，不提供不得分</w:t>
            </w:r>
            <w:r>
              <w:rPr>
                <w:rFonts w:hint="eastAsia" w:ascii="宋体" w:hAnsi="宋体" w:cs="宋体"/>
                <w:kern w:val="0"/>
                <w:sz w:val="24"/>
                <w:szCs w:val="24"/>
              </w:rPr>
              <w:t>，并提供项目负责人及项目组成员在</w:t>
            </w:r>
            <w:r>
              <w:rPr>
                <w:rFonts w:hint="eastAsia" w:ascii="宋体" w:hAnsi="宋体" w:cs="宋体"/>
                <w:kern w:val="0"/>
                <w:sz w:val="24"/>
                <w:szCs w:val="24"/>
                <w:highlight w:val="none"/>
              </w:rPr>
              <w:t>本项目开标前半年内任意连续</w:t>
            </w:r>
            <w:r>
              <w:rPr>
                <w:rFonts w:ascii="宋体" w:hAnsi="宋体" w:cs="宋体"/>
                <w:kern w:val="0"/>
                <w:sz w:val="24"/>
                <w:szCs w:val="24"/>
                <w:highlight w:val="none"/>
              </w:rPr>
              <w:t>3</w:t>
            </w:r>
            <w:r>
              <w:rPr>
                <w:rFonts w:hint="eastAsia" w:ascii="宋体" w:hAnsi="宋体" w:cs="宋体"/>
                <w:kern w:val="0"/>
                <w:sz w:val="24"/>
                <w:szCs w:val="24"/>
                <w:highlight w:val="none"/>
              </w:rPr>
              <w:t>个月在本单位缴纳社保证明或承诺（并对真实性负责），</w:t>
            </w:r>
            <w:r>
              <w:rPr>
                <w:rFonts w:hint="eastAsia" w:ascii="宋体" w:hAnsi="宋体" w:cs="宋体"/>
                <w:kern w:val="0"/>
                <w:sz w:val="24"/>
                <w:szCs w:val="24"/>
              </w:rPr>
              <w:t>不提供不得分。</w:t>
            </w:r>
          </w:p>
        </w:tc>
      </w:tr>
      <w:tr w14:paraId="59383881">
        <w:tblPrEx>
          <w:tblCellMar>
            <w:top w:w="0" w:type="dxa"/>
            <w:left w:w="108" w:type="dxa"/>
            <w:bottom w:w="0" w:type="dxa"/>
            <w:right w:w="108" w:type="dxa"/>
          </w:tblCellMar>
        </w:tblPrEx>
        <w:trPr>
          <w:trHeight w:val="560" w:hRule="atLeast"/>
        </w:trPr>
        <w:tc>
          <w:tcPr>
            <w:tcW w:w="2000" w:type="dxa"/>
            <w:gridSpan w:val="2"/>
            <w:tcBorders>
              <w:top w:val="nil"/>
              <w:left w:val="single" w:color="auto" w:sz="4" w:space="0"/>
              <w:bottom w:val="single" w:color="auto" w:sz="4" w:space="0"/>
              <w:right w:val="single" w:color="auto" w:sz="4" w:space="0"/>
            </w:tcBorders>
            <w:shd w:val="clear" w:color="auto" w:fill="auto"/>
            <w:vAlign w:val="center"/>
          </w:tcPr>
          <w:p w14:paraId="0E6D1FB6">
            <w:pPr>
              <w:widowControl/>
              <w:jc w:val="left"/>
              <w:rPr>
                <w:rFonts w:ascii="宋体" w:hAnsi="宋体" w:cs="宋体"/>
                <w:kern w:val="0"/>
                <w:sz w:val="24"/>
                <w:szCs w:val="24"/>
              </w:rPr>
            </w:pPr>
            <w:r>
              <w:rPr>
                <w:rFonts w:hint="eastAsia" w:ascii="宋体" w:hAnsi="宋体" w:cs="宋体"/>
                <w:kern w:val="0"/>
                <w:sz w:val="24"/>
                <w:szCs w:val="24"/>
              </w:rPr>
              <w:t>合计</w:t>
            </w:r>
          </w:p>
        </w:tc>
        <w:tc>
          <w:tcPr>
            <w:tcW w:w="850" w:type="dxa"/>
            <w:tcBorders>
              <w:top w:val="nil"/>
              <w:left w:val="nil"/>
              <w:bottom w:val="single" w:color="auto" w:sz="4" w:space="0"/>
              <w:right w:val="single" w:color="auto" w:sz="4" w:space="0"/>
            </w:tcBorders>
            <w:shd w:val="clear" w:color="000000" w:fill="FFFFFF"/>
            <w:vAlign w:val="center"/>
          </w:tcPr>
          <w:p w14:paraId="2937F219">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00</w:t>
            </w:r>
            <w:r>
              <w:rPr>
                <w:rFonts w:hint="eastAsia" w:ascii="宋体" w:hAnsi="宋体" w:cs="宋体"/>
                <w:kern w:val="0"/>
                <w:sz w:val="24"/>
                <w:szCs w:val="24"/>
              </w:rPr>
              <w:t>分</w:t>
            </w:r>
          </w:p>
        </w:tc>
        <w:tc>
          <w:tcPr>
            <w:tcW w:w="6850" w:type="dxa"/>
            <w:tcBorders>
              <w:top w:val="nil"/>
              <w:left w:val="nil"/>
              <w:bottom w:val="single" w:color="auto" w:sz="4" w:space="0"/>
              <w:right w:val="single" w:color="auto" w:sz="4" w:space="0"/>
            </w:tcBorders>
            <w:vAlign w:val="center"/>
          </w:tcPr>
          <w:p w14:paraId="3F8FF97C">
            <w:pPr>
              <w:widowControl/>
              <w:spacing w:line="340" w:lineRule="exact"/>
              <w:jc w:val="left"/>
              <w:textAlignment w:val="center"/>
              <w:rPr>
                <w:rFonts w:ascii="宋体" w:hAnsi="宋体" w:cs="宋体"/>
                <w:kern w:val="0"/>
                <w:sz w:val="24"/>
                <w:szCs w:val="24"/>
              </w:rPr>
            </w:pPr>
          </w:p>
        </w:tc>
      </w:tr>
    </w:tbl>
    <w:p w14:paraId="740D45C7">
      <w:pPr>
        <w:spacing w:after="100" w:afterAutospacing="1"/>
        <w:ind w:firstLine="482" w:firstLineChars="200"/>
        <w:jc w:val="left"/>
        <w:rPr>
          <w:rFonts w:ascii="宋体" w:hAnsi="宋体"/>
          <w:b/>
          <w:bCs/>
          <w:sz w:val="24"/>
        </w:rPr>
      </w:pPr>
      <w:r>
        <w:rPr>
          <w:rFonts w:hint="eastAsia" w:ascii="宋体" w:hAnsi="宋体"/>
          <w:b/>
          <w:bCs/>
          <w:sz w:val="24"/>
        </w:rPr>
        <w:t>注：开标现场不需要提供原件，只需根据磋商文件要求，把清晰可辨的复印件或影印件放入投标文件内，如因不清晰造成的不良后果自负。标后采购人有权要求中标单位提供原件核查，如在规定时间内无法提供采购人有权拒绝签合同。</w:t>
      </w:r>
    </w:p>
    <w:p w14:paraId="0699DB6E">
      <w:pPr>
        <w:pStyle w:val="4"/>
        <w:spacing w:line="240" w:lineRule="auto"/>
        <w:jc w:val="center"/>
        <w:rPr>
          <w:sz w:val="36"/>
          <w:szCs w:val="36"/>
        </w:rPr>
      </w:pPr>
      <w:r>
        <w:rPr>
          <w:rFonts w:ascii="宋体" w:hAnsi="宋体" w:cs="宋体"/>
          <w:b w:val="0"/>
          <w:sz w:val="36"/>
          <w:szCs w:val="36"/>
        </w:rPr>
        <w:br w:type="page"/>
      </w:r>
      <w:bookmarkStart w:id="55" w:name="_Toc17633"/>
      <w:bookmarkStart w:id="56" w:name="_Toc5216"/>
      <w:r>
        <w:rPr>
          <w:rFonts w:hint="eastAsia"/>
          <w:sz w:val="36"/>
          <w:szCs w:val="36"/>
        </w:rPr>
        <w:t>第五章 供应商须知</w:t>
      </w:r>
      <w:bookmarkEnd w:id="55"/>
      <w:bookmarkEnd w:id="56"/>
    </w:p>
    <w:p w14:paraId="12397A7D">
      <w:pPr>
        <w:pStyle w:val="6"/>
        <w:spacing w:line="500" w:lineRule="exact"/>
        <w:rPr>
          <w:rFonts w:hAnsi="宋体"/>
          <w:sz w:val="28"/>
        </w:rPr>
      </w:pPr>
      <w:bookmarkStart w:id="57" w:name="_Hlt509649998"/>
      <w:bookmarkEnd w:id="57"/>
      <w:bookmarkStart w:id="58" w:name="_Hlt509650686"/>
      <w:bookmarkEnd w:id="58"/>
      <w:bookmarkStart w:id="59" w:name="_Hlt509650126"/>
      <w:bookmarkEnd w:id="59"/>
      <w:bookmarkStart w:id="60" w:name="_Hlt509649722"/>
      <w:bookmarkEnd w:id="60"/>
      <w:bookmarkStart w:id="61" w:name="_Hlt509650955"/>
      <w:bookmarkEnd w:id="61"/>
      <w:bookmarkStart w:id="62" w:name="_Hlt526418143"/>
      <w:bookmarkEnd w:id="62"/>
      <w:bookmarkStart w:id="63" w:name="_Toc22213"/>
      <w:bookmarkStart w:id="64" w:name="_Toc22147"/>
      <w:bookmarkStart w:id="65" w:name="_Toc407096150"/>
      <w:bookmarkStart w:id="66" w:name="_Toc7397"/>
      <w:r>
        <w:rPr>
          <w:rFonts w:hint="eastAsia" w:hAnsi="宋体"/>
          <w:sz w:val="28"/>
        </w:rPr>
        <w:t>一．总    则</w:t>
      </w:r>
      <w:bookmarkEnd w:id="63"/>
      <w:bookmarkEnd w:id="64"/>
      <w:bookmarkEnd w:id="65"/>
      <w:bookmarkEnd w:id="66"/>
    </w:p>
    <w:p w14:paraId="41E8750A">
      <w:pPr>
        <w:spacing w:line="360" w:lineRule="auto"/>
        <w:ind w:firstLine="550"/>
        <w:rPr>
          <w:rFonts w:ascii="宋体" w:hAnsi="宋体"/>
          <w:b/>
          <w:sz w:val="24"/>
        </w:rPr>
      </w:pPr>
      <w:r>
        <w:rPr>
          <w:rFonts w:ascii="宋体" w:hAnsi="宋体"/>
          <w:b/>
          <w:sz w:val="24"/>
        </w:rPr>
        <w:t>1</w:t>
      </w:r>
      <w:r>
        <w:rPr>
          <w:rFonts w:hint="eastAsia" w:ascii="宋体" w:hAnsi="宋体"/>
          <w:b/>
          <w:sz w:val="24"/>
        </w:rPr>
        <w:t>.适用范围</w:t>
      </w:r>
    </w:p>
    <w:p w14:paraId="12E16082">
      <w:pPr>
        <w:spacing w:line="360" w:lineRule="auto"/>
        <w:ind w:firstLine="550"/>
        <w:rPr>
          <w:rFonts w:ascii="宋体" w:hAnsi="宋体"/>
          <w:sz w:val="24"/>
        </w:rPr>
      </w:pPr>
      <w:r>
        <w:rPr>
          <w:rFonts w:ascii="宋体" w:hAnsi="宋体"/>
          <w:sz w:val="24"/>
        </w:rPr>
        <w:t>1.</w:t>
      </w:r>
      <w:r>
        <w:rPr>
          <w:rFonts w:hint="eastAsia" w:ascii="宋体" w:hAnsi="宋体"/>
          <w:sz w:val="24"/>
        </w:rPr>
        <w:t>1本竞争性磋商文件仅适用于本次竞争性磋商所述的服务采购。</w:t>
      </w:r>
    </w:p>
    <w:p w14:paraId="1A8A6E4D">
      <w:pPr>
        <w:spacing w:line="360" w:lineRule="auto"/>
        <w:ind w:firstLine="550"/>
        <w:rPr>
          <w:rFonts w:ascii="宋体" w:hAnsi="宋体"/>
          <w:b/>
          <w:sz w:val="24"/>
        </w:rPr>
      </w:pPr>
      <w:r>
        <w:rPr>
          <w:rFonts w:hint="eastAsia" w:ascii="宋体" w:hAnsi="宋体"/>
          <w:b/>
          <w:sz w:val="24"/>
        </w:rPr>
        <w:t>2.有关定义</w:t>
      </w:r>
    </w:p>
    <w:p w14:paraId="78E46597">
      <w:pPr>
        <w:spacing w:line="360" w:lineRule="auto"/>
        <w:ind w:firstLine="550"/>
        <w:rPr>
          <w:rFonts w:ascii="宋体" w:hAnsi="宋体"/>
          <w:sz w:val="24"/>
        </w:rPr>
      </w:pPr>
      <w:r>
        <w:rPr>
          <w:rFonts w:hint="eastAsia" w:ascii="宋体" w:hAnsi="宋体"/>
          <w:sz w:val="24"/>
        </w:rPr>
        <w:t>2.1监督管理部门：系指淮南经济技术开发区社会发展局监督部门。</w:t>
      </w:r>
    </w:p>
    <w:p w14:paraId="37E94BDE">
      <w:pPr>
        <w:spacing w:line="360" w:lineRule="auto"/>
        <w:ind w:firstLine="550"/>
        <w:rPr>
          <w:rFonts w:ascii="宋体" w:hAnsi="宋体"/>
          <w:sz w:val="24"/>
        </w:rPr>
      </w:pPr>
      <w:r>
        <w:rPr>
          <w:rFonts w:hint="eastAsia" w:ascii="宋体" w:hAnsi="宋体"/>
          <w:sz w:val="24"/>
        </w:rPr>
        <w:t>2.2采购人：系指本次采购项目的业主方。</w:t>
      </w:r>
    </w:p>
    <w:p w14:paraId="457A500E">
      <w:pPr>
        <w:spacing w:line="360" w:lineRule="auto"/>
        <w:ind w:firstLine="550"/>
        <w:rPr>
          <w:rFonts w:ascii="宋体" w:hAnsi="宋体"/>
          <w:sz w:val="24"/>
        </w:rPr>
      </w:pPr>
      <w:r>
        <w:rPr>
          <w:rFonts w:hint="eastAsia" w:ascii="宋体" w:hAnsi="宋体"/>
          <w:sz w:val="24"/>
        </w:rPr>
        <w:t>2.3委托人：系指本次采购项目的委托方。</w:t>
      </w:r>
    </w:p>
    <w:p w14:paraId="6DEF16B7">
      <w:pPr>
        <w:spacing w:line="360" w:lineRule="auto"/>
        <w:ind w:firstLine="550"/>
        <w:rPr>
          <w:rFonts w:ascii="宋体" w:hAnsi="宋体"/>
          <w:sz w:val="24"/>
        </w:rPr>
      </w:pPr>
      <w:r>
        <w:rPr>
          <w:rFonts w:hint="eastAsia" w:ascii="宋体" w:hAnsi="宋体"/>
          <w:sz w:val="24"/>
        </w:rPr>
        <w:t>2.4供应商：系指购买了本竞争性磋商文件，且已经提交或准备提交本次投标响应文件的供应商。</w:t>
      </w:r>
    </w:p>
    <w:p w14:paraId="51C2879A">
      <w:pPr>
        <w:spacing w:line="360" w:lineRule="auto"/>
        <w:ind w:firstLine="550"/>
        <w:rPr>
          <w:rFonts w:ascii="宋体" w:hAnsi="宋体"/>
          <w:sz w:val="24"/>
        </w:rPr>
      </w:pPr>
      <w:r>
        <w:rPr>
          <w:rFonts w:hint="eastAsia" w:ascii="宋体" w:hAnsi="宋体"/>
          <w:sz w:val="24"/>
        </w:rPr>
        <w:t>2.5近X年内：系指从开标之日向前追溯X年（“X”为“一”及以后整数）起算。除非本竞争性磋商文件另有规定，否则均以合同签订之日为追溯结点。</w:t>
      </w:r>
    </w:p>
    <w:p w14:paraId="24E8122E">
      <w:pPr>
        <w:spacing w:line="360" w:lineRule="auto"/>
        <w:ind w:firstLine="550"/>
        <w:rPr>
          <w:rFonts w:ascii="宋体" w:hAnsi="宋体"/>
          <w:b/>
          <w:sz w:val="24"/>
        </w:rPr>
      </w:pPr>
      <w:r>
        <w:rPr>
          <w:rFonts w:hint="eastAsia" w:ascii="宋体" w:hAnsi="宋体"/>
          <w:b/>
          <w:sz w:val="24"/>
        </w:rPr>
        <w:t>3.投标费用</w:t>
      </w:r>
    </w:p>
    <w:p w14:paraId="69B0B3C3">
      <w:pPr>
        <w:spacing w:line="360" w:lineRule="auto"/>
        <w:ind w:firstLine="550"/>
        <w:rPr>
          <w:rFonts w:ascii="宋体" w:hAnsi="宋体"/>
          <w:sz w:val="24"/>
        </w:rPr>
      </w:pPr>
      <w:r>
        <w:rPr>
          <w:rFonts w:hint="eastAsia" w:ascii="宋体" w:hAnsi="宋体"/>
          <w:sz w:val="24"/>
        </w:rPr>
        <w:t>3.1无论投标结果如何，供应商应自行承担其编制与递交投标响应文件所涉及的一切费用。</w:t>
      </w:r>
    </w:p>
    <w:p w14:paraId="37B46009">
      <w:pPr>
        <w:spacing w:line="360" w:lineRule="auto"/>
        <w:ind w:firstLine="550"/>
        <w:rPr>
          <w:rFonts w:ascii="宋体" w:hAnsi="宋体"/>
          <w:b/>
          <w:bCs/>
          <w:sz w:val="24"/>
        </w:rPr>
      </w:pPr>
      <w:r>
        <w:rPr>
          <w:rFonts w:hint="eastAsia" w:ascii="宋体" w:hAnsi="宋体"/>
          <w:b/>
          <w:bCs/>
          <w:sz w:val="24"/>
        </w:rPr>
        <w:t>4.合格的供应商</w:t>
      </w:r>
    </w:p>
    <w:p w14:paraId="62E990DA">
      <w:pPr>
        <w:spacing w:line="360" w:lineRule="auto"/>
        <w:ind w:firstLine="523" w:firstLineChars="218"/>
        <w:rPr>
          <w:rFonts w:ascii="宋体" w:hAnsi="宋体"/>
          <w:sz w:val="24"/>
        </w:rPr>
      </w:pPr>
      <w:r>
        <w:rPr>
          <w:rFonts w:hint="eastAsia" w:ascii="宋体" w:hAnsi="宋体"/>
          <w:sz w:val="24"/>
        </w:rPr>
        <w:t>4.1合格的供应商应符合竞争性磋商文件载明的投标资格。</w:t>
      </w:r>
    </w:p>
    <w:p w14:paraId="1501B82F">
      <w:pPr>
        <w:spacing w:line="360" w:lineRule="auto"/>
        <w:ind w:firstLine="523" w:firstLineChars="218"/>
        <w:rPr>
          <w:rFonts w:ascii="宋体" w:hAnsi="宋体"/>
          <w:sz w:val="24"/>
        </w:rPr>
      </w:pPr>
      <w:r>
        <w:rPr>
          <w:rFonts w:hint="eastAsia" w:ascii="宋体" w:hAnsi="宋体"/>
          <w:sz w:val="24"/>
        </w:rPr>
        <w:t>4.2供应商之间如果存在下列情形之一的，不得同时参加同一标段（包别）或者不分标段（包别）的同一项目投标：</w:t>
      </w:r>
    </w:p>
    <w:p w14:paraId="7A24D220">
      <w:pPr>
        <w:spacing w:line="360" w:lineRule="auto"/>
        <w:ind w:left="420" w:leftChars="200" w:firstLine="88" w:firstLineChars="37"/>
        <w:rPr>
          <w:rFonts w:ascii="宋体" w:hAnsi="宋体"/>
          <w:sz w:val="24"/>
        </w:rPr>
      </w:pPr>
      <w:r>
        <w:rPr>
          <w:rFonts w:hint="eastAsia" w:ascii="宋体" w:hAnsi="宋体"/>
          <w:sz w:val="24"/>
        </w:rPr>
        <w:t>4.2.1法定代表人为同一个人的两个及两个以上法人；</w:t>
      </w:r>
    </w:p>
    <w:p w14:paraId="73985475">
      <w:pPr>
        <w:spacing w:line="360" w:lineRule="auto"/>
        <w:ind w:left="420" w:leftChars="200" w:firstLine="88" w:firstLineChars="37"/>
        <w:rPr>
          <w:rFonts w:ascii="宋体" w:hAnsi="宋体"/>
          <w:sz w:val="24"/>
        </w:rPr>
      </w:pPr>
      <w:r>
        <w:rPr>
          <w:rFonts w:hint="eastAsia" w:ascii="宋体" w:hAnsi="宋体"/>
          <w:sz w:val="24"/>
        </w:rPr>
        <w:t>4.2.2母公司、全资子公司及其控股公司；</w:t>
      </w:r>
    </w:p>
    <w:p w14:paraId="19D2EE2E">
      <w:pPr>
        <w:spacing w:line="360" w:lineRule="auto"/>
        <w:ind w:left="420" w:leftChars="200" w:firstLine="88" w:firstLineChars="37"/>
        <w:rPr>
          <w:rFonts w:ascii="宋体" w:hAnsi="宋体"/>
          <w:sz w:val="24"/>
        </w:rPr>
      </w:pPr>
      <w:r>
        <w:rPr>
          <w:rFonts w:hint="eastAsia" w:ascii="宋体" w:hAnsi="宋体"/>
          <w:sz w:val="24"/>
        </w:rPr>
        <w:t>4.2.3参加投标的其他组织之间存在特殊的利害关系的；</w:t>
      </w:r>
    </w:p>
    <w:p w14:paraId="587C4231">
      <w:pPr>
        <w:spacing w:line="360" w:lineRule="auto"/>
        <w:ind w:left="420" w:leftChars="200" w:firstLine="88" w:firstLineChars="37"/>
        <w:rPr>
          <w:rFonts w:ascii="宋体" w:hAnsi="宋体"/>
          <w:sz w:val="24"/>
        </w:rPr>
      </w:pPr>
      <w:r>
        <w:rPr>
          <w:rFonts w:hint="eastAsia" w:ascii="宋体" w:hAnsi="宋体"/>
          <w:sz w:val="24"/>
        </w:rPr>
        <w:t>4.2.4法律和行政法规规定的其他情形。</w:t>
      </w:r>
    </w:p>
    <w:p w14:paraId="05D8CA11">
      <w:pPr>
        <w:spacing w:line="360" w:lineRule="auto"/>
        <w:ind w:firstLine="550"/>
        <w:rPr>
          <w:rFonts w:ascii="宋体" w:hAnsi="宋体"/>
          <w:b/>
          <w:sz w:val="24"/>
        </w:rPr>
      </w:pPr>
      <w:r>
        <w:rPr>
          <w:rFonts w:hint="eastAsia" w:ascii="宋体" w:hAnsi="宋体"/>
          <w:b/>
          <w:sz w:val="24"/>
        </w:rPr>
        <w:t>5.勘察现场</w:t>
      </w:r>
    </w:p>
    <w:p w14:paraId="0329EE10">
      <w:pPr>
        <w:spacing w:line="360" w:lineRule="auto"/>
        <w:ind w:firstLine="550"/>
        <w:rPr>
          <w:rFonts w:ascii="宋体" w:hAnsi="宋体"/>
          <w:sz w:val="24"/>
        </w:rPr>
      </w:pPr>
      <w:r>
        <w:rPr>
          <w:rFonts w:hint="eastAsia" w:ascii="宋体" w:hAnsi="宋体"/>
          <w:sz w:val="24"/>
        </w:rPr>
        <w:t>5.1供应商应自行对服务现场和周围环境进行勘察，以获取编制投标响应文件和签署合同所需的资料。勘察现场的方式、地址及联系方式见供应商须知前附表。</w:t>
      </w:r>
    </w:p>
    <w:p w14:paraId="237D0B37">
      <w:pPr>
        <w:spacing w:line="360" w:lineRule="auto"/>
        <w:ind w:firstLine="550"/>
        <w:rPr>
          <w:rFonts w:ascii="宋体" w:hAnsi="宋体"/>
          <w:sz w:val="24"/>
        </w:rPr>
      </w:pPr>
      <w:r>
        <w:rPr>
          <w:rFonts w:hint="eastAsia" w:ascii="宋体" w:hAnsi="宋体"/>
          <w:sz w:val="24"/>
        </w:rPr>
        <w:t>5.2勘察现场所发生的费用由供应商自行承担。采购人向供应商提供的有关服务现场的资料和数据，是采购人现有的能使供应商利用的资料。采购人对供应商由此而做出的推论、理解和结论概不负责。供应商未到服务现场实地踏勘的，中标后签订合同时和履约过程中，不得以不完全了解现场情况为由，提出任何形式的增加合同价款或索赔的要求。</w:t>
      </w:r>
    </w:p>
    <w:p w14:paraId="78F1723A">
      <w:pPr>
        <w:spacing w:line="360" w:lineRule="auto"/>
        <w:ind w:firstLine="550"/>
        <w:rPr>
          <w:rFonts w:ascii="宋体" w:hAnsi="宋体"/>
          <w:sz w:val="24"/>
        </w:rPr>
      </w:pPr>
      <w:r>
        <w:rPr>
          <w:rFonts w:hint="eastAsia" w:ascii="宋体" w:hAnsi="宋体"/>
          <w:sz w:val="24"/>
        </w:rPr>
        <w:t>5.3除非有特殊要求，竞争性磋商文件不单独提供服务使用地的自然环境、气候条件、公用设施等情况，供应商被视为熟悉上述与履行合同有关的一切情况。</w:t>
      </w:r>
    </w:p>
    <w:p w14:paraId="79FCC78A">
      <w:pPr>
        <w:spacing w:line="360" w:lineRule="auto"/>
        <w:ind w:firstLine="550"/>
        <w:rPr>
          <w:rFonts w:ascii="宋体" w:hAnsi="宋体"/>
          <w:bCs/>
          <w:sz w:val="24"/>
        </w:rPr>
      </w:pPr>
      <w:r>
        <w:rPr>
          <w:rFonts w:hint="eastAsia" w:ascii="宋体" w:hAnsi="宋体"/>
          <w:b/>
          <w:sz w:val="24"/>
        </w:rPr>
        <w:t>6.知识产权</w:t>
      </w:r>
    </w:p>
    <w:p w14:paraId="0DF61A83">
      <w:pPr>
        <w:spacing w:line="360" w:lineRule="auto"/>
        <w:ind w:firstLine="549"/>
        <w:rPr>
          <w:rFonts w:ascii="宋体" w:hAnsi="宋体"/>
          <w:bCs/>
          <w:sz w:val="24"/>
        </w:rPr>
      </w:pPr>
      <w:r>
        <w:rPr>
          <w:rFonts w:hint="eastAsia" w:ascii="宋体" w:hAnsi="宋体"/>
          <w:sz w:val="24"/>
        </w:rPr>
        <w:t>6.1</w:t>
      </w:r>
      <w:r>
        <w:rPr>
          <w:rFonts w:hint="eastAsia" w:ascii="宋体" w:hAnsi="宋体"/>
          <w:bCs/>
          <w:sz w:val="24"/>
        </w:rPr>
        <w:t>供应商须保证，采购人在中华人民共和国境内使用投标货物、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用。</w:t>
      </w:r>
      <w:r>
        <w:rPr>
          <w:rFonts w:hint="eastAsia" w:ascii="宋体" w:hAnsi="宋体"/>
          <w:sz w:val="24"/>
        </w:rPr>
        <w:t>如因此导致采购人损失的，供应商须承担全部赔偿责任。</w:t>
      </w:r>
    </w:p>
    <w:p w14:paraId="36647410">
      <w:pPr>
        <w:spacing w:line="360" w:lineRule="auto"/>
        <w:ind w:firstLine="549"/>
        <w:rPr>
          <w:rFonts w:ascii="宋体" w:hAnsi="宋体"/>
          <w:bCs/>
          <w:sz w:val="24"/>
        </w:rPr>
      </w:pPr>
      <w:r>
        <w:rPr>
          <w:rFonts w:hint="eastAsia" w:ascii="宋体" w:hAnsi="宋体"/>
          <w:bCs/>
          <w:sz w:val="24"/>
        </w:rPr>
        <w:t>6.2供应商如欲在项目实施过程中采用自有知识成果，须在投标响应文件中声明，并提供相关知识产权证明文件。使用该知识成果后，供应商须提供开发接口和开发手册等技术文档。</w:t>
      </w:r>
    </w:p>
    <w:p w14:paraId="38249D6F">
      <w:pPr>
        <w:spacing w:line="360" w:lineRule="auto"/>
        <w:ind w:firstLine="549"/>
        <w:rPr>
          <w:rFonts w:ascii="宋体" w:hAnsi="宋体"/>
          <w:b/>
          <w:sz w:val="24"/>
        </w:rPr>
      </w:pPr>
      <w:r>
        <w:rPr>
          <w:rFonts w:hint="eastAsia" w:ascii="宋体" w:hAnsi="宋体"/>
          <w:b/>
          <w:sz w:val="24"/>
        </w:rPr>
        <w:t>7.纪律与保密</w:t>
      </w:r>
    </w:p>
    <w:p w14:paraId="0016A528">
      <w:pPr>
        <w:spacing w:line="360" w:lineRule="auto"/>
        <w:ind w:firstLine="549"/>
        <w:rPr>
          <w:rFonts w:ascii="宋体" w:hAnsi="宋体"/>
          <w:sz w:val="24"/>
        </w:rPr>
      </w:pPr>
      <w:r>
        <w:rPr>
          <w:rFonts w:hint="eastAsia" w:ascii="宋体" w:hAnsi="宋体"/>
          <w:sz w:val="24"/>
        </w:rPr>
        <w:t>7.1供应商的投标行为应遵守中国的有关法律、法规和规章。</w:t>
      </w:r>
    </w:p>
    <w:p w14:paraId="23B80822">
      <w:pPr>
        <w:spacing w:line="360" w:lineRule="auto"/>
        <w:ind w:firstLine="549"/>
        <w:rPr>
          <w:rFonts w:ascii="宋体" w:hAnsi="宋体"/>
          <w:sz w:val="24"/>
        </w:rPr>
      </w:pPr>
      <w:r>
        <w:rPr>
          <w:rFonts w:hint="eastAsia" w:ascii="宋体" w:hAnsi="宋体"/>
          <w:sz w:val="24"/>
        </w:rPr>
        <w:t>7.2供应商不得相互串通投标报价，不得妨碍其他供应商的公平竞争，不得损害采购人或其他供应商的合法权益，供应商不得以向采购人、谈判小组成员行贿或者采取其他不正当手段谋取中标。</w:t>
      </w:r>
    </w:p>
    <w:p w14:paraId="6B37A397">
      <w:pPr>
        <w:spacing w:line="360" w:lineRule="auto"/>
        <w:ind w:firstLine="549"/>
        <w:rPr>
          <w:rFonts w:ascii="宋体" w:hAnsi="宋体"/>
          <w:sz w:val="24"/>
        </w:rPr>
      </w:pPr>
      <w:r>
        <w:rPr>
          <w:rFonts w:hint="eastAsia" w:ascii="宋体" w:hAnsi="宋体"/>
          <w:sz w:val="24"/>
        </w:rPr>
        <w:t>7.2.1有下列情形之一的，属于供应商相互串通投标：</w:t>
      </w:r>
    </w:p>
    <w:p w14:paraId="62C365F2">
      <w:pPr>
        <w:spacing w:line="360" w:lineRule="auto"/>
        <w:ind w:firstLine="549"/>
        <w:rPr>
          <w:rFonts w:ascii="宋体" w:hAnsi="宋体"/>
          <w:sz w:val="24"/>
        </w:rPr>
      </w:pPr>
      <w:r>
        <w:rPr>
          <w:rFonts w:hint="eastAsia" w:ascii="宋体" w:hAnsi="宋体"/>
          <w:sz w:val="24"/>
        </w:rPr>
        <w:t>7.2.1.1供应商之间协商投标报价等投标响应文件的实质性内容；</w:t>
      </w:r>
    </w:p>
    <w:p w14:paraId="6B000F27">
      <w:pPr>
        <w:spacing w:line="360" w:lineRule="auto"/>
        <w:ind w:firstLine="549"/>
        <w:rPr>
          <w:rFonts w:ascii="宋体" w:hAnsi="宋体"/>
          <w:sz w:val="24"/>
        </w:rPr>
      </w:pPr>
      <w:r>
        <w:rPr>
          <w:rFonts w:hint="eastAsia" w:ascii="宋体" w:hAnsi="宋体"/>
          <w:sz w:val="24"/>
        </w:rPr>
        <w:t>7.2.1.2供应商之间约定中标人；</w:t>
      </w:r>
    </w:p>
    <w:p w14:paraId="52648C9A">
      <w:pPr>
        <w:spacing w:line="360" w:lineRule="auto"/>
        <w:ind w:firstLine="549"/>
        <w:rPr>
          <w:rFonts w:ascii="宋体" w:hAnsi="宋体"/>
          <w:sz w:val="24"/>
        </w:rPr>
      </w:pPr>
      <w:r>
        <w:rPr>
          <w:rFonts w:hint="eastAsia" w:ascii="宋体" w:hAnsi="宋体"/>
          <w:sz w:val="24"/>
        </w:rPr>
        <w:t>7.2.1.3供应商之间约定部分供应商放弃投标或者中标；</w:t>
      </w:r>
    </w:p>
    <w:p w14:paraId="033B9345">
      <w:pPr>
        <w:spacing w:line="360" w:lineRule="auto"/>
        <w:ind w:firstLine="549"/>
        <w:rPr>
          <w:rFonts w:ascii="宋体" w:hAnsi="宋体"/>
          <w:sz w:val="24"/>
        </w:rPr>
      </w:pPr>
      <w:r>
        <w:rPr>
          <w:rFonts w:hint="eastAsia" w:ascii="宋体" w:hAnsi="宋体"/>
          <w:sz w:val="24"/>
        </w:rPr>
        <w:t>7.2.1.4属于同一集团、协会、商会等组织成员的供应商按照该组织要求协同投标；</w:t>
      </w:r>
    </w:p>
    <w:p w14:paraId="6CB49167">
      <w:pPr>
        <w:spacing w:line="360" w:lineRule="auto"/>
        <w:ind w:firstLine="549"/>
        <w:rPr>
          <w:rFonts w:ascii="宋体" w:hAnsi="宋体"/>
          <w:sz w:val="24"/>
        </w:rPr>
      </w:pPr>
      <w:r>
        <w:rPr>
          <w:rFonts w:hint="eastAsia" w:ascii="宋体" w:hAnsi="宋体"/>
          <w:sz w:val="24"/>
        </w:rPr>
        <w:t>7.2.1.5供应商之间为谋取中标或者排斥特定供应商而采取的其他联合行动。</w:t>
      </w:r>
    </w:p>
    <w:p w14:paraId="2A12B1D3">
      <w:pPr>
        <w:spacing w:line="360" w:lineRule="auto"/>
        <w:ind w:firstLine="549"/>
        <w:rPr>
          <w:rFonts w:ascii="宋体" w:hAnsi="宋体"/>
          <w:sz w:val="24"/>
        </w:rPr>
      </w:pPr>
      <w:r>
        <w:rPr>
          <w:rFonts w:hint="eastAsia" w:ascii="宋体" w:hAnsi="宋体"/>
          <w:sz w:val="24"/>
        </w:rPr>
        <w:t>7.2.2 有下列情形之一的，视为供应商相互串通投标：</w:t>
      </w:r>
    </w:p>
    <w:p w14:paraId="62A585AB">
      <w:pPr>
        <w:spacing w:line="360" w:lineRule="auto"/>
        <w:ind w:firstLine="549"/>
        <w:rPr>
          <w:rFonts w:ascii="宋体" w:hAnsi="宋体"/>
          <w:sz w:val="24"/>
        </w:rPr>
      </w:pPr>
      <w:r>
        <w:rPr>
          <w:rFonts w:hint="eastAsia" w:ascii="宋体" w:hAnsi="宋体"/>
          <w:sz w:val="24"/>
        </w:rPr>
        <w:t>7.2.2.1不同供应商的投标响应文件由同一单位或者个人编制；</w:t>
      </w:r>
    </w:p>
    <w:p w14:paraId="6635A361">
      <w:pPr>
        <w:spacing w:line="360" w:lineRule="auto"/>
        <w:ind w:firstLine="549"/>
        <w:rPr>
          <w:rFonts w:ascii="宋体" w:hAnsi="宋体"/>
          <w:sz w:val="24"/>
        </w:rPr>
      </w:pPr>
      <w:r>
        <w:rPr>
          <w:rFonts w:hint="eastAsia" w:ascii="宋体" w:hAnsi="宋体"/>
          <w:sz w:val="24"/>
        </w:rPr>
        <w:t>7.2.2.2不同供应商的投标响应文件载明的项目管理成员为同一人；</w:t>
      </w:r>
    </w:p>
    <w:p w14:paraId="1B047A55">
      <w:pPr>
        <w:spacing w:line="360" w:lineRule="auto"/>
        <w:ind w:firstLine="549"/>
        <w:rPr>
          <w:rFonts w:ascii="宋体" w:hAnsi="宋体"/>
          <w:sz w:val="24"/>
        </w:rPr>
      </w:pPr>
      <w:r>
        <w:rPr>
          <w:rFonts w:hint="eastAsia" w:ascii="宋体" w:hAnsi="宋体"/>
          <w:sz w:val="24"/>
        </w:rPr>
        <w:t>7.2.2.3不同供应商的投标响应文件异常一致或者投标报价呈规律性差异；</w:t>
      </w:r>
    </w:p>
    <w:p w14:paraId="1701A58B">
      <w:pPr>
        <w:spacing w:line="360" w:lineRule="auto"/>
        <w:ind w:firstLine="549"/>
        <w:rPr>
          <w:rFonts w:ascii="宋体" w:hAnsi="宋体"/>
          <w:sz w:val="24"/>
        </w:rPr>
      </w:pPr>
      <w:r>
        <w:rPr>
          <w:rFonts w:hint="eastAsia" w:ascii="宋体" w:hAnsi="宋体"/>
          <w:sz w:val="24"/>
        </w:rPr>
        <w:t>7.2.2.4不同供应商的投标响应文件相互混装；</w:t>
      </w:r>
    </w:p>
    <w:p w14:paraId="11C7FE4B">
      <w:pPr>
        <w:spacing w:line="360" w:lineRule="auto"/>
        <w:ind w:firstLine="549"/>
        <w:rPr>
          <w:rFonts w:ascii="宋体" w:hAnsi="宋体"/>
          <w:sz w:val="24"/>
        </w:rPr>
      </w:pPr>
      <w:r>
        <w:rPr>
          <w:rFonts w:hint="eastAsia" w:ascii="宋体" w:hAnsi="宋体"/>
          <w:sz w:val="24"/>
        </w:rPr>
        <w:t>7.2.2.5不同供应商的投标保证金从同一单位或者个人的账户转出。</w:t>
      </w:r>
    </w:p>
    <w:p w14:paraId="31D5640B">
      <w:pPr>
        <w:spacing w:line="360" w:lineRule="auto"/>
        <w:ind w:firstLine="549"/>
        <w:rPr>
          <w:rFonts w:ascii="宋体" w:hAnsi="宋体"/>
          <w:sz w:val="24"/>
        </w:rPr>
      </w:pPr>
      <w:r>
        <w:rPr>
          <w:rFonts w:hint="eastAsia" w:ascii="宋体" w:hAnsi="宋体"/>
          <w:sz w:val="24"/>
        </w:rPr>
        <w:t>7.3在确定中标人之前，供应商不得与采购人就投标价格、投标方案等实质性内容进行谈判，也不得私下接触磋商小组成员。</w:t>
      </w:r>
    </w:p>
    <w:p w14:paraId="5638B3E8">
      <w:pPr>
        <w:spacing w:line="360" w:lineRule="auto"/>
        <w:ind w:firstLine="549"/>
        <w:rPr>
          <w:rFonts w:ascii="宋体" w:hAnsi="宋体"/>
          <w:sz w:val="24"/>
        </w:rPr>
      </w:pPr>
      <w:r>
        <w:rPr>
          <w:rFonts w:hint="eastAsia" w:ascii="宋体" w:hAnsi="宋体"/>
          <w:sz w:val="24"/>
        </w:rPr>
        <w:t>7.4在确定中标人之前，供应商试图在投标响应文件审查、澄清、比较和评价时对谈判小组施加任何影响都可能导致其投标无效。</w:t>
      </w:r>
    </w:p>
    <w:p w14:paraId="394C0B58">
      <w:pPr>
        <w:spacing w:line="360" w:lineRule="auto"/>
        <w:ind w:firstLine="549"/>
        <w:rPr>
          <w:rFonts w:ascii="宋体" w:hAnsi="宋体"/>
          <w:sz w:val="24"/>
        </w:rPr>
      </w:pPr>
      <w:r>
        <w:rPr>
          <w:rFonts w:hint="eastAsia" w:ascii="宋体" w:hAnsi="宋体"/>
          <w:sz w:val="24"/>
        </w:rPr>
        <w:t>7.5由采购人向供应商提供的图纸、详细资料等资料，被视为保密资料，仅被用于它所规定的用途。除非得到采购人的同意，不能向任何第三方透露。</w:t>
      </w:r>
    </w:p>
    <w:p w14:paraId="425D3EE1">
      <w:pPr>
        <w:spacing w:line="360" w:lineRule="auto"/>
        <w:ind w:firstLine="549"/>
        <w:rPr>
          <w:rFonts w:ascii="宋体" w:hAnsi="宋体"/>
          <w:b/>
          <w:sz w:val="24"/>
        </w:rPr>
      </w:pPr>
      <w:r>
        <w:rPr>
          <w:rFonts w:hint="eastAsia" w:ascii="宋体" w:hAnsi="宋体"/>
          <w:b/>
          <w:sz w:val="24"/>
        </w:rPr>
        <w:t>8.联合体投标（本次磋商不允许）</w:t>
      </w:r>
    </w:p>
    <w:p w14:paraId="6F2DC071">
      <w:pPr>
        <w:spacing w:line="360" w:lineRule="auto"/>
        <w:ind w:firstLine="549"/>
        <w:rPr>
          <w:rFonts w:ascii="宋体" w:hAnsi="宋体"/>
          <w:sz w:val="24"/>
        </w:rPr>
      </w:pPr>
      <w:r>
        <w:rPr>
          <w:rFonts w:hint="eastAsia" w:ascii="宋体" w:hAnsi="宋体"/>
          <w:sz w:val="24"/>
        </w:rPr>
        <w:t>8.1除非本项目明确要求不接受联合体形式投标外，两个或两个以上供应商可以组成一个联合体投标，以一个供应商的身份投标。</w:t>
      </w:r>
    </w:p>
    <w:p w14:paraId="3DFC8875">
      <w:pPr>
        <w:spacing w:line="360" w:lineRule="auto"/>
        <w:ind w:firstLine="549"/>
        <w:rPr>
          <w:rFonts w:ascii="宋体" w:hAnsi="宋体"/>
          <w:b/>
          <w:bCs/>
          <w:sz w:val="24"/>
        </w:rPr>
      </w:pPr>
      <w:r>
        <w:rPr>
          <w:rFonts w:hint="eastAsia" w:ascii="宋体" w:hAnsi="宋体"/>
          <w:sz w:val="24"/>
        </w:rPr>
        <w:t>8.2以联合体形式参加投标的，联合体各方均应当符合《政府采购法》第二十二条第一款规定的条件，根据采购项目的特殊要求规定供应商特定条件的，联合体各方中至少应当有一方符合。</w:t>
      </w:r>
    </w:p>
    <w:p w14:paraId="4B603642">
      <w:pPr>
        <w:spacing w:line="360" w:lineRule="auto"/>
        <w:ind w:firstLine="550"/>
        <w:rPr>
          <w:rFonts w:ascii="宋体" w:hAnsi="宋体"/>
          <w:sz w:val="24"/>
        </w:rPr>
      </w:pPr>
      <w:r>
        <w:rPr>
          <w:rFonts w:hint="eastAsia" w:ascii="宋体" w:hAnsi="宋体"/>
          <w:bCs/>
          <w:sz w:val="24"/>
        </w:rPr>
        <w:t>8.3</w:t>
      </w:r>
      <w:r>
        <w:rPr>
          <w:rFonts w:hint="eastAsia" w:ascii="宋体" w:hAnsi="宋体"/>
          <w:sz w:val="24"/>
        </w:rPr>
        <w:t>联合体各方之间应当签订联合体协议，明确约定联合体各方应当承担的工作和相应的责任，并将联合体协议连同投标响应文件一并提交采购人。由同一专业的单位组成的联合体，按照同一资质等级较低的单位确定资质等级。联合体各方签订联合体协议后，不得再以自己的名义单独在同一项目中投标，也不得组成新的联合体参加同一项目投标。</w:t>
      </w:r>
    </w:p>
    <w:p w14:paraId="7589EFD9">
      <w:pPr>
        <w:spacing w:line="360" w:lineRule="auto"/>
        <w:ind w:firstLine="550"/>
        <w:rPr>
          <w:rFonts w:ascii="宋体" w:hAnsi="宋体"/>
          <w:sz w:val="24"/>
        </w:rPr>
      </w:pPr>
      <w:r>
        <w:rPr>
          <w:rFonts w:hint="eastAsia" w:ascii="宋体" w:hAnsi="宋体"/>
          <w:sz w:val="24"/>
        </w:rPr>
        <w:t>8.4联合体投标的，可以由联合体中的一方或者共同提交投标保证金，以一方名义提交保证金的，对联合体各方均具有约束力。</w:t>
      </w:r>
    </w:p>
    <w:p w14:paraId="1EBD82CC">
      <w:pPr>
        <w:spacing w:line="360" w:lineRule="auto"/>
        <w:ind w:firstLine="550"/>
        <w:rPr>
          <w:rFonts w:ascii="宋体" w:hAnsi="宋体"/>
          <w:b/>
          <w:bCs/>
          <w:sz w:val="24"/>
        </w:rPr>
      </w:pPr>
      <w:r>
        <w:rPr>
          <w:rFonts w:hint="eastAsia" w:ascii="宋体" w:hAnsi="宋体"/>
          <w:b/>
          <w:bCs/>
          <w:sz w:val="24"/>
        </w:rPr>
        <w:t>9.合同标的转让</w:t>
      </w:r>
      <w:r>
        <w:rPr>
          <w:rFonts w:hint="eastAsia" w:ascii="宋体" w:hAnsi="宋体"/>
          <w:b/>
          <w:sz w:val="24"/>
        </w:rPr>
        <w:t>（不允许）</w:t>
      </w:r>
    </w:p>
    <w:p w14:paraId="788C8820">
      <w:pPr>
        <w:pStyle w:val="6"/>
        <w:spacing w:line="360" w:lineRule="auto"/>
        <w:jc w:val="both"/>
        <w:rPr>
          <w:rFonts w:hAnsi="宋体"/>
          <w:sz w:val="28"/>
        </w:rPr>
      </w:pPr>
      <w:bookmarkStart w:id="67" w:name="_Hlt509650929"/>
      <w:bookmarkEnd w:id="67"/>
      <w:bookmarkStart w:id="68" w:name="_Hlt509649795"/>
      <w:bookmarkEnd w:id="68"/>
      <w:bookmarkStart w:id="69" w:name="_Hlt509650936"/>
      <w:bookmarkEnd w:id="69"/>
      <w:bookmarkStart w:id="70" w:name="_Hlt509649330"/>
      <w:bookmarkEnd w:id="70"/>
      <w:bookmarkStart w:id="71" w:name="_Hlt509650333"/>
      <w:bookmarkEnd w:id="71"/>
      <w:bookmarkStart w:id="72" w:name="_Hlt509650690"/>
      <w:bookmarkEnd w:id="72"/>
      <w:bookmarkStart w:id="73" w:name="_Hlt509649645"/>
      <w:bookmarkEnd w:id="73"/>
      <w:bookmarkStart w:id="74" w:name="_Hlt509650961"/>
      <w:bookmarkEnd w:id="74"/>
      <w:bookmarkStart w:id="75" w:name="_Hlt509649669"/>
      <w:bookmarkEnd w:id="75"/>
      <w:bookmarkStart w:id="76" w:name="_Hlt526418153"/>
      <w:bookmarkEnd w:id="76"/>
      <w:bookmarkStart w:id="77" w:name="_Hlt509649678"/>
      <w:bookmarkEnd w:id="77"/>
      <w:bookmarkStart w:id="78" w:name="_Hlt509650932"/>
      <w:bookmarkEnd w:id="78"/>
      <w:bookmarkStart w:id="79" w:name="_Hlt509650116"/>
      <w:bookmarkEnd w:id="79"/>
      <w:bookmarkStart w:id="80" w:name="_Hlt509650103"/>
      <w:bookmarkEnd w:id="80"/>
      <w:bookmarkStart w:id="81" w:name="_Toc23520"/>
      <w:bookmarkStart w:id="82" w:name="_Toc30898"/>
      <w:bookmarkStart w:id="83" w:name="_Toc407096151"/>
      <w:bookmarkStart w:id="84" w:name="_Toc1946"/>
    </w:p>
    <w:p w14:paraId="3B87CA56"/>
    <w:p w14:paraId="6452E68A">
      <w:pPr>
        <w:pStyle w:val="6"/>
        <w:spacing w:line="360" w:lineRule="auto"/>
        <w:ind w:firstLine="628"/>
        <w:rPr>
          <w:rFonts w:hAnsi="宋体"/>
          <w:sz w:val="28"/>
        </w:rPr>
      </w:pPr>
      <w:r>
        <w:rPr>
          <w:rFonts w:hint="eastAsia" w:hAnsi="宋体"/>
          <w:sz w:val="28"/>
        </w:rPr>
        <w:br w:type="page"/>
      </w:r>
      <w:r>
        <w:rPr>
          <w:rFonts w:hint="eastAsia" w:hAnsi="宋体"/>
          <w:sz w:val="28"/>
        </w:rPr>
        <w:t>二．</w:t>
      </w:r>
      <w:bookmarkEnd w:id="81"/>
      <w:bookmarkEnd w:id="82"/>
      <w:bookmarkEnd w:id="83"/>
      <w:bookmarkStart w:id="85" w:name="_Hlt509649791"/>
      <w:bookmarkEnd w:id="85"/>
      <w:bookmarkStart w:id="86" w:name="_Hlt509649930"/>
      <w:bookmarkEnd w:id="86"/>
      <w:bookmarkStart w:id="87" w:name="_Hlt509650361"/>
      <w:bookmarkEnd w:id="87"/>
      <w:r>
        <w:rPr>
          <w:rFonts w:hint="eastAsia" w:hAnsi="宋体"/>
          <w:sz w:val="28"/>
        </w:rPr>
        <w:t>竞争性磋商文件</w:t>
      </w:r>
      <w:bookmarkEnd w:id="84"/>
    </w:p>
    <w:p w14:paraId="70609FF9">
      <w:pPr>
        <w:spacing w:line="360" w:lineRule="auto"/>
        <w:ind w:firstLine="549"/>
        <w:rPr>
          <w:rFonts w:ascii="宋体" w:hAnsi="宋体"/>
          <w:b/>
          <w:sz w:val="24"/>
        </w:rPr>
      </w:pPr>
      <w:bookmarkStart w:id="88" w:name="_Hlt509650734"/>
      <w:bookmarkEnd w:id="88"/>
      <w:r>
        <w:rPr>
          <w:rFonts w:hint="eastAsia" w:ascii="宋体" w:hAnsi="宋体"/>
          <w:b/>
          <w:sz w:val="24"/>
        </w:rPr>
        <w:t>11.竞争性磋商文件构成</w:t>
      </w:r>
    </w:p>
    <w:p w14:paraId="11809618">
      <w:pPr>
        <w:spacing w:line="360" w:lineRule="auto"/>
        <w:ind w:firstLine="549"/>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竞争性磋商文件包括以下部分：</w:t>
      </w:r>
    </w:p>
    <w:p w14:paraId="616EC805">
      <w:pPr>
        <w:spacing w:line="360" w:lineRule="auto"/>
        <w:ind w:firstLine="523" w:firstLineChars="218"/>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.1第一章：竞争性磋商公告；</w:t>
      </w:r>
    </w:p>
    <w:p w14:paraId="7EE4AA22">
      <w:pPr>
        <w:spacing w:line="360" w:lineRule="auto"/>
        <w:ind w:firstLine="523" w:firstLineChars="218"/>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.2第二章：竞争性磋商须知前附表；</w:t>
      </w:r>
    </w:p>
    <w:p w14:paraId="0179DBF8">
      <w:pPr>
        <w:spacing w:line="360" w:lineRule="auto"/>
        <w:ind w:firstLine="523" w:firstLineChars="218"/>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.3第三章：采购需求；</w:t>
      </w:r>
    </w:p>
    <w:p w14:paraId="08B7BC93">
      <w:pPr>
        <w:spacing w:line="360" w:lineRule="auto"/>
        <w:ind w:firstLine="523" w:firstLineChars="218"/>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.4第四章：评标办法；</w:t>
      </w:r>
    </w:p>
    <w:p w14:paraId="6767BDDD">
      <w:pPr>
        <w:spacing w:line="360" w:lineRule="auto"/>
        <w:ind w:firstLine="523" w:firstLineChars="218"/>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.5第五章：供应商须知；</w:t>
      </w:r>
    </w:p>
    <w:p w14:paraId="2654A4B0">
      <w:pPr>
        <w:spacing w:line="360" w:lineRule="auto"/>
        <w:ind w:firstLine="523" w:firstLineChars="218"/>
        <w:rPr>
          <w:rFonts w:ascii="宋体" w:hAnsi="宋体"/>
          <w:sz w:val="24"/>
        </w:rPr>
      </w:pPr>
      <w:r>
        <w:rPr>
          <w:rFonts w:hint="eastAsia" w:ascii="宋体" w:hAnsi="宋体"/>
          <w:sz w:val="24"/>
        </w:rPr>
        <w:t>11</w:t>
      </w:r>
      <w:r>
        <w:rPr>
          <w:rFonts w:ascii="宋体" w:hAnsi="宋体"/>
          <w:sz w:val="24"/>
        </w:rPr>
        <w:t>.1</w:t>
      </w:r>
      <w:r>
        <w:rPr>
          <w:rFonts w:hint="eastAsia" w:ascii="宋体" w:hAnsi="宋体"/>
          <w:sz w:val="24"/>
        </w:rPr>
        <w:t>.6第六章：采购合同；</w:t>
      </w:r>
    </w:p>
    <w:p w14:paraId="66C3C4DD">
      <w:pPr>
        <w:spacing w:line="360" w:lineRule="auto"/>
        <w:ind w:firstLine="523" w:firstLineChars="218"/>
        <w:rPr>
          <w:rFonts w:ascii="宋体" w:hAnsi="宋体"/>
          <w:sz w:val="24"/>
        </w:rPr>
      </w:pPr>
      <w:r>
        <w:rPr>
          <w:rFonts w:hint="eastAsia" w:ascii="宋体" w:hAnsi="宋体"/>
          <w:sz w:val="24"/>
        </w:rPr>
        <w:t>11.1.7第七章：竞争性磋商响应文件格式；</w:t>
      </w:r>
    </w:p>
    <w:p w14:paraId="175337EB">
      <w:pPr>
        <w:spacing w:line="360" w:lineRule="auto"/>
        <w:ind w:firstLine="523" w:firstLineChars="218"/>
        <w:rPr>
          <w:rFonts w:ascii="宋体" w:hAnsi="宋体"/>
          <w:sz w:val="24"/>
        </w:rPr>
      </w:pPr>
      <w:r>
        <w:rPr>
          <w:rFonts w:hint="eastAsia" w:ascii="宋体" w:hAnsi="宋体"/>
          <w:sz w:val="24"/>
        </w:rPr>
        <w:t>11.1.8采购人发布的答疑、补遗、补充通知等。</w:t>
      </w:r>
    </w:p>
    <w:p w14:paraId="20ED85FF">
      <w:pPr>
        <w:spacing w:line="360" w:lineRule="auto"/>
        <w:ind w:firstLine="549"/>
        <w:rPr>
          <w:rFonts w:ascii="宋体" w:hAnsi="宋体"/>
          <w:sz w:val="24"/>
        </w:rPr>
      </w:pPr>
      <w:r>
        <w:rPr>
          <w:rFonts w:hint="eastAsia" w:ascii="宋体" w:hAnsi="宋体"/>
          <w:sz w:val="24"/>
        </w:rPr>
        <w:t>11</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供应商应认真阅读竞争性磋商文件中所有的事项、格式、条件、条款和规范等要求。</w:t>
      </w:r>
    </w:p>
    <w:p w14:paraId="6A768F6C">
      <w:pPr>
        <w:spacing w:line="360" w:lineRule="auto"/>
        <w:ind w:firstLine="550"/>
        <w:rPr>
          <w:rFonts w:ascii="宋体" w:hAnsi="宋体"/>
          <w:sz w:val="24"/>
        </w:rPr>
      </w:pPr>
      <w:r>
        <w:rPr>
          <w:rFonts w:hint="eastAsia" w:ascii="宋体" w:hAnsi="宋体"/>
          <w:sz w:val="24"/>
        </w:rPr>
        <w:t>11.3供应商应当按照竞争性磋商文件的要求编制投标响应文件。投标响应文件应对竞争性磋商文件提出的要求和条件作出实质性响应。</w:t>
      </w:r>
    </w:p>
    <w:p w14:paraId="5F58107F">
      <w:pPr>
        <w:spacing w:line="360" w:lineRule="auto"/>
        <w:ind w:firstLine="550"/>
        <w:rPr>
          <w:rFonts w:ascii="宋体" w:hAnsi="宋体"/>
          <w:sz w:val="24"/>
        </w:rPr>
      </w:pPr>
      <w:r>
        <w:rPr>
          <w:rFonts w:hint="eastAsia" w:ascii="宋体" w:hAnsi="宋体"/>
          <w:sz w:val="24"/>
        </w:rPr>
        <w:t>11.4供应商获取竞争性磋商文件后，应仔细检查竞争性磋商文件的所有内容，如有残缺等问题应在获得竞争性磋商文件5日内向采购人或招标代理机构提出，否则，由此引起的损失由供应商自行承担。</w:t>
      </w:r>
    </w:p>
    <w:p w14:paraId="565D5476">
      <w:pPr>
        <w:spacing w:line="360" w:lineRule="auto"/>
        <w:ind w:firstLine="550"/>
        <w:rPr>
          <w:rFonts w:ascii="宋体" w:hAnsi="宋体"/>
          <w:b/>
          <w:sz w:val="24"/>
        </w:rPr>
      </w:pPr>
      <w:bookmarkStart w:id="89" w:name="_Toc430422414"/>
      <w:bookmarkStart w:id="90" w:name="_Toc430490613"/>
      <w:bookmarkStart w:id="91" w:name="_Toc415567498"/>
      <w:bookmarkStart w:id="92" w:name="_Toc430489120"/>
      <w:bookmarkStart w:id="93" w:name="_Toc430488852"/>
      <w:bookmarkStart w:id="94" w:name="_Toc430488645"/>
      <w:bookmarkStart w:id="95" w:name="_Toc430492127"/>
      <w:r>
        <w:rPr>
          <w:rFonts w:hint="eastAsia" w:ascii="宋体" w:hAnsi="宋体"/>
          <w:b/>
          <w:sz w:val="24"/>
        </w:rPr>
        <w:t>12.竞争性磋商文件的修改</w:t>
      </w:r>
      <w:bookmarkEnd w:id="89"/>
      <w:bookmarkEnd w:id="90"/>
      <w:bookmarkEnd w:id="91"/>
      <w:bookmarkEnd w:id="92"/>
      <w:bookmarkEnd w:id="93"/>
      <w:bookmarkEnd w:id="94"/>
      <w:bookmarkEnd w:id="95"/>
    </w:p>
    <w:p w14:paraId="21FC586A">
      <w:pPr>
        <w:spacing w:line="360" w:lineRule="auto"/>
        <w:ind w:firstLine="550"/>
        <w:rPr>
          <w:rFonts w:ascii="宋体" w:hAnsi="宋体"/>
          <w:sz w:val="24"/>
        </w:rPr>
      </w:pPr>
      <w:r>
        <w:rPr>
          <w:rFonts w:hint="eastAsia" w:ascii="宋体" w:hAnsi="宋体"/>
          <w:sz w:val="24"/>
        </w:rPr>
        <w:t>12.1供应商对竞争性磋商文件如有疑问，可要求澄清。应在投标截止日前5工作日提出答疑，逾期视同无异议。采购人对在此规定时间里收到的且需要做出澄清的问题予以回复，该澄清内容为竞争性磋商文件的组成部分。</w:t>
      </w:r>
    </w:p>
    <w:p w14:paraId="6DFCFBFA">
      <w:pPr>
        <w:spacing w:line="360" w:lineRule="auto"/>
        <w:ind w:firstLine="550"/>
        <w:rPr>
          <w:rFonts w:ascii="宋体" w:hAnsi="宋体"/>
          <w:sz w:val="24"/>
        </w:rPr>
      </w:pPr>
      <w:r>
        <w:rPr>
          <w:rFonts w:hint="eastAsia" w:ascii="宋体" w:hAnsi="宋体"/>
          <w:sz w:val="24"/>
        </w:rPr>
        <w:t>12.2至投标截止日期前5个工作日（如至原定截止时间不足5个工作日，则需延长开标时间），招标代理机构可主动或依供应商要求澄清的问题而修改竞争性磋商文件，该修改内容为竞争性磋商文件的组成部分，对供应商具有约束力。</w:t>
      </w:r>
    </w:p>
    <w:p w14:paraId="3D4496A2">
      <w:pPr>
        <w:spacing w:line="360" w:lineRule="auto"/>
        <w:ind w:firstLine="550"/>
        <w:rPr>
          <w:rFonts w:hAnsi="宋体"/>
          <w:sz w:val="28"/>
        </w:rPr>
      </w:pPr>
      <w:r>
        <w:rPr>
          <w:rFonts w:hint="eastAsia" w:ascii="宋体" w:hAnsi="宋体"/>
          <w:sz w:val="24"/>
        </w:rPr>
        <w:t>12.3为使供应商在准备投标响应文件时有合理的时间考虑竞争性磋商文件的修改，采购人可酌情推迟投标截止时间和开标时间，但应当至少在投标截止时间三个工作日前将变更时间以书面形式通知所有供应商。该修改内容为竞争性磋商文件的组成部分。在此情况下，采购人和供应商受投标截止期制约的所有权利和义务均应延长至新的截止日期。</w:t>
      </w:r>
      <w:bookmarkStart w:id="96" w:name="_Hlt510342861"/>
      <w:bookmarkEnd w:id="96"/>
      <w:bookmarkStart w:id="97" w:name="_Hlt509649724"/>
      <w:bookmarkEnd w:id="97"/>
      <w:bookmarkStart w:id="98" w:name="_Hlt509650697"/>
      <w:bookmarkEnd w:id="98"/>
      <w:bookmarkStart w:id="99" w:name="_Toc19559"/>
      <w:bookmarkStart w:id="100" w:name="_Toc27433"/>
      <w:bookmarkStart w:id="101" w:name="_Toc407096152"/>
      <w:bookmarkStart w:id="102" w:name="_Toc32332"/>
    </w:p>
    <w:p w14:paraId="00362DC0">
      <w:pPr>
        <w:pStyle w:val="6"/>
        <w:spacing w:line="360" w:lineRule="auto"/>
        <w:ind w:firstLine="628"/>
        <w:rPr>
          <w:rFonts w:hAnsi="宋体"/>
          <w:sz w:val="28"/>
        </w:rPr>
      </w:pPr>
      <w:r>
        <w:rPr>
          <w:rFonts w:hint="eastAsia" w:hAnsi="宋体"/>
          <w:sz w:val="28"/>
        </w:rPr>
        <w:t>三．投标响应文件的编制</w:t>
      </w:r>
      <w:bookmarkEnd w:id="99"/>
      <w:bookmarkEnd w:id="100"/>
      <w:bookmarkEnd w:id="101"/>
      <w:bookmarkEnd w:id="102"/>
    </w:p>
    <w:p w14:paraId="0BA22EEE">
      <w:pPr>
        <w:spacing w:line="360" w:lineRule="auto"/>
        <w:ind w:firstLine="550"/>
        <w:rPr>
          <w:rFonts w:ascii="宋体" w:hAnsi="宋体"/>
          <w:b/>
          <w:sz w:val="24"/>
        </w:rPr>
      </w:pPr>
      <w:r>
        <w:rPr>
          <w:rFonts w:hint="eastAsia" w:ascii="宋体" w:hAnsi="宋体"/>
          <w:b/>
          <w:sz w:val="24"/>
        </w:rPr>
        <w:t>13.投标响应文件构成与格式</w:t>
      </w:r>
    </w:p>
    <w:p w14:paraId="72C4C6DB">
      <w:pPr>
        <w:spacing w:line="360" w:lineRule="auto"/>
        <w:ind w:firstLine="550"/>
        <w:rPr>
          <w:rFonts w:ascii="宋体" w:hAnsi="宋体"/>
          <w:sz w:val="24"/>
        </w:rPr>
      </w:pPr>
      <w:bookmarkStart w:id="103" w:name="_Hlt509650345"/>
      <w:bookmarkEnd w:id="103"/>
      <w:r>
        <w:rPr>
          <w:rFonts w:hint="eastAsia" w:ascii="宋体" w:hAnsi="宋体"/>
          <w:sz w:val="24"/>
        </w:rPr>
        <w:t>13.1投标响应文件是对竞争性磋商文件的实质性响应及承诺文件。</w:t>
      </w:r>
    </w:p>
    <w:p w14:paraId="5C522E14">
      <w:pPr>
        <w:spacing w:line="360" w:lineRule="auto"/>
        <w:ind w:firstLine="550"/>
        <w:rPr>
          <w:rFonts w:ascii="宋体" w:hAnsi="宋体"/>
          <w:sz w:val="24"/>
        </w:rPr>
      </w:pPr>
      <w:r>
        <w:rPr>
          <w:rFonts w:hint="eastAsia" w:ascii="宋体" w:hAnsi="宋体"/>
          <w:sz w:val="24"/>
        </w:rPr>
        <w:t>13.2</w:t>
      </w:r>
      <w:r>
        <w:rPr>
          <w:rFonts w:hint="eastAsia" w:ascii="宋体" w:hAnsi="宋体"/>
          <w:bCs/>
          <w:sz w:val="24"/>
        </w:rPr>
        <w:t>除非注明“供应商可自行制作格式”，投标响应文件应使用竞争性磋商文件提供的格式。</w:t>
      </w:r>
    </w:p>
    <w:p w14:paraId="354E9B36">
      <w:pPr>
        <w:spacing w:line="360" w:lineRule="auto"/>
        <w:ind w:firstLine="550"/>
        <w:rPr>
          <w:rFonts w:ascii="宋体" w:hAnsi="宋体"/>
          <w:sz w:val="24"/>
        </w:rPr>
      </w:pPr>
      <w:r>
        <w:rPr>
          <w:rFonts w:hint="eastAsia" w:ascii="宋体" w:hAnsi="宋体"/>
          <w:bCs/>
          <w:sz w:val="24"/>
        </w:rPr>
        <w:t>13.3除专用术语外，投标响应文件以及供应商与采购人就有关投标的往来函电均应使用中文。供应商提交的支持性文件和印制的文件可以用另一种语言，但相应内容应翻译成中文，对不同文字文本投标响应文件的解释发生异议的，以中文文本为准。</w:t>
      </w:r>
    </w:p>
    <w:p w14:paraId="32D98D85">
      <w:pPr>
        <w:spacing w:line="360" w:lineRule="auto"/>
        <w:ind w:firstLine="550"/>
        <w:rPr>
          <w:rFonts w:ascii="宋体" w:hAnsi="宋体"/>
          <w:sz w:val="24"/>
        </w:rPr>
      </w:pPr>
      <w:r>
        <w:rPr>
          <w:rFonts w:hint="eastAsia" w:ascii="宋体" w:hAnsi="宋体"/>
          <w:sz w:val="24"/>
        </w:rPr>
        <w:t>13.4除非竞争性磋商文件另有规定，投标响应文件应使用中华人民共和国法定计量单位。</w:t>
      </w:r>
    </w:p>
    <w:p w14:paraId="54ABFD68">
      <w:pPr>
        <w:spacing w:line="360" w:lineRule="auto"/>
        <w:ind w:firstLine="550"/>
        <w:rPr>
          <w:rFonts w:ascii="宋体" w:hAnsi="宋体"/>
          <w:sz w:val="24"/>
        </w:rPr>
      </w:pPr>
      <w:r>
        <w:rPr>
          <w:rFonts w:hint="eastAsia" w:ascii="宋体" w:hAnsi="宋体"/>
          <w:sz w:val="24"/>
        </w:rPr>
        <w:t>13.5除非竞争性磋商文件另有规定，投标响应文件应使用人民币填报所有报价。允许以多种货币报价的，或涉及合同金额等计算的，均按照中国银行在开标日公布的汇率中间价换算成人民币。</w:t>
      </w:r>
    </w:p>
    <w:p w14:paraId="30166FA5">
      <w:pPr>
        <w:spacing w:line="360" w:lineRule="auto"/>
        <w:ind w:firstLine="550"/>
        <w:rPr>
          <w:rFonts w:ascii="宋体" w:hAnsi="宋体"/>
          <w:sz w:val="24"/>
        </w:rPr>
      </w:pPr>
      <w:r>
        <w:rPr>
          <w:rFonts w:hint="eastAsia" w:ascii="宋体" w:hAnsi="宋体"/>
          <w:sz w:val="24"/>
        </w:rPr>
        <w:t>13.6纸质投标响应文件应编制连续页码，除特殊规格的图纸或方案、图片资料等外，均应按A4规格制作，为节约和环保，建议采购纸质投标响应文件双面打印。</w:t>
      </w:r>
    </w:p>
    <w:p w14:paraId="0ECCC8EA">
      <w:pPr>
        <w:spacing w:line="360" w:lineRule="auto"/>
        <w:ind w:firstLine="480" w:firstLineChars="200"/>
        <w:rPr>
          <w:rFonts w:ascii="宋体" w:hAnsi="宋体"/>
          <w:sz w:val="24"/>
        </w:rPr>
      </w:pPr>
      <w:r>
        <w:rPr>
          <w:rFonts w:hint="eastAsia" w:ascii="宋体" w:hAnsi="宋体"/>
          <w:sz w:val="24"/>
        </w:rPr>
        <w:t>13.7 投标文件应按“投标文件格式”进行编写，如有必要，可以增加附页，作为投标文件的组成部分。</w:t>
      </w:r>
    </w:p>
    <w:p w14:paraId="152C9397">
      <w:pPr>
        <w:spacing w:line="360" w:lineRule="auto"/>
        <w:ind w:firstLine="480" w:firstLineChars="200"/>
        <w:rPr>
          <w:rFonts w:ascii="宋体" w:hAnsi="宋体"/>
          <w:sz w:val="24"/>
        </w:rPr>
      </w:pPr>
      <w:r>
        <w:rPr>
          <w:rFonts w:hint="eastAsia" w:ascii="宋体" w:hAnsi="宋体"/>
          <w:sz w:val="24"/>
        </w:rPr>
        <w:t>13.8 投标文件应当对谈判文件有关范围、投标有效期、质量标准、发包人要求等实质性内容作出响应。</w:t>
      </w:r>
    </w:p>
    <w:p w14:paraId="558975A0">
      <w:pPr>
        <w:spacing w:line="360" w:lineRule="auto"/>
        <w:ind w:firstLine="550"/>
        <w:rPr>
          <w:rFonts w:ascii="宋体" w:hAnsi="宋体"/>
          <w:sz w:val="24"/>
        </w:rPr>
      </w:pPr>
      <w:r>
        <w:rPr>
          <w:rFonts w:hint="eastAsia" w:ascii="宋体" w:hAnsi="宋体"/>
          <w:sz w:val="24"/>
        </w:rPr>
        <w:t>13.9电报、电话、传真形式的投标概不接受。</w:t>
      </w:r>
    </w:p>
    <w:p w14:paraId="1EA6CC89">
      <w:pPr>
        <w:spacing w:line="360" w:lineRule="auto"/>
        <w:ind w:firstLine="550"/>
        <w:rPr>
          <w:rFonts w:ascii="宋体" w:hAnsi="宋体"/>
          <w:b/>
          <w:sz w:val="24"/>
        </w:rPr>
      </w:pPr>
      <w:r>
        <w:rPr>
          <w:rFonts w:hint="eastAsia" w:ascii="宋体" w:hAnsi="宋体"/>
          <w:sz w:val="24"/>
        </w:rPr>
        <w:t>13.10采购人一律不予退还供应商的投标响应文件。</w:t>
      </w:r>
    </w:p>
    <w:p w14:paraId="71652AC2">
      <w:pPr>
        <w:spacing w:line="360" w:lineRule="auto"/>
        <w:rPr>
          <w:rFonts w:ascii="宋体" w:hAnsi="宋体"/>
          <w:sz w:val="24"/>
        </w:rPr>
      </w:pPr>
      <w:r>
        <w:rPr>
          <w:rFonts w:hint="eastAsia" w:ascii="宋体" w:hAnsi="宋体"/>
          <w:b/>
          <w:sz w:val="24"/>
        </w:rPr>
        <w:t>14.报价</w:t>
      </w:r>
    </w:p>
    <w:p w14:paraId="5B3DC331">
      <w:pPr>
        <w:spacing w:line="360" w:lineRule="auto"/>
        <w:ind w:firstLine="550"/>
        <w:rPr>
          <w:rFonts w:ascii="宋体" w:hAnsi="宋体"/>
          <w:sz w:val="24"/>
        </w:rPr>
      </w:pPr>
      <w:r>
        <w:rPr>
          <w:rFonts w:hint="eastAsia" w:ascii="宋体" w:hAnsi="宋体"/>
          <w:sz w:val="24"/>
        </w:rPr>
        <w:t>14.1供应商应以总价为报价的基本单位。</w:t>
      </w:r>
    </w:p>
    <w:p w14:paraId="7634610F">
      <w:pPr>
        <w:autoSpaceDE w:val="0"/>
        <w:autoSpaceDN w:val="0"/>
        <w:adjustRightInd w:val="0"/>
        <w:spacing w:line="360" w:lineRule="auto"/>
        <w:ind w:firstLine="480" w:firstLineChars="200"/>
        <w:rPr>
          <w:rFonts w:ascii="宋体" w:hAnsi="宋体"/>
          <w:sz w:val="24"/>
        </w:rPr>
      </w:pPr>
      <w:r>
        <w:rPr>
          <w:rFonts w:hint="eastAsia" w:ascii="宋体" w:hAnsi="宋体"/>
          <w:sz w:val="24"/>
        </w:rPr>
        <w:t>14.2</w:t>
      </w:r>
      <w:bookmarkStart w:id="104" w:name="EB616bfadcee8947c09e287939cf58f192"/>
      <w:r>
        <w:rPr>
          <w:rFonts w:hint="eastAsia" w:ascii="宋体" w:hAnsi="宋体"/>
          <w:sz w:val="24"/>
        </w:rPr>
        <w:t>供应商的报价应包含所投服务所发生的一切应有费用。</w:t>
      </w:r>
      <w:bookmarkEnd w:id="104"/>
      <w:r>
        <w:rPr>
          <w:rFonts w:hint="eastAsia" w:ascii="宋体" w:hAnsi="宋体"/>
          <w:sz w:val="24"/>
        </w:rPr>
        <w:t>投标报价为签订合同的依据。</w:t>
      </w:r>
    </w:p>
    <w:p w14:paraId="01389F86">
      <w:pPr>
        <w:autoSpaceDE w:val="0"/>
        <w:autoSpaceDN w:val="0"/>
        <w:adjustRightInd w:val="0"/>
        <w:spacing w:line="360" w:lineRule="auto"/>
        <w:ind w:firstLine="480" w:firstLineChars="200"/>
        <w:rPr>
          <w:rFonts w:ascii="宋体" w:hAnsi="宋体" w:cs="宋体"/>
          <w:kern w:val="0"/>
          <w:sz w:val="24"/>
          <w:szCs w:val="20"/>
        </w:rPr>
      </w:pPr>
      <w:r>
        <w:rPr>
          <w:rFonts w:hint="eastAsia" w:ascii="宋体" w:hAnsi="宋体" w:cs="宋体"/>
          <w:kern w:val="0"/>
          <w:sz w:val="24"/>
          <w:szCs w:val="20"/>
        </w:rPr>
        <w:t>14.3投标报价应包含并不限于以下内容：</w:t>
      </w:r>
    </w:p>
    <w:p w14:paraId="5C041962">
      <w:pPr>
        <w:spacing w:line="360" w:lineRule="auto"/>
        <w:ind w:firstLine="480" w:firstLineChars="200"/>
        <w:rPr>
          <w:rFonts w:ascii="宋体" w:hAnsi="宋体"/>
          <w:sz w:val="24"/>
        </w:rPr>
      </w:pPr>
      <w:r>
        <w:rPr>
          <w:rFonts w:hint="eastAsia" w:ascii="宋体" w:hAnsi="宋体"/>
          <w:sz w:val="24"/>
        </w:rPr>
        <w:t>供应商应充分了解项目的</w:t>
      </w:r>
      <w:r>
        <w:rPr>
          <w:rFonts w:ascii="宋体" w:hAnsi="宋体"/>
          <w:sz w:val="24"/>
        </w:rPr>
        <w:t>位置、周边</w:t>
      </w:r>
      <w:r>
        <w:rPr>
          <w:rFonts w:hint="eastAsia" w:ascii="宋体" w:hAnsi="宋体"/>
          <w:sz w:val="24"/>
        </w:rPr>
        <w:t>环境</w:t>
      </w:r>
      <w:r>
        <w:rPr>
          <w:rFonts w:ascii="宋体" w:hAnsi="宋体"/>
          <w:sz w:val="24"/>
        </w:rPr>
        <w:t>、装卸、保管、安装限制</w:t>
      </w:r>
      <w:r>
        <w:rPr>
          <w:rFonts w:hint="eastAsia" w:ascii="宋体" w:hAnsi="宋体"/>
          <w:sz w:val="24"/>
        </w:rPr>
        <w:t>以</w:t>
      </w:r>
      <w:r>
        <w:rPr>
          <w:rFonts w:ascii="宋体" w:hAnsi="宋体"/>
          <w:sz w:val="24"/>
        </w:rPr>
        <w:t>及影响</w:t>
      </w:r>
      <w:r>
        <w:rPr>
          <w:rFonts w:hint="eastAsia" w:ascii="宋体" w:hAnsi="宋体"/>
          <w:sz w:val="24"/>
        </w:rPr>
        <w:t>投标报价的其他要素。供应商</w:t>
      </w:r>
      <w:r>
        <w:rPr>
          <w:rFonts w:ascii="宋体" w:hAnsi="宋体"/>
          <w:sz w:val="24"/>
        </w:rPr>
        <w:t>根据</w:t>
      </w:r>
      <w:r>
        <w:rPr>
          <w:rFonts w:hint="eastAsia" w:ascii="宋体" w:hAnsi="宋体"/>
          <w:sz w:val="24"/>
        </w:rPr>
        <w:t>投标</w:t>
      </w:r>
      <w:r>
        <w:rPr>
          <w:rFonts w:ascii="宋体" w:hAnsi="宋体"/>
          <w:sz w:val="24"/>
        </w:rPr>
        <w:t>设计</w:t>
      </w:r>
      <w:r>
        <w:rPr>
          <w:rFonts w:hint="eastAsia" w:ascii="宋体" w:hAnsi="宋体"/>
          <w:sz w:val="24"/>
        </w:rPr>
        <w:t>，结合</w:t>
      </w:r>
      <w:r>
        <w:rPr>
          <w:rFonts w:ascii="宋体" w:hAnsi="宋体"/>
          <w:sz w:val="24"/>
        </w:rPr>
        <w:t>市场情况进行投标报价。</w:t>
      </w:r>
    </w:p>
    <w:p w14:paraId="39D3F6DA">
      <w:pPr>
        <w:autoSpaceDE w:val="0"/>
        <w:autoSpaceDN w:val="0"/>
        <w:adjustRightInd w:val="0"/>
        <w:spacing w:line="360" w:lineRule="auto"/>
        <w:ind w:firstLine="480" w:firstLineChars="200"/>
        <w:rPr>
          <w:rFonts w:ascii="宋体" w:hAnsi="宋体" w:cs="宋体"/>
          <w:kern w:val="0"/>
          <w:sz w:val="24"/>
          <w:szCs w:val="20"/>
        </w:rPr>
      </w:pPr>
      <w:r>
        <w:rPr>
          <w:rFonts w:hint="eastAsia" w:ascii="宋体" w:hAnsi="宋体" w:cs="宋体"/>
          <w:kern w:val="0"/>
          <w:sz w:val="24"/>
          <w:szCs w:val="20"/>
        </w:rPr>
        <w:t>投标报价包含经营销售业务产生的一切税费及经营费用。</w:t>
      </w:r>
    </w:p>
    <w:p w14:paraId="04230086">
      <w:pPr>
        <w:spacing w:line="360" w:lineRule="auto"/>
        <w:ind w:firstLine="549"/>
        <w:rPr>
          <w:rFonts w:ascii="宋体" w:hAnsi="宋体"/>
          <w:sz w:val="24"/>
        </w:rPr>
      </w:pPr>
      <w:r>
        <w:rPr>
          <w:rFonts w:hint="eastAsia" w:ascii="宋体" w:hAnsi="宋体"/>
          <w:sz w:val="24"/>
        </w:rPr>
        <w:t>14.4供应商的投标报价，不得以任何理由予以重复。</w:t>
      </w:r>
    </w:p>
    <w:p w14:paraId="11D938F1">
      <w:pPr>
        <w:spacing w:line="360" w:lineRule="auto"/>
        <w:ind w:firstLine="549"/>
        <w:rPr>
          <w:rFonts w:ascii="宋体" w:hAnsi="宋体"/>
          <w:b/>
          <w:bCs/>
          <w:sz w:val="24"/>
        </w:rPr>
      </w:pPr>
      <w:r>
        <w:rPr>
          <w:rFonts w:hint="eastAsia" w:ascii="宋体" w:hAnsi="宋体"/>
          <w:b/>
          <w:bCs/>
          <w:sz w:val="24"/>
        </w:rPr>
        <w:t>15.投标内容填写及说明</w:t>
      </w:r>
    </w:p>
    <w:p w14:paraId="09458BE5">
      <w:pPr>
        <w:spacing w:line="360" w:lineRule="auto"/>
        <w:ind w:firstLine="549"/>
        <w:rPr>
          <w:rFonts w:ascii="宋体" w:hAnsi="宋体"/>
          <w:sz w:val="24"/>
          <w:u w:val="single"/>
        </w:rPr>
      </w:pPr>
      <w:r>
        <w:rPr>
          <w:rFonts w:hint="eastAsia" w:ascii="宋体" w:hAnsi="宋体"/>
          <w:sz w:val="24"/>
        </w:rPr>
        <w:t>15.1投标响应文件须对竞争性磋商文件载明的投标资格、技术、服务、报价等全部要求和条件做出实质性和完整的响应，如果投标响应文件填报的内容资料不详，或没有提供竞争性磋商文件中所要求的全部资料、证明及数据，将导致投标无效。</w:t>
      </w:r>
    </w:p>
    <w:p w14:paraId="7068ABD9">
      <w:pPr>
        <w:spacing w:line="360" w:lineRule="auto"/>
        <w:ind w:firstLine="523" w:firstLineChars="218"/>
        <w:rPr>
          <w:rFonts w:ascii="宋体" w:hAnsi="宋体"/>
          <w:sz w:val="24"/>
        </w:rPr>
      </w:pPr>
      <w:r>
        <w:rPr>
          <w:rFonts w:hint="eastAsia" w:ascii="宋体" w:hAnsi="宋体"/>
          <w:sz w:val="24"/>
        </w:rPr>
        <w:t>15.2供应商应在投标响应文件中提交竞争性磋商文件要求的有关证明文件（扫描或影印件上传），作为其投标响应文件的一部分。</w:t>
      </w:r>
    </w:p>
    <w:p w14:paraId="445ACB24">
      <w:pPr>
        <w:spacing w:line="360" w:lineRule="auto"/>
        <w:ind w:firstLine="523" w:firstLineChars="218"/>
        <w:rPr>
          <w:rFonts w:ascii="宋体" w:hAnsi="宋体"/>
          <w:sz w:val="24"/>
        </w:rPr>
      </w:pPr>
      <w:r>
        <w:rPr>
          <w:rFonts w:hint="eastAsia" w:ascii="宋体" w:hAnsi="宋体"/>
          <w:sz w:val="24"/>
        </w:rPr>
        <w:t>15.3投标响应文件应编排有序、内容齐全、不得任意涂改或增删。如有错漏处必须修改，应在修改处加盖供应商公章。</w:t>
      </w:r>
    </w:p>
    <w:p w14:paraId="6B179FCE">
      <w:pPr>
        <w:spacing w:line="360" w:lineRule="auto"/>
        <w:ind w:firstLine="549"/>
        <w:rPr>
          <w:rFonts w:ascii="宋体" w:hAnsi="宋体"/>
          <w:b/>
          <w:sz w:val="24"/>
        </w:rPr>
      </w:pPr>
      <w:r>
        <w:rPr>
          <w:rFonts w:hint="eastAsia" w:ascii="宋体" w:hAnsi="宋体"/>
          <w:b/>
          <w:sz w:val="24"/>
        </w:rPr>
        <w:t>16.投标保证金</w:t>
      </w:r>
    </w:p>
    <w:p w14:paraId="061BAAA6">
      <w:pPr>
        <w:spacing w:line="360" w:lineRule="auto"/>
        <w:ind w:firstLine="549"/>
        <w:rPr>
          <w:rFonts w:ascii="宋体" w:hAnsi="宋体"/>
          <w:sz w:val="24"/>
        </w:rPr>
      </w:pPr>
      <w:r>
        <w:rPr>
          <w:rFonts w:hint="eastAsia" w:ascii="宋体" w:hAnsi="宋体"/>
          <w:sz w:val="24"/>
        </w:rPr>
        <w:t>16</w:t>
      </w:r>
      <w:r>
        <w:rPr>
          <w:rFonts w:ascii="宋体" w:hAnsi="宋体"/>
          <w:sz w:val="24"/>
        </w:rPr>
        <w:t>.1</w:t>
      </w:r>
      <w:r>
        <w:rPr>
          <w:rFonts w:hint="eastAsia" w:ascii="宋体" w:hAnsi="宋体"/>
          <w:sz w:val="24"/>
        </w:rPr>
        <w:t>投标前，供应商应按照供应商须知前附表规定金额的投标保证金，作为投标的一部分，投标保证金应按须知前附表要求提交。</w:t>
      </w:r>
    </w:p>
    <w:p w14:paraId="534867DF">
      <w:pPr>
        <w:spacing w:line="360" w:lineRule="auto"/>
        <w:ind w:firstLine="549"/>
        <w:rPr>
          <w:rFonts w:ascii="宋体" w:hAnsi="宋体"/>
          <w:sz w:val="24"/>
        </w:rPr>
      </w:pPr>
      <w:r>
        <w:rPr>
          <w:rFonts w:hint="eastAsia" w:ascii="宋体" w:hAnsi="宋体"/>
          <w:sz w:val="24"/>
        </w:rPr>
        <w:t>16.2未按要求提交投标保证金的投标，将被视为非响应性投标而导致投标无效。</w:t>
      </w:r>
    </w:p>
    <w:p w14:paraId="7C2F968B">
      <w:pPr>
        <w:spacing w:line="360" w:lineRule="auto"/>
        <w:ind w:firstLine="523" w:firstLineChars="218"/>
        <w:rPr>
          <w:rFonts w:ascii="宋体" w:hAnsi="宋体"/>
          <w:sz w:val="24"/>
        </w:rPr>
      </w:pPr>
      <w:r>
        <w:rPr>
          <w:rFonts w:hint="eastAsia" w:ascii="宋体" w:hAnsi="宋体"/>
          <w:sz w:val="24"/>
        </w:rPr>
        <w:t>16.3下列任何情况发生时，投标保证金将不予退还：</w:t>
      </w:r>
    </w:p>
    <w:p w14:paraId="566895AC">
      <w:pPr>
        <w:spacing w:line="360" w:lineRule="auto"/>
        <w:ind w:firstLine="549"/>
        <w:rPr>
          <w:rFonts w:ascii="宋体" w:hAnsi="宋体"/>
          <w:sz w:val="24"/>
        </w:rPr>
      </w:pPr>
      <w:r>
        <w:rPr>
          <w:rFonts w:hint="eastAsia" w:ascii="宋体" w:hAnsi="宋体"/>
          <w:sz w:val="24"/>
        </w:rPr>
        <w:t>16.3.1供应商在投标有效期内撤回其投标；</w:t>
      </w:r>
    </w:p>
    <w:p w14:paraId="6B928DE7">
      <w:pPr>
        <w:spacing w:line="360" w:lineRule="auto"/>
        <w:ind w:firstLine="549"/>
        <w:rPr>
          <w:rFonts w:ascii="宋体" w:hAnsi="宋体"/>
          <w:sz w:val="24"/>
        </w:rPr>
      </w:pPr>
      <w:r>
        <w:rPr>
          <w:rFonts w:hint="eastAsia" w:ascii="宋体" w:hAnsi="宋体"/>
          <w:sz w:val="24"/>
        </w:rPr>
        <w:t>16.3.2中标人在规定期限内未能：</w:t>
      </w:r>
    </w:p>
    <w:p w14:paraId="47310A88">
      <w:pPr>
        <w:spacing w:line="360" w:lineRule="auto"/>
        <w:ind w:firstLine="950" w:firstLineChars="396"/>
        <w:rPr>
          <w:rFonts w:ascii="宋体" w:hAnsi="宋体"/>
          <w:sz w:val="24"/>
        </w:rPr>
      </w:pPr>
      <w:r>
        <w:rPr>
          <w:rFonts w:hint="eastAsia" w:ascii="宋体" w:hAnsi="宋体"/>
          <w:sz w:val="24"/>
        </w:rPr>
        <w:t>①根据规定签订合同；</w:t>
      </w:r>
    </w:p>
    <w:p w14:paraId="11FCB5E0">
      <w:pPr>
        <w:spacing w:line="360" w:lineRule="auto"/>
        <w:ind w:firstLine="950" w:firstLineChars="396"/>
        <w:rPr>
          <w:rFonts w:ascii="宋体" w:hAnsi="宋体"/>
          <w:sz w:val="24"/>
        </w:rPr>
      </w:pPr>
      <w:r>
        <w:rPr>
          <w:rFonts w:hint="eastAsia" w:ascii="宋体" w:hAnsi="宋体"/>
          <w:sz w:val="24"/>
        </w:rPr>
        <w:t>②根据规定提供履约保证金。</w:t>
      </w:r>
    </w:p>
    <w:p w14:paraId="6A65F180">
      <w:pPr>
        <w:spacing w:line="360" w:lineRule="auto"/>
        <w:ind w:firstLine="549"/>
        <w:rPr>
          <w:rFonts w:ascii="宋体" w:hAnsi="宋体"/>
          <w:sz w:val="24"/>
        </w:rPr>
      </w:pPr>
      <w:r>
        <w:rPr>
          <w:rFonts w:hint="eastAsia" w:ascii="宋体" w:hAnsi="宋体"/>
          <w:sz w:val="24"/>
        </w:rPr>
        <w:t>16.3.3经政府采购监督管理部门依法认定的其他违反招投标法律、法规和规章的行为。</w:t>
      </w:r>
    </w:p>
    <w:p w14:paraId="268EA748">
      <w:pPr>
        <w:spacing w:line="360" w:lineRule="auto"/>
        <w:ind w:firstLine="550"/>
        <w:rPr>
          <w:rFonts w:ascii="宋体" w:hAnsi="宋体"/>
          <w:b/>
          <w:sz w:val="24"/>
        </w:rPr>
      </w:pPr>
      <w:r>
        <w:rPr>
          <w:rFonts w:hint="eastAsia" w:ascii="宋体" w:hAnsi="宋体"/>
          <w:b/>
          <w:sz w:val="24"/>
        </w:rPr>
        <w:t>17.投标有效期</w:t>
      </w:r>
    </w:p>
    <w:p w14:paraId="5125AEF8">
      <w:pPr>
        <w:spacing w:line="360" w:lineRule="auto"/>
        <w:ind w:firstLine="550"/>
        <w:rPr>
          <w:rFonts w:ascii="宋体" w:hAnsi="宋体"/>
          <w:sz w:val="24"/>
        </w:rPr>
      </w:pPr>
      <w:r>
        <w:rPr>
          <w:rFonts w:hint="eastAsia" w:ascii="宋体" w:hAnsi="宋体"/>
          <w:sz w:val="24"/>
        </w:rPr>
        <w:t>17.1为</w:t>
      </w:r>
      <w:r>
        <w:rPr>
          <w:rFonts w:ascii="宋体" w:hAnsi="宋体"/>
          <w:sz w:val="24"/>
        </w:rPr>
        <w:t>保证</w:t>
      </w:r>
      <w:r>
        <w:rPr>
          <w:rFonts w:hint="eastAsia" w:ascii="宋体" w:hAnsi="宋体"/>
          <w:sz w:val="24"/>
        </w:rPr>
        <w:t>采购人</w:t>
      </w:r>
      <w:r>
        <w:rPr>
          <w:rFonts w:ascii="宋体" w:hAnsi="宋体"/>
          <w:sz w:val="24"/>
        </w:rPr>
        <w:t>有足够的时间完成评标和与中标人签订合同</w:t>
      </w:r>
      <w:r>
        <w:rPr>
          <w:rFonts w:hint="eastAsia" w:ascii="宋体" w:hAnsi="宋体"/>
          <w:sz w:val="24"/>
        </w:rPr>
        <w:t>，规定投标有效期。投标有效期期限见供应商须知前附表。</w:t>
      </w:r>
    </w:p>
    <w:p w14:paraId="7560DB51">
      <w:pPr>
        <w:spacing w:line="360" w:lineRule="auto"/>
        <w:ind w:firstLine="550"/>
        <w:rPr>
          <w:rFonts w:ascii="宋体" w:hAnsi="宋体"/>
          <w:sz w:val="24"/>
        </w:rPr>
      </w:pPr>
      <w:r>
        <w:rPr>
          <w:rFonts w:hint="eastAsia" w:ascii="宋体" w:hAnsi="宋体"/>
          <w:sz w:val="24"/>
        </w:rPr>
        <w:t>17.2在投标有效期内，供应商的投标保持有效，供应商不得要求撤销或修改其投标响应文件。</w:t>
      </w:r>
    </w:p>
    <w:p w14:paraId="45530162">
      <w:pPr>
        <w:spacing w:line="360" w:lineRule="auto"/>
        <w:ind w:firstLine="550"/>
        <w:rPr>
          <w:rFonts w:ascii="宋体" w:hAnsi="宋体"/>
          <w:sz w:val="24"/>
        </w:rPr>
      </w:pPr>
      <w:r>
        <w:rPr>
          <w:rFonts w:hint="eastAsia" w:ascii="宋体" w:hAnsi="宋体"/>
          <w:sz w:val="24"/>
        </w:rPr>
        <w:t>17.3</w:t>
      </w:r>
      <w:r>
        <w:rPr>
          <w:rFonts w:ascii="宋体" w:hAnsi="宋体"/>
          <w:sz w:val="24"/>
        </w:rPr>
        <w:t>投标有效期从投标截止日起计算。</w:t>
      </w:r>
    </w:p>
    <w:p w14:paraId="7BA16491">
      <w:pPr>
        <w:spacing w:line="360" w:lineRule="auto"/>
        <w:ind w:firstLine="550"/>
        <w:rPr>
          <w:rFonts w:ascii="宋体" w:hAnsi="宋体"/>
          <w:sz w:val="24"/>
        </w:rPr>
      </w:pPr>
      <w:r>
        <w:rPr>
          <w:rFonts w:hint="eastAsia" w:ascii="宋体" w:hAnsi="宋体"/>
          <w:sz w:val="24"/>
        </w:rPr>
        <w:t>17.4在原定投标有效期满之前，如果出现特殊情况，采购人和代理机构可以书面形式提出延长投标有效期的要求。供应商以书面形式予以答复，供应商可以拒绝这种要求而不被没收投标保证金。同意延长投标有效期的供应商不允许修改其投标响应文件的实质性内容，且需要相应地延长投标保证金的有效期。</w:t>
      </w:r>
    </w:p>
    <w:p w14:paraId="77B4A3E5">
      <w:pPr>
        <w:spacing w:line="360" w:lineRule="auto"/>
        <w:ind w:firstLine="550"/>
        <w:jc w:val="center"/>
        <w:rPr>
          <w:rFonts w:ascii="宋体" w:hAnsi="宋体"/>
          <w:b/>
          <w:bCs/>
          <w:sz w:val="28"/>
          <w:szCs w:val="24"/>
        </w:rPr>
      </w:pPr>
      <w:bookmarkStart w:id="105" w:name="_Hlt509650572"/>
      <w:bookmarkEnd w:id="105"/>
      <w:bookmarkStart w:id="106" w:name="_Toc481588108"/>
      <w:bookmarkStart w:id="107" w:name="_Toc23257"/>
      <w:bookmarkStart w:id="108" w:name="_Toc456249447"/>
      <w:bookmarkStart w:id="109" w:name="_Toc456249643"/>
      <w:bookmarkStart w:id="110" w:name="EB7128443d509749ba944cef6877aba01f"/>
      <w:r>
        <w:rPr>
          <w:rFonts w:hint="eastAsia" w:ascii="宋体" w:hAnsi="宋体"/>
          <w:b/>
          <w:bCs/>
          <w:sz w:val="28"/>
          <w:szCs w:val="24"/>
        </w:rPr>
        <w:t>四．投标响应文件的递交</w:t>
      </w:r>
      <w:bookmarkEnd w:id="106"/>
      <w:bookmarkEnd w:id="107"/>
      <w:bookmarkEnd w:id="108"/>
      <w:bookmarkEnd w:id="109"/>
    </w:p>
    <w:p w14:paraId="1A5C1747">
      <w:pPr>
        <w:spacing w:line="360" w:lineRule="auto"/>
        <w:rPr>
          <w:rFonts w:ascii="宋体" w:hAnsi="宋体"/>
          <w:sz w:val="24"/>
        </w:rPr>
      </w:pPr>
      <w:r>
        <w:rPr>
          <w:rFonts w:hint="eastAsia" w:ascii="宋体" w:hAnsi="宋体"/>
          <w:sz w:val="24"/>
        </w:rPr>
        <w:t>18、投标响应文件的密封和标记</w:t>
      </w:r>
    </w:p>
    <w:p w14:paraId="29D4C0EE">
      <w:pPr>
        <w:spacing w:line="360" w:lineRule="auto"/>
        <w:ind w:firstLine="482" w:firstLineChars="200"/>
        <w:rPr>
          <w:rFonts w:ascii="宋体" w:hAnsi="宋体"/>
          <w:sz w:val="24"/>
        </w:rPr>
      </w:pPr>
      <w:bookmarkStart w:id="111" w:name="_Toc310494091"/>
      <w:bookmarkStart w:id="112" w:name="_Toc193115720"/>
      <w:bookmarkStart w:id="113" w:name="_Toc235592919"/>
      <w:r>
        <w:rPr>
          <w:rFonts w:hint="eastAsia" w:ascii="宋体" w:hAnsi="宋体" w:cs="宋体"/>
          <w:b/>
          <w:bCs/>
          <w:kern w:val="0"/>
          <w:sz w:val="24"/>
        </w:rPr>
        <w:t>执行须知前附表内相关要求。</w:t>
      </w:r>
    </w:p>
    <w:bookmarkEnd w:id="111"/>
    <w:bookmarkEnd w:id="112"/>
    <w:bookmarkEnd w:id="113"/>
    <w:p w14:paraId="22ED79A5">
      <w:pPr>
        <w:spacing w:line="360" w:lineRule="auto"/>
        <w:rPr>
          <w:rFonts w:ascii="宋体" w:hAnsi="宋体"/>
          <w:sz w:val="24"/>
        </w:rPr>
      </w:pPr>
      <w:r>
        <w:rPr>
          <w:rFonts w:hint="eastAsia" w:ascii="宋体" w:hAnsi="宋体"/>
          <w:sz w:val="24"/>
        </w:rPr>
        <w:t>19、投标响应文件的修改和撤销</w:t>
      </w:r>
    </w:p>
    <w:p w14:paraId="3F5403F5">
      <w:pPr>
        <w:spacing w:line="360" w:lineRule="auto"/>
        <w:ind w:firstLine="480" w:firstLineChars="200"/>
        <w:rPr>
          <w:rFonts w:ascii="宋体" w:hAnsi="宋体"/>
          <w:sz w:val="24"/>
        </w:rPr>
      </w:pPr>
      <w:r>
        <w:rPr>
          <w:rFonts w:hint="eastAsia" w:ascii="宋体" w:hAnsi="宋体"/>
          <w:sz w:val="24"/>
        </w:rPr>
        <w:t>19.1供应商在提交投标文件后，可以修改或撤回其投标文件，但必须在规定的投标截止时间之前。</w:t>
      </w:r>
    </w:p>
    <w:p w14:paraId="4426BF42">
      <w:pPr>
        <w:spacing w:line="360" w:lineRule="auto"/>
        <w:ind w:firstLine="480" w:firstLineChars="200"/>
        <w:rPr>
          <w:rFonts w:ascii="宋体" w:hAnsi="宋体"/>
          <w:sz w:val="24"/>
        </w:rPr>
      </w:pPr>
      <w:r>
        <w:rPr>
          <w:rFonts w:hint="eastAsia" w:ascii="宋体" w:hAnsi="宋体"/>
          <w:sz w:val="24"/>
        </w:rPr>
        <w:t>19.2 在投标截止时间之后，供应商不得对其投标文件做任何修改。</w:t>
      </w:r>
    </w:p>
    <w:p w14:paraId="778F5967">
      <w:pPr>
        <w:autoSpaceDE w:val="0"/>
        <w:autoSpaceDN w:val="0"/>
        <w:adjustRightInd w:val="0"/>
        <w:spacing w:line="360" w:lineRule="auto"/>
        <w:ind w:firstLine="480" w:firstLineChars="200"/>
        <w:jc w:val="left"/>
        <w:rPr>
          <w:rFonts w:ascii="宋体" w:hAnsi="宋体" w:cs="宋体"/>
          <w:b/>
          <w:bCs/>
          <w:sz w:val="24"/>
        </w:rPr>
      </w:pPr>
      <w:r>
        <w:rPr>
          <w:rFonts w:hint="eastAsia" w:ascii="宋体" w:hAnsi="宋体"/>
          <w:sz w:val="24"/>
        </w:rPr>
        <w:t>19.3在投标截止时间至采购人规定的投标有效期满期间，供应商不得撤回其投标，否则其投标保证金将不予退回。</w:t>
      </w:r>
      <w:bookmarkEnd w:id="110"/>
    </w:p>
    <w:p w14:paraId="691AE632">
      <w:pPr>
        <w:autoSpaceDE w:val="0"/>
        <w:autoSpaceDN w:val="0"/>
        <w:adjustRightInd w:val="0"/>
        <w:spacing w:line="360" w:lineRule="auto"/>
        <w:jc w:val="left"/>
        <w:rPr>
          <w:rFonts w:ascii="宋体" w:hAnsi="宋体" w:cs="宋体"/>
          <w:b/>
          <w:bCs/>
          <w:sz w:val="24"/>
          <w:lang w:val="zh-CN"/>
        </w:rPr>
      </w:pPr>
      <w:r>
        <w:rPr>
          <w:rFonts w:hint="eastAsia" w:ascii="宋体" w:hAnsi="宋体" w:cs="宋体"/>
          <w:b/>
          <w:bCs/>
          <w:sz w:val="24"/>
        </w:rPr>
        <w:t>20</w:t>
      </w:r>
      <w:r>
        <w:rPr>
          <w:rFonts w:hint="eastAsia" w:ascii="宋体" w:hAnsi="宋体" w:cs="宋体"/>
          <w:b/>
          <w:bCs/>
          <w:sz w:val="24"/>
          <w:lang w:val="zh-CN"/>
        </w:rPr>
        <w:t>、投标响应文件的真实性</w:t>
      </w:r>
    </w:p>
    <w:p w14:paraId="67A5014A">
      <w:pPr>
        <w:autoSpaceDE w:val="0"/>
        <w:autoSpaceDN w:val="0"/>
        <w:adjustRightInd w:val="0"/>
        <w:spacing w:line="360" w:lineRule="auto"/>
        <w:ind w:firstLine="480" w:firstLineChars="200"/>
        <w:jc w:val="left"/>
        <w:rPr>
          <w:rFonts w:ascii="宋体" w:hAnsi="宋体" w:cs="宋体"/>
          <w:kern w:val="0"/>
          <w:sz w:val="24"/>
          <w:szCs w:val="20"/>
        </w:rPr>
      </w:pPr>
      <w:r>
        <w:rPr>
          <w:rFonts w:hint="eastAsia" w:ascii="宋体" w:hAnsi="宋体" w:cs="宋体"/>
          <w:kern w:val="0"/>
          <w:sz w:val="24"/>
          <w:szCs w:val="20"/>
        </w:rPr>
        <w:t>供应商必须对投标响应文件所提供的全部资料的真实性承担法律责任，并无条件接受谈判小组对其中任何资料进行核实的要求。</w:t>
      </w:r>
    </w:p>
    <w:p w14:paraId="649320B4">
      <w:pPr>
        <w:autoSpaceDE w:val="0"/>
        <w:autoSpaceDN w:val="0"/>
        <w:adjustRightInd w:val="0"/>
        <w:spacing w:line="360" w:lineRule="auto"/>
        <w:jc w:val="left"/>
        <w:rPr>
          <w:rFonts w:ascii="宋体" w:hAnsi="宋体" w:cs="宋体"/>
          <w:b/>
          <w:bCs/>
          <w:sz w:val="24"/>
          <w:lang w:val="zh-CN"/>
        </w:rPr>
      </w:pPr>
      <w:r>
        <w:rPr>
          <w:rFonts w:hint="eastAsia" w:ascii="宋体" w:hAnsi="宋体" w:cs="宋体"/>
          <w:b/>
          <w:bCs/>
          <w:sz w:val="24"/>
        </w:rPr>
        <w:t>21</w:t>
      </w:r>
      <w:r>
        <w:rPr>
          <w:rFonts w:hint="eastAsia" w:ascii="宋体" w:hAnsi="宋体" w:cs="宋体"/>
          <w:b/>
          <w:bCs/>
          <w:sz w:val="24"/>
          <w:lang w:val="zh-CN"/>
        </w:rPr>
        <w:t>、投标响应文件的完整性</w:t>
      </w:r>
    </w:p>
    <w:p w14:paraId="65D1B90C">
      <w:pPr>
        <w:autoSpaceDE w:val="0"/>
        <w:autoSpaceDN w:val="0"/>
        <w:adjustRightInd w:val="0"/>
        <w:spacing w:line="360" w:lineRule="auto"/>
        <w:ind w:firstLine="480" w:firstLineChars="200"/>
        <w:rPr>
          <w:rFonts w:ascii="宋体" w:hAnsi="宋体" w:cs="宋体"/>
          <w:kern w:val="0"/>
          <w:sz w:val="24"/>
          <w:szCs w:val="20"/>
        </w:rPr>
      </w:pPr>
      <w:r>
        <w:rPr>
          <w:rFonts w:hint="eastAsia" w:ascii="宋体" w:hAnsi="宋体" w:cs="宋体"/>
          <w:kern w:val="0"/>
          <w:sz w:val="24"/>
          <w:szCs w:val="20"/>
        </w:rPr>
        <w:t>如果因为供应商投标响应文件填报的内容不详、上传至系统的材料模糊不清、无法辨认的，或没有提供竞争性磋商文件中所要求的全部资料及数据，由此造成的后果，其责任由供应商自行承担。</w:t>
      </w:r>
    </w:p>
    <w:p w14:paraId="69671D98">
      <w:pPr>
        <w:spacing w:line="360" w:lineRule="auto"/>
        <w:ind w:firstLine="550"/>
        <w:jc w:val="center"/>
        <w:rPr>
          <w:rFonts w:ascii="宋体" w:hAnsi="宋体"/>
          <w:b/>
          <w:bCs/>
          <w:sz w:val="28"/>
          <w:szCs w:val="24"/>
        </w:rPr>
      </w:pPr>
      <w:bookmarkStart w:id="114" w:name="_Hlt509649294"/>
      <w:bookmarkEnd w:id="114"/>
      <w:bookmarkStart w:id="115" w:name="_Toc27771"/>
      <w:bookmarkStart w:id="116" w:name="_Toc3513"/>
      <w:bookmarkStart w:id="117" w:name="_Toc407096154"/>
      <w:r>
        <w:rPr>
          <w:rFonts w:hint="eastAsia" w:ascii="宋体" w:hAnsi="宋体"/>
          <w:b/>
          <w:bCs/>
          <w:sz w:val="28"/>
          <w:szCs w:val="24"/>
        </w:rPr>
        <w:t>五．开标与评标</w:t>
      </w:r>
      <w:bookmarkEnd w:id="115"/>
      <w:bookmarkEnd w:id="116"/>
      <w:bookmarkEnd w:id="117"/>
    </w:p>
    <w:p w14:paraId="2D2A534B">
      <w:pPr>
        <w:spacing w:line="480" w:lineRule="auto"/>
        <w:rPr>
          <w:rFonts w:ascii="宋体" w:hAnsi="宋体" w:cs="宋体"/>
          <w:b/>
          <w:spacing w:val="-2"/>
          <w:sz w:val="24"/>
        </w:rPr>
      </w:pPr>
      <w:r>
        <w:rPr>
          <w:rFonts w:hint="eastAsia" w:ascii="宋体" w:hAnsi="宋体" w:cs="宋体"/>
          <w:b/>
          <w:spacing w:val="-2"/>
          <w:sz w:val="24"/>
        </w:rPr>
        <w:t>22、开标、评标</w:t>
      </w:r>
    </w:p>
    <w:p w14:paraId="03622C1D">
      <w:pPr>
        <w:spacing w:line="360" w:lineRule="auto"/>
        <w:ind w:firstLine="474" w:firstLineChars="200"/>
        <w:rPr>
          <w:rFonts w:ascii="宋体" w:hAnsi="宋体" w:cs="宋体"/>
          <w:b/>
          <w:bCs/>
          <w:spacing w:val="-2"/>
          <w:sz w:val="24"/>
        </w:rPr>
      </w:pPr>
      <w:bookmarkStart w:id="118" w:name="_Toc193115723"/>
      <w:bookmarkStart w:id="119" w:name="_Toc235592922"/>
      <w:bookmarkStart w:id="120" w:name="_Toc310494094"/>
      <w:r>
        <w:rPr>
          <w:rFonts w:hint="eastAsia" w:ascii="宋体" w:hAnsi="宋体" w:cs="宋体"/>
          <w:b/>
          <w:bCs/>
          <w:spacing w:val="-2"/>
          <w:sz w:val="24"/>
        </w:rPr>
        <w:t>22.1、开标</w:t>
      </w:r>
    </w:p>
    <w:p w14:paraId="76305428">
      <w:pPr>
        <w:spacing w:line="360" w:lineRule="auto"/>
        <w:ind w:firstLine="474" w:firstLineChars="200"/>
        <w:rPr>
          <w:rFonts w:ascii="宋体" w:hAnsi="宋体" w:cs="宋体"/>
          <w:b/>
          <w:sz w:val="24"/>
        </w:rPr>
      </w:pPr>
      <w:r>
        <w:rPr>
          <w:rFonts w:hint="eastAsia" w:ascii="宋体" w:hAnsi="宋体" w:cs="宋体"/>
          <w:b/>
          <w:bCs/>
          <w:spacing w:val="-2"/>
          <w:sz w:val="24"/>
        </w:rPr>
        <w:t>1、</w:t>
      </w:r>
      <w:r>
        <w:rPr>
          <w:rFonts w:hint="eastAsia" w:ascii="宋体" w:hAnsi="宋体" w:cs="宋体"/>
          <w:b/>
          <w:sz w:val="24"/>
        </w:rPr>
        <w:t>开标时间和地点</w:t>
      </w:r>
      <w:bookmarkEnd w:id="118"/>
      <w:bookmarkEnd w:id="119"/>
      <w:bookmarkEnd w:id="120"/>
    </w:p>
    <w:p w14:paraId="07D48FA0">
      <w:pPr>
        <w:spacing w:line="360" w:lineRule="auto"/>
        <w:rPr>
          <w:rFonts w:ascii="宋体" w:hAnsi="宋体" w:cs="宋体"/>
          <w:b/>
          <w:bCs/>
          <w:sz w:val="24"/>
        </w:rPr>
      </w:pPr>
      <w:r>
        <w:rPr>
          <w:rFonts w:hint="eastAsia" w:ascii="宋体" w:hAnsi="宋体" w:cs="宋体"/>
          <w:sz w:val="24"/>
        </w:rPr>
        <w:t xml:space="preserve">    </w:t>
      </w:r>
      <w:r>
        <w:rPr>
          <w:rFonts w:hint="eastAsia" w:ascii="宋体" w:hAnsi="宋体" w:cs="宋体"/>
          <w:sz w:val="24"/>
          <w:lang w:val="zh-CN"/>
        </w:rPr>
        <w:t>开标由招标代理机构主持，采购人、投标人和有关方面代表参加。</w:t>
      </w:r>
      <w:r>
        <w:rPr>
          <w:rFonts w:hint="eastAsia" w:ascii="宋体" w:hAnsi="宋体" w:cs="宋体"/>
          <w:b/>
          <w:bCs/>
          <w:sz w:val="24"/>
          <w:lang w:val="zh-CN"/>
        </w:rPr>
        <w:t>参加开标的投标人法定代表人或其授权的委托代理人须准时出席并签名报到，法定代表人需出示身份证原件和法人资格证明文件原件或其授权代理人须出具授权委托书原件和身份证原件。投标人未按上述要求和规定时间参加开标会的视为自动放弃投标资格。</w:t>
      </w:r>
    </w:p>
    <w:p w14:paraId="29338187">
      <w:pPr>
        <w:spacing w:line="360" w:lineRule="auto"/>
        <w:ind w:firstLine="482" w:firstLineChars="200"/>
        <w:rPr>
          <w:rFonts w:ascii="宋体" w:hAnsi="宋体" w:cs="宋体"/>
          <w:sz w:val="24"/>
        </w:rPr>
      </w:pPr>
      <w:bookmarkStart w:id="121" w:name="_Toc193115724"/>
      <w:bookmarkStart w:id="122" w:name="_Toc235592923"/>
      <w:r>
        <w:rPr>
          <w:rFonts w:hint="eastAsia" w:ascii="宋体" w:hAnsi="宋体" w:cs="宋体"/>
          <w:b/>
          <w:sz w:val="24"/>
        </w:rPr>
        <w:t>2、</w:t>
      </w:r>
      <w:r>
        <w:rPr>
          <w:rFonts w:hint="eastAsia" w:ascii="宋体" w:hAnsi="宋体" w:cs="宋体"/>
          <w:sz w:val="24"/>
          <w:lang w:val="zh-CN"/>
        </w:rPr>
        <w:t>开标时，由投标人授权代表检查投标文件的密封情况，监督人员核验参加投标人员的有关证书、证件，对符合密封要求的投标文件开标并送达评标小组进行评审。</w:t>
      </w:r>
    </w:p>
    <w:p w14:paraId="60AD892F">
      <w:pPr>
        <w:spacing w:line="360" w:lineRule="auto"/>
        <w:ind w:firstLine="482" w:firstLineChars="200"/>
        <w:rPr>
          <w:rFonts w:ascii="宋体" w:hAnsi="宋体" w:cs="宋体"/>
          <w:b/>
          <w:sz w:val="24"/>
        </w:rPr>
      </w:pPr>
      <w:bookmarkStart w:id="123" w:name="_Toc310494096"/>
      <w:r>
        <w:rPr>
          <w:rFonts w:hint="eastAsia" w:ascii="宋体" w:hAnsi="宋体" w:cs="宋体"/>
          <w:b/>
          <w:sz w:val="24"/>
        </w:rPr>
        <w:t>3、开标程序</w:t>
      </w:r>
      <w:bookmarkEnd w:id="121"/>
      <w:bookmarkEnd w:id="122"/>
      <w:bookmarkEnd w:id="123"/>
    </w:p>
    <w:p w14:paraId="5C0657D4">
      <w:pPr>
        <w:spacing w:line="360" w:lineRule="auto"/>
        <w:ind w:firstLine="480" w:firstLineChars="200"/>
        <w:rPr>
          <w:rFonts w:ascii="宋体" w:hAnsi="宋体" w:cs="宋体"/>
          <w:sz w:val="24"/>
        </w:rPr>
      </w:pPr>
      <w:r>
        <w:rPr>
          <w:rFonts w:hint="eastAsia" w:ascii="宋体" w:hAnsi="宋体" w:cs="宋体"/>
          <w:sz w:val="24"/>
        </w:rPr>
        <w:t>主持人按下列程序进行开标：.</w:t>
      </w:r>
    </w:p>
    <w:p w14:paraId="52EC87E3">
      <w:pPr>
        <w:spacing w:line="360" w:lineRule="auto"/>
        <w:ind w:firstLine="480" w:firstLineChars="200"/>
        <w:rPr>
          <w:rFonts w:ascii="宋体" w:hAnsi="宋体" w:cs="宋体"/>
          <w:sz w:val="24"/>
        </w:rPr>
      </w:pPr>
      <w:r>
        <w:rPr>
          <w:rFonts w:hint="eastAsia" w:ascii="宋体" w:hAnsi="宋体" w:cs="宋体"/>
          <w:sz w:val="24"/>
        </w:rPr>
        <w:t>（1）宣布开、评标纪律；</w:t>
      </w:r>
    </w:p>
    <w:p w14:paraId="52A2F52D">
      <w:pPr>
        <w:spacing w:line="360" w:lineRule="auto"/>
        <w:ind w:firstLine="480" w:firstLineChars="200"/>
        <w:rPr>
          <w:rFonts w:ascii="宋体" w:hAnsi="宋体" w:cs="宋体"/>
          <w:sz w:val="24"/>
        </w:rPr>
      </w:pPr>
      <w:r>
        <w:rPr>
          <w:rFonts w:hint="eastAsia" w:ascii="宋体" w:hAnsi="宋体" w:cs="宋体"/>
          <w:sz w:val="24"/>
        </w:rPr>
        <w:t>（2）介绍到会采购人代表、监督人、宣布开标人、唱标人、记录人等有关人员名单；</w:t>
      </w:r>
    </w:p>
    <w:p w14:paraId="2E575DE1">
      <w:pPr>
        <w:spacing w:line="360" w:lineRule="auto"/>
        <w:ind w:firstLine="480" w:firstLineChars="200"/>
        <w:rPr>
          <w:rFonts w:ascii="宋体" w:hAnsi="宋体" w:cs="宋体"/>
          <w:sz w:val="24"/>
        </w:rPr>
      </w:pPr>
      <w:r>
        <w:rPr>
          <w:rFonts w:hint="eastAsia" w:ascii="宋体" w:hAnsi="宋体" w:cs="宋体"/>
          <w:sz w:val="24"/>
        </w:rPr>
        <w:t>（3）公布供应商名称并检查投标文件的密封情况；</w:t>
      </w:r>
    </w:p>
    <w:p w14:paraId="10764C34">
      <w:pPr>
        <w:spacing w:line="360" w:lineRule="auto"/>
        <w:ind w:firstLine="480" w:firstLineChars="200"/>
        <w:rPr>
          <w:rFonts w:ascii="宋体" w:hAnsi="宋体" w:cs="宋体"/>
          <w:sz w:val="24"/>
        </w:rPr>
      </w:pPr>
      <w:r>
        <w:rPr>
          <w:rFonts w:hint="eastAsia" w:ascii="宋体" w:hAnsi="宋体" w:cs="宋体"/>
          <w:sz w:val="24"/>
        </w:rPr>
        <w:t>（4）开标结束。</w:t>
      </w:r>
    </w:p>
    <w:p w14:paraId="4CCE2761">
      <w:pPr>
        <w:pStyle w:val="6"/>
        <w:spacing w:before="0" w:after="0" w:line="240" w:lineRule="auto"/>
        <w:ind w:firstLine="614" w:firstLineChars="255"/>
        <w:jc w:val="left"/>
        <w:rPr>
          <w:sz w:val="24"/>
          <w:szCs w:val="24"/>
        </w:rPr>
      </w:pPr>
      <w:bookmarkStart w:id="124" w:name="_Toc452297730"/>
      <w:bookmarkStart w:id="125" w:name="_Toc480354975"/>
      <w:bookmarkStart w:id="126" w:name="_Toc8640"/>
      <w:bookmarkStart w:id="127" w:name="_Toc2183"/>
      <w:r>
        <w:rPr>
          <w:rFonts w:hint="eastAsia"/>
          <w:sz w:val="24"/>
          <w:szCs w:val="24"/>
        </w:rPr>
        <w:t>4、开标异议</w:t>
      </w:r>
      <w:bookmarkEnd w:id="124"/>
      <w:bookmarkEnd w:id="125"/>
      <w:bookmarkEnd w:id="126"/>
      <w:bookmarkEnd w:id="127"/>
    </w:p>
    <w:p w14:paraId="59EC972F">
      <w:pPr>
        <w:autoSpaceDE w:val="0"/>
        <w:autoSpaceDN w:val="0"/>
        <w:adjustRightInd w:val="0"/>
        <w:spacing w:line="440" w:lineRule="exact"/>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供应商对开标有异议的，应当在开标现场提出，采购人（或代理机构）当场作出答复，并制作记录。</w:t>
      </w:r>
    </w:p>
    <w:p w14:paraId="096CCF47">
      <w:pPr>
        <w:ind w:firstLine="474" w:firstLineChars="200"/>
        <w:rPr>
          <w:rFonts w:ascii="宋体" w:hAnsi="宋体" w:cs="宋体"/>
          <w:spacing w:val="-2"/>
          <w:sz w:val="24"/>
        </w:rPr>
      </w:pPr>
      <w:r>
        <w:rPr>
          <w:rFonts w:hint="eastAsia" w:ascii="宋体" w:hAnsi="宋体" w:cs="宋体"/>
          <w:b/>
          <w:spacing w:val="-2"/>
          <w:sz w:val="24"/>
        </w:rPr>
        <w:t>22.2、评标</w:t>
      </w:r>
    </w:p>
    <w:p w14:paraId="64DDA4FC">
      <w:pPr>
        <w:autoSpaceDE w:val="0"/>
        <w:autoSpaceDN w:val="0"/>
        <w:adjustRightInd w:val="0"/>
        <w:spacing w:line="440" w:lineRule="exact"/>
        <w:ind w:firstLine="480" w:firstLineChars="200"/>
        <w:rPr>
          <w:rFonts w:ascii="宋体" w:hAnsi="宋体" w:cs="仿宋_GB2312"/>
          <w:color w:val="000000"/>
          <w:sz w:val="24"/>
          <w:szCs w:val="24"/>
          <w:lang w:val="zh-CN"/>
        </w:rPr>
      </w:pPr>
      <w:bookmarkStart w:id="128" w:name="_Toc310493332"/>
      <w:bookmarkStart w:id="129" w:name="_Toc193115725"/>
      <w:bookmarkStart w:id="130" w:name="_Toc235592924"/>
      <w:bookmarkStart w:id="131" w:name="_Toc310494097"/>
      <w:r>
        <w:rPr>
          <w:rFonts w:hint="eastAsia" w:ascii="宋体" w:hAnsi="宋体" w:cs="仿宋_GB2312"/>
          <w:color w:val="000000"/>
          <w:sz w:val="24"/>
          <w:szCs w:val="24"/>
          <w:lang w:val="zh-CN"/>
        </w:rPr>
        <w:t>谈判小组按照第四章“评标办法”规定的方法、评审因素、标准和程序对投标响应文件进行评审。</w:t>
      </w:r>
    </w:p>
    <w:p w14:paraId="1154745F">
      <w:pPr>
        <w:autoSpaceDE w:val="0"/>
        <w:autoSpaceDN w:val="0"/>
        <w:adjustRightInd w:val="0"/>
        <w:spacing w:line="440" w:lineRule="exact"/>
        <w:ind w:firstLine="480" w:firstLineChars="200"/>
        <w:rPr>
          <w:rFonts w:ascii="宋体" w:hAnsi="宋体" w:cs="仿宋_GB2312"/>
          <w:color w:val="000000"/>
          <w:sz w:val="24"/>
          <w:szCs w:val="24"/>
          <w:lang w:val="zh-CN"/>
        </w:rPr>
      </w:pPr>
      <w:r>
        <w:rPr>
          <w:rFonts w:hint="eastAsia" w:ascii="宋体" w:hAnsi="宋体" w:cs="仿宋_GB2312"/>
          <w:color w:val="000000"/>
          <w:sz w:val="24"/>
          <w:szCs w:val="24"/>
        </w:rPr>
        <w:t>1</w:t>
      </w:r>
      <w:r>
        <w:rPr>
          <w:rFonts w:hint="eastAsia" w:ascii="宋体" w:hAnsi="宋体" w:cs="仿宋_GB2312"/>
          <w:color w:val="000000"/>
          <w:sz w:val="24"/>
          <w:szCs w:val="24"/>
          <w:lang w:val="zh-CN"/>
        </w:rPr>
        <w:t>、招标代理机构根据有关规定组织评标工作，依法组建的磋商小组按竞争性磋商文件规定的评标办法进行评标，并对评标报告签字确认。</w:t>
      </w:r>
    </w:p>
    <w:p w14:paraId="32E7DF2C">
      <w:pPr>
        <w:autoSpaceDE w:val="0"/>
        <w:autoSpaceDN w:val="0"/>
        <w:adjustRightInd w:val="0"/>
        <w:spacing w:line="440" w:lineRule="exact"/>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2、供应商在评标期间应保持联系畅通，接受磋商小组可能发出的质询，在规定时间内澄清。未能按时澄清的，磋商小组将视同其放弃澄清。</w:t>
      </w:r>
    </w:p>
    <w:p w14:paraId="39AD4AB7">
      <w:pPr>
        <w:ind w:firstLine="474" w:firstLineChars="200"/>
        <w:rPr>
          <w:rFonts w:ascii="宋体" w:hAnsi="宋体" w:cs="宋体"/>
          <w:b/>
          <w:spacing w:val="-2"/>
          <w:sz w:val="24"/>
        </w:rPr>
      </w:pPr>
      <w:bookmarkStart w:id="132" w:name="_Toc310494101"/>
      <w:r>
        <w:rPr>
          <w:rFonts w:hint="eastAsia" w:ascii="宋体" w:hAnsi="宋体" w:cs="宋体"/>
          <w:b/>
          <w:spacing w:val="-2"/>
          <w:sz w:val="24"/>
        </w:rPr>
        <w:t>23、废标处理</w:t>
      </w:r>
    </w:p>
    <w:p w14:paraId="1F5B99F1">
      <w:pPr>
        <w:autoSpaceDE w:val="0"/>
        <w:autoSpaceDN w:val="0"/>
        <w:adjustRightInd w:val="0"/>
        <w:spacing w:line="440" w:lineRule="exact"/>
        <w:ind w:firstLine="480" w:firstLineChars="200"/>
        <w:rPr>
          <w:rFonts w:ascii="宋体" w:hAnsi="宋体" w:cs="仿宋_GB2312"/>
          <w:color w:val="000000"/>
          <w:sz w:val="24"/>
          <w:szCs w:val="24"/>
          <w:highlight w:val="none"/>
          <w:lang w:val="zh-CN"/>
        </w:rPr>
      </w:pPr>
      <w:r>
        <w:rPr>
          <w:rFonts w:hint="eastAsia" w:ascii="宋体" w:hAnsi="宋体" w:cs="仿宋_GB2312"/>
          <w:color w:val="000000"/>
          <w:sz w:val="24"/>
          <w:szCs w:val="24"/>
          <w:highlight w:val="none"/>
          <w:lang w:val="zh-CN"/>
        </w:rPr>
        <w:t>(1)投标报价</w:t>
      </w:r>
      <w:r>
        <w:rPr>
          <w:rFonts w:hint="eastAsia" w:ascii="宋体" w:hAnsi="宋体" w:cs="仿宋_GB2312"/>
          <w:color w:val="000000"/>
          <w:sz w:val="24"/>
          <w:szCs w:val="24"/>
          <w:highlight w:val="none"/>
        </w:rPr>
        <w:t>高于最高限价</w:t>
      </w:r>
      <w:r>
        <w:rPr>
          <w:rFonts w:hint="eastAsia" w:ascii="宋体" w:hAnsi="宋体" w:cs="仿宋_GB2312"/>
          <w:color w:val="000000"/>
          <w:sz w:val="24"/>
          <w:szCs w:val="24"/>
          <w:highlight w:val="none"/>
          <w:lang w:val="zh-CN"/>
        </w:rPr>
        <w:t>的。</w:t>
      </w:r>
    </w:p>
    <w:p w14:paraId="69B86386">
      <w:pPr>
        <w:autoSpaceDE w:val="0"/>
        <w:autoSpaceDN w:val="0"/>
        <w:adjustRightInd w:val="0"/>
        <w:spacing w:line="440" w:lineRule="exact"/>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w:t>
      </w:r>
      <w:r>
        <w:rPr>
          <w:rFonts w:hint="eastAsia" w:ascii="宋体" w:hAnsi="宋体" w:cs="仿宋_GB2312"/>
          <w:color w:val="000000"/>
          <w:sz w:val="24"/>
          <w:szCs w:val="24"/>
        </w:rPr>
        <w:t>2</w:t>
      </w:r>
      <w:r>
        <w:rPr>
          <w:rFonts w:hint="eastAsia" w:ascii="宋体" w:hAnsi="宋体" w:cs="仿宋_GB2312"/>
          <w:color w:val="000000"/>
          <w:sz w:val="24"/>
          <w:szCs w:val="24"/>
          <w:lang w:val="zh-CN"/>
        </w:rPr>
        <w:t>)投标人拒不按照要求对投标文件进行澄清、说明、补正的。</w:t>
      </w:r>
    </w:p>
    <w:p w14:paraId="46586E3D">
      <w:pPr>
        <w:autoSpaceDE w:val="0"/>
        <w:autoSpaceDN w:val="0"/>
        <w:adjustRightInd w:val="0"/>
        <w:spacing w:line="440" w:lineRule="exact"/>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w:t>
      </w:r>
      <w:r>
        <w:rPr>
          <w:rFonts w:hint="eastAsia" w:ascii="宋体" w:hAnsi="宋体" w:cs="仿宋_GB2312"/>
          <w:color w:val="000000"/>
          <w:sz w:val="24"/>
          <w:szCs w:val="24"/>
        </w:rPr>
        <w:t>3</w:t>
      </w:r>
      <w:r>
        <w:rPr>
          <w:rFonts w:hint="eastAsia" w:ascii="宋体" w:hAnsi="宋体" w:cs="仿宋_GB2312"/>
          <w:color w:val="000000"/>
          <w:sz w:val="24"/>
          <w:szCs w:val="24"/>
          <w:lang w:val="zh-CN"/>
        </w:rPr>
        <w:t>)有一项及以上不满足符合性评审、资格评审、</w:t>
      </w:r>
      <w:r>
        <w:rPr>
          <w:rFonts w:hint="eastAsia" w:ascii="宋体" w:hAnsi="宋体" w:cs="仿宋_GB2312"/>
          <w:color w:val="000000"/>
          <w:sz w:val="24"/>
          <w:szCs w:val="24"/>
        </w:rPr>
        <w:t>响应性</w:t>
      </w:r>
      <w:r>
        <w:rPr>
          <w:rFonts w:hint="eastAsia" w:ascii="宋体" w:hAnsi="宋体" w:cs="仿宋_GB2312"/>
          <w:color w:val="000000"/>
          <w:sz w:val="24"/>
          <w:szCs w:val="24"/>
          <w:lang w:val="zh-CN"/>
        </w:rPr>
        <w:t>评审规定的。</w:t>
      </w:r>
    </w:p>
    <w:p w14:paraId="1D191C56">
      <w:pPr>
        <w:autoSpaceDE w:val="0"/>
        <w:autoSpaceDN w:val="0"/>
        <w:adjustRightInd w:val="0"/>
        <w:spacing w:line="440" w:lineRule="exact"/>
        <w:ind w:firstLine="480" w:firstLineChars="200"/>
        <w:rPr>
          <w:rFonts w:ascii="宋体" w:hAnsi="宋体"/>
          <w:sz w:val="24"/>
          <w:szCs w:val="24"/>
        </w:rPr>
      </w:pPr>
      <w:r>
        <w:rPr>
          <w:rFonts w:hint="eastAsia" w:ascii="宋体" w:hAnsi="宋体" w:cs="仿宋_GB2312"/>
          <w:color w:val="000000"/>
          <w:sz w:val="24"/>
          <w:szCs w:val="24"/>
          <w:lang w:val="zh-CN"/>
        </w:rPr>
        <w:t>(</w:t>
      </w:r>
      <w:r>
        <w:rPr>
          <w:rFonts w:hint="eastAsia" w:ascii="宋体" w:hAnsi="宋体" w:cs="仿宋_GB2312"/>
          <w:color w:val="000000"/>
          <w:sz w:val="24"/>
          <w:szCs w:val="24"/>
        </w:rPr>
        <w:t>4</w:t>
      </w:r>
      <w:r>
        <w:rPr>
          <w:rFonts w:hint="eastAsia" w:ascii="宋体" w:hAnsi="宋体" w:cs="仿宋_GB2312"/>
          <w:color w:val="000000"/>
          <w:sz w:val="24"/>
          <w:szCs w:val="24"/>
          <w:lang w:val="zh-CN"/>
        </w:rPr>
        <w:t>) 法律、法规规定的其它情形</w:t>
      </w:r>
      <w:r>
        <w:rPr>
          <w:rFonts w:ascii="宋体" w:hAnsi="宋体"/>
          <w:sz w:val="24"/>
          <w:szCs w:val="24"/>
        </w:rPr>
        <w:t>。</w:t>
      </w:r>
    </w:p>
    <w:bookmarkEnd w:id="132"/>
    <w:p w14:paraId="43496CC3">
      <w:pPr>
        <w:autoSpaceDE w:val="0"/>
        <w:autoSpaceDN w:val="0"/>
        <w:adjustRightInd w:val="0"/>
        <w:spacing w:line="440" w:lineRule="exact"/>
        <w:ind w:firstLine="482" w:firstLineChars="200"/>
        <w:rPr>
          <w:rFonts w:ascii="宋体" w:hAnsi="宋体" w:cs="仿宋_GB2312"/>
          <w:color w:val="000000"/>
          <w:szCs w:val="21"/>
          <w:lang w:val="zh-CN"/>
        </w:rPr>
      </w:pPr>
      <w:r>
        <w:rPr>
          <w:rFonts w:hint="eastAsia" w:ascii="宋体" w:hAnsi="宋体" w:cs="宋体"/>
          <w:b/>
          <w:sz w:val="24"/>
        </w:rPr>
        <w:t>24.</w:t>
      </w:r>
      <w:r>
        <w:rPr>
          <w:rFonts w:hint="eastAsia" w:ascii="宋体" w:hAnsi="宋体"/>
          <w:b/>
          <w:sz w:val="24"/>
          <w:lang w:val="zh-CN"/>
        </w:rPr>
        <w:t>评标委员会评审时出现以下情况之一的，取消本次招标：</w:t>
      </w:r>
    </w:p>
    <w:p w14:paraId="4BEDDEAE">
      <w:pPr>
        <w:autoSpaceDE w:val="0"/>
        <w:autoSpaceDN w:val="0"/>
        <w:adjustRightInd w:val="0"/>
        <w:spacing w:line="440" w:lineRule="exact"/>
        <w:ind w:left="313" w:leftChars="149" w:firstLine="105" w:firstLineChars="50"/>
        <w:rPr>
          <w:rFonts w:ascii="宋体" w:hAnsi="宋体" w:cs="仿宋_GB2312"/>
          <w:color w:val="000000"/>
          <w:sz w:val="24"/>
          <w:szCs w:val="24"/>
          <w:lang w:val="zh-CN"/>
        </w:rPr>
      </w:pPr>
      <w:r>
        <w:rPr>
          <w:rFonts w:hint="eastAsia" w:ascii="宋体" w:hAnsi="宋体" w:cs="仿宋_GB2312"/>
          <w:color w:val="000000"/>
          <w:szCs w:val="21"/>
          <w:lang w:val="zh-CN"/>
        </w:rPr>
        <w:t>（</w:t>
      </w:r>
      <w:r>
        <w:rPr>
          <w:rFonts w:hint="eastAsia" w:ascii="宋体" w:hAnsi="宋体" w:cs="仿宋_GB2312"/>
          <w:color w:val="000000"/>
          <w:sz w:val="24"/>
          <w:szCs w:val="24"/>
          <w:lang w:val="zh-CN"/>
        </w:rPr>
        <w:t>一）</w:t>
      </w:r>
      <w:r>
        <w:rPr>
          <w:rFonts w:hint="eastAsia" w:ascii="宋体" w:hAnsi="宋体" w:cs="仿宋_GB2312"/>
          <w:color w:val="000000"/>
          <w:sz w:val="24"/>
          <w:szCs w:val="24"/>
        </w:rPr>
        <w:t>开标</w:t>
      </w:r>
      <w:r>
        <w:rPr>
          <w:rFonts w:hint="eastAsia" w:ascii="宋体" w:hAnsi="宋体" w:cs="仿宋_GB2312"/>
          <w:color w:val="000000"/>
          <w:sz w:val="24"/>
          <w:szCs w:val="24"/>
          <w:lang w:val="zh-CN"/>
        </w:rPr>
        <w:t>不足三家的；</w:t>
      </w:r>
    </w:p>
    <w:p w14:paraId="05F33B9C">
      <w:pPr>
        <w:autoSpaceDE w:val="0"/>
        <w:autoSpaceDN w:val="0"/>
        <w:adjustRightInd w:val="0"/>
        <w:spacing w:line="440" w:lineRule="exact"/>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（二）出现影响采购公正的违法、违规行为的；</w:t>
      </w:r>
    </w:p>
    <w:p w14:paraId="195D56B2">
      <w:pPr>
        <w:autoSpaceDE w:val="0"/>
        <w:autoSpaceDN w:val="0"/>
        <w:adjustRightInd w:val="0"/>
        <w:spacing w:line="440" w:lineRule="exact"/>
        <w:ind w:firstLine="480" w:firstLineChars="200"/>
        <w:rPr>
          <w:rFonts w:ascii="宋体" w:hAnsi="宋体" w:cs="仿宋_GB2312"/>
          <w:color w:val="000000"/>
          <w:sz w:val="24"/>
          <w:szCs w:val="24"/>
          <w:lang w:val="zh-CN"/>
        </w:rPr>
      </w:pPr>
      <w:r>
        <w:rPr>
          <w:rFonts w:hint="eastAsia" w:ascii="宋体" w:hAnsi="宋体" w:cs="仿宋_GB2312"/>
          <w:color w:val="000000"/>
          <w:sz w:val="24"/>
          <w:szCs w:val="24"/>
          <w:lang w:val="zh-CN"/>
        </w:rPr>
        <w:t>（三）因重大变故，招标任务取消的。</w:t>
      </w:r>
    </w:p>
    <w:p w14:paraId="564CC4A4">
      <w:pPr>
        <w:spacing w:line="360" w:lineRule="auto"/>
        <w:ind w:firstLine="480" w:firstLineChars="200"/>
        <w:rPr>
          <w:rFonts w:ascii="宋体" w:hAnsi="宋体" w:cs="宋体"/>
          <w:sz w:val="24"/>
          <w:szCs w:val="24"/>
        </w:rPr>
      </w:pPr>
      <w:r>
        <w:rPr>
          <w:rFonts w:hint="eastAsia" w:ascii="宋体" w:hAnsi="宋体" w:cs="仿宋_GB2312"/>
          <w:color w:val="000000"/>
          <w:sz w:val="24"/>
          <w:szCs w:val="24"/>
          <w:lang w:val="zh-CN"/>
        </w:rPr>
        <w:t>以上除招标任务取消情形外，应当重新组织招标。</w:t>
      </w:r>
    </w:p>
    <w:bookmarkEnd w:id="128"/>
    <w:bookmarkEnd w:id="129"/>
    <w:bookmarkEnd w:id="130"/>
    <w:bookmarkEnd w:id="131"/>
    <w:p w14:paraId="40A2863B">
      <w:pPr>
        <w:pStyle w:val="6"/>
        <w:spacing w:line="240" w:lineRule="auto"/>
        <w:ind w:firstLine="628"/>
        <w:rPr>
          <w:rFonts w:hAnsi="宋体"/>
          <w:sz w:val="28"/>
        </w:rPr>
      </w:pPr>
      <w:bookmarkStart w:id="133" w:name="_Toc20671"/>
      <w:bookmarkStart w:id="134" w:name="_Toc13233"/>
      <w:bookmarkStart w:id="135" w:name="_Toc407096155"/>
      <w:bookmarkStart w:id="136" w:name="_Toc14934"/>
      <w:bookmarkStart w:id="137" w:name="_Toc516969091"/>
      <w:r>
        <w:rPr>
          <w:rFonts w:hint="eastAsia" w:hAnsi="宋体"/>
          <w:sz w:val="28"/>
        </w:rPr>
        <w:t>六．定标与签订合同</w:t>
      </w:r>
      <w:bookmarkEnd w:id="133"/>
      <w:bookmarkEnd w:id="134"/>
      <w:bookmarkEnd w:id="135"/>
      <w:bookmarkEnd w:id="136"/>
      <w:bookmarkEnd w:id="137"/>
    </w:p>
    <w:p w14:paraId="3385C04B">
      <w:pPr>
        <w:ind w:firstLine="549"/>
        <w:rPr>
          <w:rFonts w:ascii="宋体" w:hAnsi="宋体"/>
          <w:b/>
          <w:sz w:val="24"/>
        </w:rPr>
      </w:pPr>
      <w:r>
        <w:rPr>
          <w:rFonts w:hint="eastAsia" w:ascii="宋体" w:hAnsi="宋体"/>
          <w:b/>
          <w:sz w:val="24"/>
        </w:rPr>
        <w:t>25.定标</w:t>
      </w:r>
    </w:p>
    <w:p w14:paraId="1776C11F">
      <w:pPr>
        <w:spacing w:line="360" w:lineRule="auto"/>
        <w:ind w:firstLine="549"/>
        <w:rPr>
          <w:rFonts w:ascii="宋体" w:hAnsi="宋体"/>
          <w:sz w:val="24"/>
        </w:rPr>
      </w:pPr>
      <w:r>
        <w:rPr>
          <w:rFonts w:hint="eastAsia" w:ascii="宋体" w:hAnsi="宋体"/>
          <w:sz w:val="24"/>
        </w:rPr>
        <w:t>25</w:t>
      </w:r>
      <w:r>
        <w:rPr>
          <w:rFonts w:ascii="宋体" w:hAnsi="宋体"/>
          <w:sz w:val="24"/>
        </w:rPr>
        <w:t>.</w:t>
      </w:r>
      <w:r>
        <w:rPr>
          <w:rFonts w:hint="eastAsia" w:ascii="宋体" w:hAnsi="宋体"/>
          <w:sz w:val="24"/>
        </w:rPr>
        <w:t>1 投标有效性评审后，磋商小组应当按竞争性磋商文件规定的标准和方法提出独立评审意见，推荐中标候选人。</w:t>
      </w:r>
    </w:p>
    <w:p w14:paraId="3DBE6914">
      <w:pPr>
        <w:spacing w:line="360" w:lineRule="auto"/>
        <w:ind w:firstLine="549"/>
        <w:rPr>
          <w:rFonts w:ascii="宋体" w:hAnsi="宋体"/>
          <w:sz w:val="24"/>
        </w:rPr>
      </w:pPr>
      <w:r>
        <w:rPr>
          <w:rFonts w:hint="eastAsia" w:ascii="宋体" w:hAnsi="宋体"/>
          <w:sz w:val="24"/>
        </w:rPr>
        <w:t>25</w:t>
      </w:r>
      <w:r>
        <w:rPr>
          <w:rFonts w:ascii="宋体" w:hAnsi="宋体"/>
          <w:sz w:val="24"/>
        </w:rPr>
        <w:t>.</w:t>
      </w:r>
      <w:r>
        <w:rPr>
          <w:rFonts w:hint="eastAsia" w:ascii="宋体" w:hAnsi="宋体"/>
          <w:sz w:val="24"/>
        </w:rPr>
        <w:t>2 排名第一的中标候选人放弃中标、因不可抗力不能履行合同、不按照竞争性磋商文件要求提交履约保证金，或者被查实存在影响中标结果的违法行为等情形，不符合中标条件的，采购人可以按照谈判小组提出的中标候选人名单排序依次确定其他中标候选人为中标人，也可以重新采购。</w:t>
      </w:r>
    </w:p>
    <w:p w14:paraId="61ABB2A9">
      <w:pPr>
        <w:spacing w:line="360" w:lineRule="auto"/>
        <w:ind w:firstLine="549"/>
        <w:rPr>
          <w:rFonts w:ascii="宋体" w:hAnsi="宋体"/>
          <w:sz w:val="24"/>
        </w:rPr>
      </w:pPr>
      <w:r>
        <w:rPr>
          <w:rFonts w:hint="eastAsia" w:ascii="宋体" w:hAnsi="宋体"/>
          <w:sz w:val="24"/>
        </w:rPr>
        <w:t>25.3原则上把合同授予实质上响应竞争性磋商文件要求的排名最前的中标候选人。</w:t>
      </w:r>
    </w:p>
    <w:p w14:paraId="39BD52B2">
      <w:pPr>
        <w:spacing w:line="360" w:lineRule="auto"/>
        <w:ind w:firstLine="549"/>
        <w:rPr>
          <w:rFonts w:ascii="宋体" w:hAnsi="宋体"/>
          <w:sz w:val="24"/>
        </w:rPr>
      </w:pPr>
      <w:r>
        <w:rPr>
          <w:rFonts w:hint="eastAsia" w:ascii="宋体" w:hAnsi="宋体"/>
          <w:sz w:val="24"/>
        </w:rPr>
        <w:t>25.4 最高报价并不是被授予合同的保证。</w:t>
      </w:r>
    </w:p>
    <w:p w14:paraId="0D1A7EAC">
      <w:pPr>
        <w:spacing w:line="360" w:lineRule="auto"/>
        <w:ind w:firstLine="549"/>
        <w:rPr>
          <w:rFonts w:ascii="宋体" w:hAnsi="宋体"/>
          <w:sz w:val="24"/>
        </w:rPr>
      </w:pPr>
      <w:r>
        <w:rPr>
          <w:rFonts w:hint="eastAsia" w:ascii="宋体" w:hAnsi="宋体"/>
          <w:sz w:val="24"/>
        </w:rPr>
        <w:t>25.5 凡发现中标候选人有下列行为之一的，其中标无效，并移交政府采购监督管理部门依法处理：</w:t>
      </w:r>
    </w:p>
    <w:p w14:paraId="4F28776C">
      <w:pPr>
        <w:spacing w:line="360" w:lineRule="auto"/>
        <w:ind w:left="549"/>
        <w:rPr>
          <w:rFonts w:ascii="宋体" w:hAnsi="宋体"/>
          <w:sz w:val="24"/>
        </w:rPr>
      </w:pPr>
      <w:r>
        <w:rPr>
          <w:rFonts w:hint="eastAsia" w:ascii="宋体" w:hAnsi="宋体"/>
          <w:sz w:val="24"/>
        </w:rPr>
        <w:t>25.5.1 以他人名义投标、或提供虚假材料弄虚作假谋取中标的；</w:t>
      </w:r>
    </w:p>
    <w:p w14:paraId="4D2DDF8A">
      <w:pPr>
        <w:spacing w:line="360" w:lineRule="auto"/>
        <w:ind w:left="549"/>
        <w:rPr>
          <w:rFonts w:ascii="宋体" w:hAnsi="宋体"/>
          <w:sz w:val="24"/>
        </w:rPr>
      </w:pPr>
      <w:r>
        <w:rPr>
          <w:rFonts w:hint="eastAsia" w:ascii="宋体" w:hAnsi="宋体"/>
          <w:sz w:val="24"/>
        </w:rPr>
        <w:t>25.5.1.1以他人名义投标，是指使用通过受让或者租借等方式获取的资格、资质证书投标。</w:t>
      </w:r>
    </w:p>
    <w:p w14:paraId="40ACEB6B">
      <w:pPr>
        <w:spacing w:line="360" w:lineRule="auto"/>
        <w:ind w:left="549"/>
        <w:rPr>
          <w:rFonts w:ascii="宋体" w:hAnsi="宋体"/>
          <w:sz w:val="24"/>
        </w:rPr>
      </w:pPr>
      <w:r>
        <w:rPr>
          <w:rFonts w:hint="eastAsia" w:ascii="宋体" w:hAnsi="宋体"/>
          <w:sz w:val="24"/>
        </w:rPr>
        <w:t>25.5.1.2有供应商有下列情形之一的，属于弄虚作假的行为：</w:t>
      </w:r>
    </w:p>
    <w:p w14:paraId="2FA5E692">
      <w:pPr>
        <w:spacing w:line="360" w:lineRule="auto"/>
        <w:ind w:left="549"/>
        <w:rPr>
          <w:rFonts w:ascii="宋体" w:hAnsi="宋体"/>
          <w:sz w:val="24"/>
        </w:rPr>
      </w:pPr>
      <w:r>
        <w:rPr>
          <w:rFonts w:hint="eastAsia" w:ascii="宋体" w:hAnsi="宋体"/>
          <w:sz w:val="24"/>
        </w:rPr>
        <w:t>25.5.1.2.1使用伪造、变造的许可证件；</w:t>
      </w:r>
    </w:p>
    <w:p w14:paraId="69C2A7F9">
      <w:pPr>
        <w:spacing w:line="360" w:lineRule="auto"/>
        <w:ind w:left="549"/>
        <w:rPr>
          <w:rFonts w:ascii="宋体" w:hAnsi="宋体"/>
          <w:sz w:val="24"/>
        </w:rPr>
      </w:pPr>
      <w:r>
        <w:rPr>
          <w:rFonts w:hint="eastAsia" w:ascii="宋体" w:hAnsi="宋体"/>
          <w:sz w:val="24"/>
        </w:rPr>
        <w:t>25.5.1.2.2提供虚假的财务状况或者业绩；</w:t>
      </w:r>
    </w:p>
    <w:p w14:paraId="37A91E31">
      <w:pPr>
        <w:spacing w:line="360" w:lineRule="auto"/>
        <w:ind w:left="549"/>
        <w:rPr>
          <w:rFonts w:ascii="宋体" w:hAnsi="宋体"/>
          <w:sz w:val="24"/>
        </w:rPr>
      </w:pPr>
      <w:r>
        <w:rPr>
          <w:rFonts w:hint="eastAsia" w:ascii="宋体" w:hAnsi="宋体"/>
          <w:sz w:val="24"/>
        </w:rPr>
        <w:t>25.5.1.2.3提供虚假的人员简历、劳动关系证明；</w:t>
      </w:r>
    </w:p>
    <w:p w14:paraId="22E61B07">
      <w:pPr>
        <w:spacing w:line="360" w:lineRule="auto"/>
        <w:ind w:left="549"/>
        <w:rPr>
          <w:rFonts w:ascii="宋体" w:hAnsi="宋体"/>
          <w:sz w:val="24"/>
        </w:rPr>
      </w:pPr>
      <w:r>
        <w:rPr>
          <w:rFonts w:hint="eastAsia" w:ascii="宋体" w:hAnsi="宋体"/>
          <w:sz w:val="24"/>
        </w:rPr>
        <w:t>25.5.1.2.4提供虚假的信用状况；</w:t>
      </w:r>
    </w:p>
    <w:p w14:paraId="45E5C215">
      <w:pPr>
        <w:spacing w:line="360" w:lineRule="auto"/>
        <w:ind w:left="549"/>
        <w:rPr>
          <w:rFonts w:ascii="宋体" w:hAnsi="宋体"/>
          <w:sz w:val="24"/>
        </w:rPr>
      </w:pPr>
      <w:r>
        <w:rPr>
          <w:rFonts w:hint="eastAsia" w:ascii="宋体" w:hAnsi="宋体"/>
          <w:sz w:val="24"/>
        </w:rPr>
        <w:t>25.5.1.2.5其他弄虚作假的行为。</w:t>
      </w:r>
    </w:p>
    <w:p w14:paraId="78811547">
      <w:pPr>
        <w:spacing w:line="360" w:lineRule="auto"/>
        <w:ind w:left="549"/>
        <w:rPr>
          <w:rFonts w:ascii="宋体" w:hAnsi="宋体"/>
          <w:sz w:val="24"/>
        </w:rPr>
      </w:pPr>
      <w:r>
        <w:rPr>
          <w:rFonts w:hint="eastAsia" w:ascii="宋体" w:hAnsi="宋体"/>
          <w:sz w:val="24"/>
        </w:rPr>
        <w:t>25.5.2与采购人、其他供应商或者采购人工作人员恶意串通的；</w:t>
      </w:r>
    </w:p>
    <w:p w14:paraId="319D81E5">
      <w:pPr>
        <w:spacing w:line="360" w:lineRule="auto"/>
        <w:ind w:left="549"/>
        <w:rPr>
          <w:rFonts w:ascii="宋体" w:hAnsi="宋体"/>
          <w:sz w:val="24"/>
        </w:rPr>
      </w:pPr>
      <w:r>
        <w:rPr>
          <w:rFonts w:hint="eastAsia" w:ascii="宋体" w:hAnsi="宋体"/>
          <w:sz w:val="24"/>
        </w:rPr>
        <w:t>25.5.3向采购人、评审专家、采购人工作人员行贿或者提供其他不正当利益的；</w:t>
      </w:r>
    </w:p>
    <w:p w14:paraId="45D9BAFD">
      <w:pPr>
        <w:spacing w:line="360" w:lineRule="auto"/>
        <w:ind w:firstLine="549"/>
        <w:rPr>
          <w:rFonts w:ascii="宋体" w:hAnsi="宋体"/>
          <w:sz w:val="24"/>
        </w:rPr>
      </w:pPr>
      <w:r>
        <w:rPr>
          <w:rFonts w:hint="eastAsia" w:ascii="宋体" w:hAnsi="宋体"/>
          <w:sz w:val="24"/>
        </w:rPr>
        <w:t>25.5.4有法律、法规规定的其他损害采购人利益和社会公共利益情形的；</w:t>
      </w:r>
    </w:p>
    <w:p w14:paraId="77054790">
      <w:pPr>
        <w:spacing w:line="360" w:lineRule="auto"/>
        <w:ind w:firstLine="549"/>
        <w:rPr>
          <w:rFonts w:ascii="宋体" w:hAnsi="宋体"/>
          <w:sz w:val="24"/>
        </w:rPr>
      </w:pPr>
      <w:r>
        <w:rPr>
          <w:rFonts w:hint="eastAsia" w:ascii="宋体" w:hAnsi="宋体"/>
          <w:sz w:val="24"/>
        </w:rPr>
        <w:t>25.5.5其他违反招投标法律、法规和规章强制性规定的行为。</w:t>
      </w:r>
    </w:p>
    <w:p w14:paraId="16103547">
      <w:pPr>
        <w:spacing w:line="360" w:lineRule="auto"/>
        <w:ind w:firstLine="549"/>
        <w:rPr>
          <w:rFonts w:ascii="宋体" w:hAnsi="宋体"/>
          <w:sz w:val="24"/>
        </w:rPr>
      </w:pPr>
      <w:r>
        <w:rPr>
          <w:rFonts w:hint="eastAsia" w:ascii="宋体" w:hAnsi="宋体"/>
          <w:sz w:val="24"/>
        </w:rPr>
        <w:t>25.6采购人将在发布公告的媒体上发布评审结果公告，公告时间为一个工作日。</w:t>
      </w:r>
    </w:p>
    <w:p w14:paraId="39422E18">
      <w:pPr>
        <w:spacing w:line="360" w:lineRule="auto"/>
        <w:ind w:firstLine="549"/>
        <w:rPr>
          <w:rFonts w:ascii="宋体" w:hAnsi="宋体"/>
          <w:b/>
          <w:sz w:val="24"/>
        </w:rPr>
      </w:pPr>
      <w:r>
        <w:rPr>
          <w:rFonts w:hint="eastAsia" w:ascii="宋体" w:hAnsi="宋体"/>
          <w:b/>
          <w:sz w:val="24"/>
        </w:rPr>
        <w:t>26.中标通知书</w:t>
      </w:r>
    </w:p>
    <w:p w14:paraId="02F323B5">
      <w:pPr>
        <w:spacing w:line="360" w:lineRule="auto"/>
        <w:ind w:firstLine="549"/>
        <w:rPr>
          <w:rFonts w:ascii="宋体" w:hAnsi="宋体"/>
          <w:sz w:val="24"/>
        </w:rPr>
      </w:pPr>
      <w:r>
        <w:rPr>
          <w:rFonts w:hint="eastAsia" w:ascii="宋体" w:hAnsi="宋体"/>
          <w:sz w:val="24"/>
        </w:rPr>
        <w:t>26</w:t>
      </w:r>
      <w:r>
        <w:rPr>
          <w:rFonts w:ascii="宋体" w:hAnsi="宋体"/>
          <w:sz w:val="24"/>
        </w:rPr>
        <w:t>.1</w:t>
      </w:r>
      <w:r>
        <w:rPr>
          <w:rFonts w:hint="eastAsia" w:ascii="宋体" w:hAnsi="宋体"/>
          <w:sz w:val="24"/>
        </w:rPr>
        <w:t>采购人将以中标通知书形式通知中标人，其投标已被接受。</w:t>
      </w:r>
    </w:p>
    <w:p w14:paraId="3A36A499">
      <w:pPr>
        <w:spacing w:line="360" w:lineRule="auto"/>
        <w:ind w:firstLine="549"/>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2采购人对未中标的供应商不做未中标原因的解释。</w:t>
      </w:r>
    </w:p>
    <w:p w14:paraId="751B452E">
      <w:pPr>
        <w:spacing w:line="360" w:lineRule="auto"/>
        <w:ind w:firstLine="549"/>
        <w:rPr>
          <w:rFonts w:ascii="宋体" w:hAnsi="宋体"/>
          <w:b/>
          <w:sz w:val="24"/>
        </w:rPr>
      </w:pPr>
      <w:r>
        <w:rPr>
          <w:rFonts w:hint="eastAsia" w:ascii="宋体" w:hAnsi="宋体"/>
          <w:b/>
          <w:sz w:val="24"/>
        </w:rPr>
        <w:t>27.中标服务费</w:t>
      </w:r>
    </w:p>
    <w:p w14:paraId="23498BD8">
      <w:pPr>
        <w:spacing w:line="360" w:lineRule="auto"/>
        <w:ind w:firstLine="549"/>
        <w:rPr>
          <w:rFonts w:ascii="Verdana" w:hAnsi="Verdana"/>
          <w:sz w:val="18"/>
          <w:szCs w:val="18"/>
        </w:rPr>
      </w:pPr>
      <w:r>
        <w:rPr>
          <w:rFonts w:hint="eastAsia" w:ascii="宋体" w:hAnsi="宋体"/>
          <w:sz w:val="24"/>
        </w:rPr>
        <w:t>27.1</w:t>
      </w:r>
      <w:r>
        <w:rPr>
          <w:rFonts w:ascii="宋体" w:hAnsi="宋体"/>
          <w:sz w:val="24"/>
        </w:rPr>
        <w:t>中标人在</w:t>
      </w:r>
      <w:r>
        <w:rPr>
          <w:rFonts w:hint="eastAsia" w:ascii="宋体" w:hAnsi="宋体"/>
          <w:sz w:val="24"/>
        </w:rPr>
        <w:t>领取</w:t>
      </w:r>
      <w:r>
        <w:rPr>
          <w:rFonts w:ascii="宋体" w:hAnsi="宋体"/>
          <w:sz w:val="24"/>
        </w:rPr>
        <w:t>中标通知书</w:t>
      </w:r>
      <w:r>
        <w:rPr>
          <w:rFonts w:hint="eastAsia" w:ascii="宋体" w:hAnsi="宋体"/>
          <w:sz w:val="24"/>
        </w:rPr>
        <w:t>前</w:t>
      </w:r>
      <w:r>
        <w:rPr>
          <w:rFonts w:ascii="宋体" w:hAnsi="宋体"/>
          <w:sz w:val="24"/>
        </w:rPr>
        <w:t>向</w:t>
      </w:r>
      <w:r>
        <w:rPr>
          <w:rFonts w:hint="eastAsia" w:ascii="宋体" w:hAnsi="宋体"/>
          <w:sz w:val="24"/>
        </w:rPr>
        <w:t>招标代理机构</w:t>
      </w:r>
      <w:r>
        <w:rPr>
          <w:rFonts w:ascii="宋体" w:hAnsi="宋体"/>
          <w:sz w:val="24"/>
        </w:rPr>
        <w:t>缴纳中标服务费，可以</w:t>
      </w:r>
      <w:r>
        <w:rPr>
          <w:rFonts w:hint="eastAsia" w:ascii="宋体" w:hAnsi="宋体"/>
          <w:sz w:val="24"/>
        </w:rPr>
        <w:t>现金或转账</w:t>
      </w:r>
      <w:r>
        <w:rPr>
          <w:rFonts w:ascii="宋体" w:hAnsi="宋体"/>
          <w:sz w:val="24"/>
        </w:rPr>
        <w:t>的形式缴纳。中标服务费的收取</w:t>
      </w:r>
      <w:r>
        <w:rPr>
          <w:rFonts w:hint="eastAsia" w:ascii="宋体" w:hAnsi="宋体"/>
          <w:sz w:val="24"/>
        </w:rPr>
        <w:t>方式</w:t>
      </w:r>
      <w:r>
        <w:rPr>
          <w:rFonts w:ascii="宋体" w:hAnsi="宋体"/>
          <w:sz w:val="24"/>
        </w:rPr>
        <w:t>具体收费标准</w:t>
      </w:r>
      <w:r>
        <w:rPr>
          <w:rFonts w:hint="eastAsia" w:ascii="宋体" w:hAnsi="宋体"/>
          <w:sz w:val="24"/>
        </w:rPr>
        <w:t>按代理合同规定收取。</w:t>
      </w:r>
    </w:p>
    <w:p w14:paraId="159183DC">
      <w:pPr>
        <w:spacing w:line="360" w:lineRule="auto"/>
        <w:ind w:firstLine="549"/>
        <w:rPr>
          <w:rFonts w:ascii="宋体" w:hAnsi="宋体"/>
          <w:sz w:val="24"/>
        </w:rPr>
      </w:pPr>
      <w:r>
        <w:rPr>
          <w:rFonts w:hint="eastAsia" w:ascii="宋体" w:hAnsi="宋体"/>
          <w:sz w:val="24"/>
        </w:rPr>
        <w:t>27.2如果中标人未按照上条规定交纳中标服务费，采购人有权取消该授标，其投标保证金不予退还。在此情况下采购人可将该标授予其下一个中标候选人，或重新采购。</w:t>
      </w:r>
    </w:p>
    <w:p w14:paraId="4E038BBF">
      <w:pPr>
        <w:spacing w:line="360" w:lineRule="auto"/>
        <w:ind w:firstLine="549"/>
        <w:rPr>
          <w:rFonts w:ascii="宋体" w:hAnsi="宋体"/>
          <w:b/>
          <w:sz w:val="24"/>
        </w:rPr>
      </w:pPr>
      <w:r>
        <w:rPr>
          <w:rFonts w:hint="eastAsia" w:ascii="宋体" w:hAnsi="宋体"/>
          <w:b/>
          <w:sz w:val="24"/>
        </w:rPr>
        <w:t>28.履约保证金</w:t>
      </w:r>
    </w:p>
    <w:p w14:paraId="1BCFCFD6">
      <w:pPr>
        <w:spacing w:line="360" w:lineRule="auto"/>
        <w:ind w:firstLine="549"/>
        <w:rPr>
          <w:rFonts w:ascii="宋体" w:hAnsi="宋体"/>
          <w:sz w:val="24"/>
        </w:rPr>
      </w:pPr>
      <w:r>
        <w:rPr>
          <w:rFonts w:hint="eastAsia" w:ascii="宋体" w:hAnsi="宋体"/>
          <w:sz w:val="24"/>
        </w:rPr>
        <w:t>28</w:t>
      </w:r>
      <w:r>
        <w:rPr>
          <w:rFonts w:ascii="宋体" w:hAnsi="宋体"/>
          <w:sz w:val="24"/>
        </w:rPr>
        <w:t>.1</w:t>
      </w:r>
      <w:r>
        <w:rPr>
          <w:rFonts w:hint="eastAsia" w:ascii="宋体" w:hAnsi="宋体"/>
          <w:sz w:val="24"/>
        </w:rPr>
        <w:t>签订合同前，中标人应提交履约保证金。履约保证金金额、收受方式及收受人见供应商须知前附表规定。</w:t>
      </w:r>
    </w:p>
    <w:p w14:paraId="34C74C41">
      <w:pPr>
        <w:spacing w:line="360" w:lineRule="auto"/>
        <w:ind w:firstLine="549"/>
        <w:rPr>
          <w:rFonts w:ascii="宋体" w:hAnsi="宋体"/>
          <w:sz w:val="24"/>
        </w:rPr>
      </w:pPr>
      <w:r>
        <w:rPr>
          <w:rFonts w:hint="eastAsia" w:ascii="宋体" w:hAnsi="宋体"/>
          <w:sz w:val="24"/>
        </w:rPr>
        <w:t>28.2供应商须知前附表约定收取定额履约保证金或免收履约保证金的，从其规定。</w:t>
      </w:r>
    </w:p>
    <w:p w14:paraId="71F0319C">
      <w:pPr>
        <w:spacing w:line="360" w:lineRule="auto"/>
        <w:ind w:firstLine="549"/>
        <w:rPr>
          <w:rFonts w:ascii="宋体" w:hAnsi="宋体"/>
          <w:sz w:val="24"/>
        </w:rPr>
      </w:pPr>
      <w:r>
        <w:rPr>
          <w:rFonts w:hint="eastAsia" w:ascii="宋体" w:hAnsi="宋体"/>
          <w:sz w:val="24"/>
        </w:rPr>
        <w:t>28</w:t>
      </w:r>
      <w:r>
        <w:rPr>
          <w:rFonts w:ascii="宋体" w:hAnsi="宋体"/>
          <w:sz w:val="24"/>
        </w:rPr>
        <w:t>.</w:t>
      </w:r>
      <w:r>
        <w:rPr>
          <w:rFonts w:hint="eastAsia" w:ascii="宋体" w:hAnsi="宋体"/>
          <w:sz w:val="24"/>
        </w:rPr>
        <w:t>3如果中标人未按规定交纳履约保证金，采购人有权取消该授标，并没收其投标保证金。在此情况下采购人可将该标授予其下一个中标候选人，或重新采购。</w:t>
      </w:r>
    </w:p>
    <w:p w14:paraId="4B3434EF">
      <w:pPr>
        <w:spacing w:line="360" w:lineRule="auto"/>
        <w:ind w:firstLine="549"/>
        <w:rPr>
          <w:rFonts w:ascii="宋体" w:hAnsi="宋体"/>
          <w:b/>
          <w:sz w:val="24"/>
        </w:rPr>
      </w:pPr>
      <w:r>
        <w:rPr>
          <w:rFonts w:hint="eastAsia" w:ascii="宋体" w:hAnsi="宋体"/>
          <w:b/>
          <w:sz w:val="24"/>
        </w:rPr>
        <w:t>29.签订合同</w:t>
      </w:r>
    </w:p>
    <w:p w14:paraId="20FA7989">
      <w:pPr>
        <w:spacing w:line="360" w:lineRule="auto"/>
        <w:ind w:firstLine="549"/>
        <w:rPr>
          <w:rFonts w:ascii="宋体" w:hAnsi="宋体"/>
          <w:sz w:val="24"/>
        </w:rPr>
      </w:pPr>
      <w:r>
        <w:rPr>
          <w:rFonts w:hint="eastAsia" w:ascii="宋体" w:hAnsi="宋体"/>
          <w:sz w:val="24"/>
        </w:rPr>
        <w:t>29.1中标人应在中标通知书发出之日起7个工作日内（具体时间、地点见中标通知书）与采购人签订合同。竞争性磋商文件、中标人的投标响应文件及澄清文件等，均作为合同的附件。合同签订前中标人应向采购人出示中标服务费和履约保证金缴纳证明。中标人无正当理由拒签合同的，采购人取消其中标资格，其投标保证金不予退还；给采购人超过的损失超过投标保证金数额的，中标人还应当对超过部分予以赔偿。</w:t>
      </w:r>
    </w:p>
    <w:p w14:paraId="4EFD2424">
      <w:pPr>
        <w:spacing w:line="360" w:lineRule="auto"/>
        <w:ind w:firstLine="549"/>
        <w:rPr>
          <w:rFonts w:ascii="宋体" w:hAnsi="宋体"/>
          <w:sz w:val="24"/>
        </w:rPr>
      </w:pPr>
      <w:r>
        <w:rPr>
          <w:rFonts w:hint="eastAsia" w:ascii="宋体" w:hAnsi="宋体"/>
          <w:sz w:val="24"/>
        </w:rPr>
        <w:t>29.2 采购双方必须严格按照竞争性磋商文件、投标响应文件及有关承诺签订采购合同，不得擅自变更。合同的标的、价款、质量、履行期限等主要条款应当与竞争性磋商文件和中标人的投标响应文件的内容一致，采购人和中标人不得再行订立背离合同实质性内容的其他协议。对任何因双方擅自变更合同引起的问题采购人概不负责，合同风险由双方自行承担。</w:t>
      </w:r>
    </w:p>
    <w:p w14:paraId="460814A9">
      <w:pPr>
        <w:spacing w:line="360" w:lineRule="auto"/>
        <w:ind w:firstLine="480" w:firstLineChars="200"/>
      </w:pPr>
      <w:r>
        <w:rPr>
          <w:rFonts w:hint="eastAsia" w:ascii="宋体" w:hAnsi="宋体"/>
          <w:sz w:val="24"/>
        </w:rPr>
        <w:t>29.3采购人保留以书面形式要求合同的卖方对其所投服务细则等作适当调整权利。</w:t>
      </w:r>
    </w:p>
    <w:p w14:paraId="649DF663">
      <w:pPr>
        <w:spacing w:line="360" w:lineRule="auto"/>
        <w:ind w:firstLine="523" w:firstLineChars="218"/>
        <w:rPr>
          <w:rFonts w:ascii="宋体" w:hAnsi="宋体"/>
          <w:bCs/>
          <w:sz w:val="24"/>
        </w:rPr>
      </w:pPr>
      <w:r>
        <w:rPr>
          <w:rFonts w:hint="eastAsia" w:ascii="宋体" w:hAnsi="宋体"/>
          <w:sz w:val="24"/>
        </w:rPr>
        <w:t>29.4</w:t>
      </w:r>
      <w:r>
        <w:rPr>
          <w:rFonts w:hint="eastAsia" w:ascii="宋体" w:hAnsi="宋体"/>
          <w:bCs/>
          <w:sz w:val="24"/>
        </w:rPr>
        <w:t>无论基于何种原因，各项本应作拒绝处理的情形即便未被及时发现而使该供应商进入初审、详细评审或其它后续程序，包括已经签约的情形，一旦在任何时间被发现，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由该供应商自行承担。</w:t>
      </w:r>
    </w:p>
    <w:p w14:paraId="0680D237">
      <w:pPr>
        <w:spacing w:line="360" w:lineRule="auto"/>
        <w:ind w:firstLine="549"/>
        <w:rPr>
          <w:rFonts w:ascii="宋体" w:hAnsi="宋体"/>
          <w:b/>
          <w:sz w:val="24"/>
        </w:rPr>
      </w:pPr>
      <w:r>
        <w:rPr>
          <w:rFonts w:hint="eastAsia" w:ascii="宋体" w:hAnsi="宋体"/>
          <w:b/>
          <w:sz w:val="24"/>
        </w:rPr>
        <w:t>30. 异议、投诉</w:t>
      </w:r>
    </w:p>
    <w:p w14:paraId="3E904A5B">
      <w:pPr>
        <w:spacing w:line="360" w:lineRule="auto"/>
        <w:ind w:firstLine="549"/>
        <w:rPr>
          <w:rFonts w:ascii="宋体" w:hAnsi="宋体"/>
          <w:sz w:val="24"/>
        </w:rPr>
      </w:pPr>
      <w:r>
        <w:rPr>
          <w:rFonts w:hint="eastAsia" w:ascii="宋体" w:hAnsi="宋体"/>
          <w:sz w:val="24"/>
        </w:rPr>
        <w:t xml:space="preserve">30.1投标人认为招标过程、中标结果使自己的合法权益受到损害的，应当在规定的时间内，由投标人授权代表（或法定代表人）携带身份证明材料，以书面形式提出异议，逾期不予受理。投标人异议应当符合下列条件: </w:t>
      </w:r>
    </w:p>
    <w:p w14:paraId="08E3E5D2">
      <w:pPr>
        <w:spacing w:line="360" w:lineRule="auto"/>
        <w:ind w:firstLine="549"/>
        <w:rPr>
          <w:rFonts w:ascii="宋体" w:hAnsi="宋体"/>
          <w:sz w:val="24"/>
        </w:rPr>
      </w:pPr>
      <w:r>
        <w:rPr>
          <w:rFonts w:hint="eastAsia" w:ascii="宋体" w:hAnsi="宋体"/>
          <w:sz w:val="24"/>
        </w:rPr>
        <w:t xml:space="preserve">(1)必须是参与该异议招标项目活动的投标人; </w:t>
      </w:r>
    </w:p>
    <w:p w14:paraId="78E062EA">
      <w:pPr>
        <w:spacing w:line="360" w:lineRule="auto"/>
        <w:ind w:firstLine="549"/>
        <w:rPr>
          <w:rFonts w:ascii="宋体" w:hAnsi="宋体"/>
          <w:sz w:val="24"/>
        </w:rPr>
      </w:pPr>
      <w:r>
        <w:rPr>
          <w:rFonts w:hint="eastAsia" w:ascii="宋体" w:hAnsi="宋体"/>
          <w:sz w:val="24"/>
        </w:rPr>
        <w:t xml:space="preserve">(2)在异议有效期内提出的异议; </w:t>
      </w:r>
    </w:p>
    <w:p w14:paraId="0F89A475">
      <w:pPr>
        <w:spacing w:line="360" w:lineRule="auto"/>
        <w:ind w:firstLine="549"/>
        <w:rPr>
          <w:rFonts w:ascii="宋体" w:hAnsi="宋体"/>
          <w:sz w:val="24"/>
        </w:rPr>
      </w:pPr>
      <w:r>
        <w:rPr>
          <w:rFonts w:hint="eastAsia" w:ascii="宋体" w:hAnsi="宋体"/>
          <w:sz w:val="24"/>
        </w:rPr>
        <w:t xml:space="preserve">(3)公共资源交易监督管理部门规定的其他条件。 </w:t>
      </w:r>
    </w:p>
    <w:p w14:paraId="6D5A922B">
      <w:pPr>
        <w:spacing w:line="360" w:lineRule="auto"/>
        <w:ind w:firstLine="549"/>
        <w:rPr>
          <w:rFonts w:ascii="宋体" w:hAnsi="宋体"/>
          <w:sz w:val="24"/>
        </w:rPr>
      </w:pPr>
      <w:r>
        <w:rPr>
          <w:rFonts w:hint="eastAsia" w:ascii="宋体" w:hAnsi="宋体"/>
          <w:sz w:val="24"/>
        </w:rPr>
        <w:t>30.2投标人提出异议，应当采取书面形式，在法定时间内向采购人或者招标代理机构提交异议。异议应当包括下列内容，并提供有关证明资料：</w:t>
      </w:r>
    </w:p>
    <w:p w14:paraId="0399ED1B">
      <w:pPr>
        <w:spacing w:line="360" w:lineRule="auto"/>
        <w:ind w:firstLine="549"/>
        <w:rPr>
          <w:rFonts w:ascii="宋体" w:hAnsi="宋体"/>
          <w:sz w:val="24"/>
        </w:rPr>
      </w:pPr>
      <w:r>
        <w:rPr>
          <w:rFonts w:hint="eastAsia" w:ascii="宋体" w:hAnsi="宋体"/>
          <w:sz w:val="24"/>
        </w:rPr>
        <w:t xml:space="preserve">(1)被异议人的名称、地址、电话、邮编; </w:t>
      </w:r>
    </w:p>
    <w:p w14:paraId="51826896">
      <w:pPr>
        <w:spacing w:line="360" w:lineRule="auto"/>
        <w:ind w:firstLine="549"/>
        <w:rPr>
          <w:rFonts w:ascii="宋体" w:hAnsi="宋体"/>
          <w:sz w:val="24"/>
        </w:rPr>
      </w:pPr>
      <w:r>
        <w:rPr>
          <w:rFonts w:hint="eastAsia" w:ascii="宋体" w:hAnsi="宋体"/>
          <w:sz w:val="24"/>
        </w:rPr>
        <w:t xml:space="preserve">(2)招标项目名称、项目编号及标段; </w:t>
      </w:r>
    </w:p>
    <w:p w14:paraId="02606877">
      <w:pPr>
        <w:spacing w:line="360" w:lineRule="auto"/>
        <w:ind w:firstLine="549"/>
        <w:rPr>
          <w:rFonts w:ascii="宋体" w:hAnsi="宋体"/>
          <w:sz w:val="24"/>
        </w:rPr>
      </w:pPr>
      <w:r>
        <w:rPr>
          <w:rFonts w:hint="eastAsia" w:ascii="宋体" w:hAnsi="宋体"/>
          <w:sz w:val="24"/>
        </w:rPr>
        <w:t xml:space="preserve">(3)具体的异议事项和事实; </w:t>
      </w:r>
    </w:p>
    <w:p w14:paraId="7F7C1A17">
      <w:pPr>
        <w:spacing w:line="360" w:lineRule="auto"/>
        <w:ind w:firstLine="549"/>
        <w:rPr>
          <w:rFonts w:ascii="宋体" w:hAnsi="宋体"/>
          <w:sz w:val="24"/>
        </w:rPr>
      </w:pPr>
      <w:r>
        <w:rPr>
          <w:rFonts w:hint="eastAsia" w:ascii="宋体" w:hAnsi="宋体"/>
          <w:sz w:val="24"/>
        </w:rPr>
        <w:t xml:space="preserve">(4)提起异议的投标人名称、地址、联系方式; </w:t>
      </w:r>
    </w:p>
    <w:p w14:paraId="223B2F47">
      <w:pPr>
        <w:spacing w:line="360" w:lineRule="auto"/>
        <w:ind w:firstLine="549"/>
        <w:rPr>
          <w:rFonts w:ascii="宋体" w:hAnsi="宋体"/>
          <w:sz w:val="24"/>
        </w:rPr>
      </w:pPr>
      <w:r>
        <w:rPr>
          <w:rFonts w:hint="eastAsia" w:ascii="宋体" w:hAnsi="宋体"/>
          <w:sz w:val="24"/>
        </w:rPr>
        <w:t xml:space="preserve">(5)异议的日期; </w:t>
      </w:r>
    </w:p>
    <w:p w14:paraId="1D6AE183">
      <w:pPr>
        <w:spacing w:line="360" w:lineRule="auto"/>
        <w:ind w:firstLine="549"/>
        <w:rPr>
          <w:rFonts w:ascii="宋体" w:hAnsi="宋体"/>
          <w:sz w:val="24"/>
        </w:rPr>
      </w:pPr>
      <w:r>
        <w:rPr>
          <w:rFonts w:hint="eastAsia" w:ascii="宋体" w:hAnsi="宋体"/>
          <w:sz w:val="24"/>
        </w:rPr>
        <w:t>(6)提起异议的投标人为法人或其他组织的，应当由法定代表人或其委托代理人签字，并加盖公章。</w:t>
      </w:r>
    </w:p>
    <w:p w14:paraId="2687B76B">
      <w:pPr>
        <w:spacing w:line="360" w:lineRule="auto"/>
        <w:ind w:firstLine="549"/>
        <w:rPr>
          <w:rFonts w:ascii="宋体" w:hAnsi="宋体"/>
          <w:sz w:val="24"/>
        </w:rPr>
      </w:pPr>
      <w:r>
        <w:rPr>
          <w:rFonts w:hint="eastAsia" w:ascii="宋体" w:hAnsi="宋体"/>
          <w:sz w:val="24"/>
        </w:rPr>
        <w:t>30.3投诉人有下列情形之一的，属于虚假、恶意投诉，招投标监督管理部门将驳回投诉，将其列入不良行为记录名单，并依法予以处罚：</w:t>
      </w:r>
    </w:p>
    <w:p w14:paraId="4F41FB60">
      <w:pPr>
        <w:spacing w:line="360" w:lineRule="auto"/>
        <w:ind w:firstLine="549"/>
        <w:rPr>
          <w:rFonts w:ascii="宋体" w:hAnsi="宋体"/>
          <w:b/>
          <w:sz w:val="24"/>
        </w:rPr>
      </w:pPr>
      <w:r>
        <w:rPr>
          <w:rFonts w:hint="eastAsia" w:ascii="宋体" w:hAnsi="宋体"/>
          <w:sz w:val="24"/>
        </w:rPr>
        <w:t>一年内三次以上投诉均查无实据的；捏造事实或者提供虚假投诉材料的；其他经认定属于虚假、恶意投诉的行为。</w:t>
      </w:r>
    </w:p>
    <w:p w14:paraId="0F0DAAE2">
      <w:pPr>
        <w:spacing w:line="360" w:lineRule="auto"/>
        <w:ind w:firstLine="549"/>
        <w:rPr>
          <w:rFonts w:ascii="宋体" w:hAnsi="宋体"/>
          <w:b/>
          <w:sz w:val="24"/>
        </w:rPr>
      </w:pPr>
      <w:r>
        <w:rPr>
          <w:rFonts w:hint="eastAsia" w:ascii="宋体" w:hAnsi="宋体"/>
          <w:b/>
          <w:sz w:val="24"/>
        </w:rPr>
        <w:t>31.未尽事宜</w:t>
      </w:r>
    </w:p>
    <w:p w14:paraId="5B53201E">
      <w:pPr>
        <w:spacing w:line="360" w:lineRule="auto"/>
        <w:ind w:firstLine="549"/>
        <w:rPr>
          <w:rFonts w:ascii="宋体" w:hAnsi="宋体"/>
          <w:sz w:val="24"/>
        </w:rPr>
      </w:pPr>
      <w:r>
        <w:rPr>
          <w:rFonts w:hint="eastAsia" w:ascii="宋体" w:hAnsi="宋体"/>
          <w:sz w:val="24"/>
        </w:rPr>
        <w:t>31.1按《中华人民共和国政府采购法》及其他有关法律法规的规定执行。</w:t>
      </w:r>
    </w:p>
    <w:p w14:paraId="5221478A">
      <w:pPr>
        <w:ind w:firstLine="549"/>
        <w:rPr>
          <w:rFonts w:ascii="宋体" w:hAnsi="宋体"/>
          <w:bCs/>
          <w:sz w:val="24"/>
        </w:rPr>
      </w:pPr>
      <w:r>
        <w:rPr>
          <w:rFonts w:hint="eastAsia" w:ascii="宋体" w:hAnsi="宋体"/>
          <w:b/>
          <w:sz w:val="24"/>
        </w:rPr>
        <w:t>32.解释权</w:t>
      </w:r>
    </w:p>
    <w:p w14:paraId="2A6EC6B0">
      <w:pPr>
        <w:spacing w:line="360" w:lineRule="atLeast"/>
        <w:ind w:firstLine="480" w:firstLineChars="200"/>
      </w:pPr>
      <w:bookmarkStart w:id="138" w:name="_Toc8474"/>
      <w:r>
        <w:rPr>
          <w:rFonts w:hint="eastAsia" w:ascii="宋体" w:hAnsi="宋体"/>
          <w:bCs/>
          <w:sz w:val="24"/>
        </w:rPr>
        <w:t>32.1本竞争性磋商文件的解释权属于采购人。</w:t>
      </w:r>
      <w:bookmarkEnd w:id="138"/>
    </w:p>
    <w:p w14:paraId="77463B53"/>
    <w:bookmarkEnd w:id="12"/>
    <w:bookmarkEnd w:id="13"/>
    <w:bookmarkEnd w:id="32"/>
    <w:p w14:paraId="1CA73280">
      <w:pPr>
        <w:spacing w:line="360" w:lineRule="atLeast"/>
        <w:jc w:val="center"/>
        <w:rPr>
          <w:rFonts w:ascii="宋体" w:hAnsi="宋体" w:cs="仿宋_GB2312"/>
          <w:b/>
          <w:sz w:val="32"/>
          <w:szCs w:val="32"/>
        </w:rPr>
      </w:pPr>
      <w:bookmarkStart w:id="139" w:name="_Toc408297977"/>
      <w:bookmarkStart w:id="140" w:name="_Toc351203652"/>
      <w:bookmarkStart w:id="141" w:name="_Toc397528848"/>
    </w:p>
    <w:p w14:paraId="02A8DCFD">
      <w:pPr>
        <w:spacing w:line="360" w:lineRule="atLeast"/>
        <w:jc w:val="center"/>
        <w:rPr>
          <w:rFonts w:ascii="宋体" w:hAnsi="宋体" w:cs="仿宋_GB2312"/>
          <w:b/>
          <w:sz w:val="32"/>
          <w:szCs w:val="32"/>
        </w:rPr>
      </w:pPr>
    </w:p>
    <w:p w14:paraId="2E5D1AB5">
      <w:pPr>
        <w:spacing w:line="360" w:lineRule="atLeast"/>
        <w:jc w:val="center"/>
        <w:rPr>
          <w:rFonts w:ascii="宋体" w:hAnsi="宋体" w:cs="仿宋_GB2312"/>
          <w:b/>
          <w:sz w:val="32"/>
          <w:szCs w:val="32"/>
        </w:rPr>
      </w:pPr>
    </w:p>
    <w:p w14:paraId="62C161BF">
      <w:pPr>
        <w:spacing w:line="360" w:lineRule="atLeast"/>
        <w:jc w:val="center"/>
        <w:rPr>
          <w:rFonts w:ascii="宋体" w:hAnsi="宋体" w:cs="仿宋_GB2312"/>
          <w:b/>
          <w:sz w:val="32"/>
          <w:szCs w:val="32"/>
        </w:rPr>
      </w:pPr>
    </w:p>
    <w:p w14:paraId="7654E42E">
      <w:pPr>
        <w:pStyle w:val="2"/>
        <w:rPr>
          <w:rFonts w:hAnsi="宋体" w:cs="仿宋_GB2312"/>
          <w:b/>
          <w:sz w:val="32"/>
          <w:szCs w:val="32"/>
        </w:rPr>
      </w:pPr>
    </w:p>
    <w:p w14:paraId="10B24025">
      <w:pPr>
        <w:pStyle w:val="3"/>
        <w:rPr>
          <w:rFonts w:ascii="宋体" w:hAnsi="宋体" w:cs="仿宋_GB2312"/>
          <w:b w:val="0"/>
          <w:sz w:val="32"/>
          <w:szCs w:val="32"/>
        </w:rPr>
      </w:pPr>
    </w:p>
    <w:p w14:paraId="58819621"/>
    <w:p w14:paraId="7B9AA077">
      <w:pPr>
        <w:rPr>
          <w:rFonts w:ascii="宋体" w:hAnsi="宋体" w:cs="仿宋_GB2312"/>
          <w:b/>
          <w:sz w:val="32"/>
          <w:szCs w:val="32"/>
        </w:rPr>
      </w:pPr>
    </w:p>
    <w:p w14:paraId="2814D99B">
      <w:pPr>
        <w:pStyle w:val="2"/>
        <w:rPr>
          <w:rFonts w:hAnsi="宋体" w:cs="仿宋_GB2312"/>
          <w:b/>
          <w:sz w:val="32"/>
          <w:szCs w:val="32"/>
        </w:rPr>
      </w:pPr>
    </w:p>
    <w:p w14:paraId="79FC1655">
      <w:pPr>
        <w:pStyle w:val="3"/>
        <w:rPr>
          <w:rFonts w:ascii="宋体" w:hAnsi="宋体" w:cs="仿宋_GB2312"/>
          <w:b w:val="0"/>
          <w:sz w:val="32"/>
          <w:szCs w:val="32"/>
        </w:rPr>
      </w:pPr>
    </w:p>
    <w:p w14:paraId="74AC85CA"/>
    <w:p w14:paraId="78A8DFF7">
      <w:pPr>
        <w:pStyle w:val="2"/>
        <w:rPr>
          <w:rFonts w:hAnsi="宋体" w:cs="仿宋_GB2312"/>
          <w:b/>
          <w:sz w:val="32"/>
          <w:szCs w:val="32"/>
        </w:rPr>
      </w:pPr>
    </w:p>
    <w:p w14:paraId="5AF58522">
      <w:pPr>
        <w:pStyle w:val="3"/>
        <w:rPr>
          <w:rFonts w:ascii="宋体" w:hAnsi="宋体" w:cs="仿宋_GB2312"/>
          <w:b w:val="0"/>
          <w:sz w:val="32"/>
          <w:szCs w:val="32"/>
        </w:rPr>
      </w:pPr>
    </w:p>
    <w:p w14:paraId="17AE7D97">
      <w:pPr>
        <w:pStyle w:val="6"/>
        <w:spacing w:before="0" w:after="0" w:line="360" w:lineRule="atLeast"/>
        <w:rPr>
          <w:rFonts w:hAnsi="宋体"/>
        </w:rPr>
      </w:pPr>
      <w:r>
        <w:rPr>
          <w:rFonts w:hint="eastAsia" w:hAnsi="宋体" w:cs="仿宋_GB2312"/>
          <w:sz w:val="36"/>
          <w:szCs w:val="36"/>
        </w:rPr>
        <w:t>第六章</w:t>
      </w:r>
      <w:bookmarkEnd w:id="139"/>
      <w:bookmarkEnd w:id="140"/>
      <w:bookmarkEnd w:id="141"/>
      <w:bookmarkStart w:id="142" w:name="_Toc14593"/>
      <w:bookmarkStart w:id="143" w:name="_Toc2540"/>
      <w:bookmarkStart w:id="144" w:name="_Toc22631"/>
      <w:bookmarkStart w:id="145" w:name="_Toc407096157"/>
      <w:r>
        <w:rPr>
          <w:rFonts w:hint="eastAsia" w:hAnsi="宋体" w:cs="仿宋_GB2312"/>
          <w:sz w:val="36"/>
          <w:szCs w:val="36"/>
        </w:rPr>
        <w:t xml:space="preserve"> 合同条款及格式</w:t>
      </w:r>
    </w:p>
    <w:p w14:paraId="76A6A646">
      <w:pPr>
        <w:spacing w:line="360" w:lineRule="auto"/>
        <w:rPr>
          <w:rFonts w:ascii="宋体" w:hAnsi="宋体"/>
          <w:szCs w:val="21"/>
        </w:rPr>
      </w:pPr>
    </w:p>
    <w:p w14:paraId="0D6251B1">
      <w:pPr>
        <w:spacing w:line="360" w:lineRule="auto"/>
        <w:rPr>
          <w:rFonts w:ascii="宋体" w:hAnsi="宋体"/>
          <w:szCs w:val="21"/>
          <w:u w:val="single"/>
        </w:rPr>
      </w:pPr>
      <w:r>
        <w:rPr>
          <w:rFonts w:hint="eastAsia" w:ascii="宋体" w:hAnsi="宋体"/>
          <w:szCs w:val="21"/>
        </w:rPr>
        <w:t>甲方：</w:t>
      </w:r>
      <w:r>
        <w:rPr>
          <w:rFonts w:hint="eastAsia" w:ascii="宋体" w:hAnsi="宋体"/>
          <w:szCs w:val="21"/>
          <w:u w:val="single"/>
        </w:rPr>
        <w:t xml:space="preserve">                </w:t>
      </w:r>
    </w:p>
    <w:p w14:paraId="43FBE610">
      <w:pPr>
        <w:spacing w:line="360" w:lineRule="auto"/>
        <w:rPr>
          <w:rFonts w:ascii="宋体" w:hAnsi="宋体"/>
          <w:szCs w:val="21"/>
        </w:rPr>
      </w:pPr>
      <w:r>
        <w:rPr>
          <w:rFonts w:hint="eastAsia" w:ascii="宋体" w:hAnsi="宋体"/>
          <w:szCs w:val="21"/>
        </w:rPr>
        <w:t>乙方：</w:t>
      </w:r>
      <w:r>
        <w:rPr>
          <w:rFonts w:hint="eastAsia" w:ascii="宋体" w:hAnsi="宋体"/>
          <w:szCs w:val="21"/>
          <w:u w:val="single"/>
        </w:rPr>
        <w:t xml:space="preserve">                </w:t>
      </w:r>
    </w:p>
    <w:p w14:paraId="4DF5F8D8">
      <w:pPr>
        <w:snapToGrid w:val="0"/>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（甲方）就</w:t>
      </w:r>
      <w:r>
        <w:rPr>
          <w:rFonts w:hint="eastAsia" w:ascii="宋体" w:hAnsi="宋体"/>
          <w:szCs w:val="21"/>
          <w:u w:val="single"/>
        </w:rPr>
        <w:t xml:space="preserve">         </w:t>
      </w:r>
      <w:r>
        <w:rPr>
          <w:rFonts w:hint="eastAsia" w:ascii="宋体" w:hAnsi="宋体"/>
          <w:szCs w:val="21"/>
        </w:rPr>
        <w:t>（项目名称）采用竞争性磋商方式选择</w:t>
      </w:r>
      <w:r>
        <w:rPr>
          <w:rFonts w:hint="eastAsia" w:ascii="宋体" w:hAnsi="宋体"/>
          <w:szCs w:val="21"/>
          <w:u w:val="single"/>
        </w:rPr>
        <w:t xml:space="preserve">    </w:t>
      </w:r>
      <w:r>
        <w:rPr>
          <w:rFonts w:hint="eastAsia" w:ascii="宋体" w:hAnsi="宋体"/>
          <w:szCs w:val="21"/>
        </w:rPr>
        <w:t>（乙方）作为服务单位。现甲乙双方协商同意签订本合同。</w:t>
      </w:r>
    </w:p>
    <w:p w14:paraId="39C28B48">
      <w:pPr>
        <w:pStyle w:val="6"/>
      </w:pPr>
      <w:r>
        <w:rPr>
          <w:rFonts w:hint="eastAsia"/>
        </w:rPr>
        <w:t>1. 合同文件</w:t>
      </w:r>
    </w:p>
    <w:p w14:paraId="39D9CCF8">
      <w:pPr>
        <w:snapToGrid w:val="0"/>
        <w:spacing w:line="360" w:lineRule="auto"/>
        <w:ind w:firstLine="420" w:firstLineChars="200"/>
        <w:rPr>
          <w:rFonts w:ascii="宋体" w:hAnsi="宋体"/>
          <w:szCs w:val="21"/>
        </w:rPr>
      </w:pPr>
      <w:r>
        <w:rPr>
          <w:rFonts w:ascii="宋体" w:hAnsi="宋体"/>
          <w:szCs w:val="21"/>
        </w:rPr>
        <w:t>下列与本次采购活动</w:t>
      </w:r>
      <w:r>
        <w:rPr>
          <w:rFonts w:hint="eastAsia" w:ascii="宋体" w:hAnsi="宋体"/>
          <w:szCs w:val="21"/>
        </w:rPr>
        <w:t>有关</w:t>
      </w:r>
      <w:r>
        <w:rPr>
          <w:rFonts w:ascii="宋体" w:hAnsi="宋体"/>
          <w:szCs w:val="21"/>
        </w:rPr>
        <w:t>的文件及附件是本合同不可分割的组成部分，与本合同具有同等法律效力，这些文件包括但不限于：</w:t>
      </w:r>
    </w:p>
    <w:p w14:paraId="67C7814E">
      <w:pPr>
        <w:snapToGrid w:val="0"/>
        <w:spacing w:line="360" w:lineRule="auto"/>
        <w:ind w:firstLine="420" w:firstLineChars="200"/>
        <w:rPr>
          <w:rFonts w:ascii="宋体" w:hAnsi="宋体"/>
          <w:szCs w:val="21"/>
        </w:rPr>
      </w:pPr>
      <w:r>
        <w:rPr>
          <w:rFonts w:hint="eastAsia" w:ascii="宋体" w:hAnsi="宋体"/>
          <w:szCs w:val="21"/>
        </w:rPr>
        <w:t>（1）成交通知书；</w:t>
      </w:r>
    </w:p>
    <w:p w14:paraId="07758008">
      <w:pPr>
        <w:snapToGrid w:val="0"/>
        <w:spacing w:line="360" w:lineRule="auto"/>
        <w:ind w:firstLine="420" w:firstLineChars="200"/>
        <w:rPr>
          <w:rFonts w:ascii="宋体" w:hAnsi="宋体"/>
          <w:szCs w:val="21"/>
        </w:rPr>
      </w:pPr>
      <w:r>
        <w:rPr>
          <w:rFonts w:hint="eastAsia" w:ascii="宋体" w:hAnsi="宋体"/>
          <w:szCs w:val="21"/>
        </w:rPr>
        <w:t>（2）竞争性磋商文件及附件；</w:t>
      </w:r>
    </w:p>
    <w:p w14:paraId="02776C04">
      <w:pPr>
        <w:snapToGrid w:val="0"/>
        <w:spacing w:line="360" w:lineRule="auto"/>
        <w:ind w:firstLine="420" w:firstLineChars="200"/>
        <w:rPr>
          <w:rFonts w:ascii="宋体" w:hAnsi="宋体"/>
          <w:szCs w:val="21"/>
        </w:rPr>
      </w:pPr>
      <w:r>
        <w:rPr>
          <w:rFonts w:hint="eastAsia" w:ascii="宋体" w:hAnsi="宋体"/>
          <w:szCs w:val="21"/>
        </w:rPr>
        <w:t>（3）响应文件及附件；</w:t>
      </w:r>
    </w:p>
    <w:p w14:paraId="2A18E842">
      <w:pPr>
        <w:snapToGrid w:val="0"/>
        <w:spacing w:line="360" w:lineRule="auto"/>
        <w:ind w:firstLine="420" w:firstLineChars="200"/>
        <w:rPr>
          <w:rFonts w:ascii="宋体" w:hAnsi="宋体"/>
          <w:szCs w:val="21"/>
        </w:rPr>
      </w:pPr>
      <w:r>
        <w:rPr>
          <w:rFonts w:hint="eastAsia" w:ascii="宋体" w:hAnsi="宋体"/>
          <w:szCs w:val="21"/>
        </w:rPr>
        <w:t>（4）合同补充条款或说明；</w:t>
      </w:r>
    </w:p>
    <w:p w14:paraId="29AB223E">
      <w:pPr>
        <w:snapToGrid w:val="0"/>
        <w:spacing w:line="360" w:lineRule="auto"/>
        <w:ind w:firstLine="420" w:firstLineChars="200"/>
        <w:rPr>
          <w:rFonts w:ascii="宋体" w:hAnsi="宋体"/>
          <w:szCs w:val="21"/>
        </w:rPr>
      </w:pPr>
      <w:r>
        <w:rPr>
          <w:rFonts w:hint="eastAsia" w:ascii="宋体" w:hAnsi="宋体"/>
          <w:szCs w:val="21"/>
        </w:rPr>
        <w:t>（5）相关附件、图纸及电子版资料。</w:t>
      </w:r>
    </w:p>
    <w:p w14:paraId="0E4FDEB3">
      <w:pPr>
        <w:pStyle w:val="6"/>
      </w:pPr>
      <w:r>
        <w:rPr>
          <w:rFonts w:hint="eastAsia"/>
        </w:rPr>
        <w:t>2. 合同范围</w:t>
      </w:r>
    </w:p>
    <w:p w14:paraId="21E4A3FE">
      <w:pPr>
        <w:adjustRightInd w:val="0"/>
        <w:snapToGrid w:val="0"/>
        <w:spacing w:line="360" w:lineRule="auto"/>
        <w:ind w:firstLine="420" w:firstLineChars="200"/>
        <w:rPr>
          <w:szCs w:val="21"/>
        </w:rPr>
      </w:pPr>
      <w:r>
        <w:rPr>
          <w:rFonts w:hint="eastAsia"/>
          <w:szCs w:val="21"/>
        </w:rPr>
        <w:t xml:space="preserve">甲方委托乙方提供以下服务： </w:t>
      </w:r>
    </w:p>
    <w:p w14:paraId="0C33F7A5">
      <w:pPr>
        <w:adjustRightInd w:val="0"/>
        <w:snapToGrid w:val="0"/>
        <w:spacing w:line="360" w:lineRule="auto"/>
        <w:ind w:firstLine="420" w:firstLineChars="200"/>
        <w:rPr>
          <w:rFonts w:ascii="宋体" w:hAnsi="宋体"/>
          <w:szCs w:val="21"/>
        </w:rPr>
      </w:pPr>
      <w:r>
        <w:rPr>
          <w:rFonts w:hint="eastAsia" w:ascii="宋体" w:hAnsi="宋体"/>
          <w:szCs w:val="21"/>
        </w:rPr>
        <w:t>2.1 服务名称：</w:t>
      </w:r>
      <w:r>
        <w:rPr>
          <w:rFonts w:hint="eastAsia" w:ascii="宋体" w:hAnsi="宋体"/>
          <w:szCs w:val="21"/>
          <w:u w:val="single"/>
        </w:rPr>
        <w:t xml:space="preserve">                          </w:t>
      </w:r>
      <w:r>
        <w:rPr>
          <w:rFonts w:hint="eastAsia" w:ascii="宋体" w:hAnsi="宋体"/>
          <w:szCs w:val="21"/>
        </w:rPr>
        <w:t>。</w:t>
      </w:r>
    </w:p>
    <w:p w14:paraId="41E1D63B">
      <w:pPr>
        <w:adjustRightInd w:val="0"/>
        <w:snapToGrid w:val="0"/>
        <w:spacing w:line="360" w:lineRule="auto"/>
        <w:ind w:firstLine="420" w:firstLineChars="200"/>
        <w:rPr>
          <w:rFonts w:ascii="宋体" w:hAnsi="宋体"/>
          <w:szCs w:val="21"/>
        </w:rPr>
      </w:pPr>
      <w:r>
        <w:rPr>
          <w:rFonts w:hint="eastAsia" w:ascii="宋体" w:hAnsi="宋体"/>
          <w:szCs w:val="21"/>
        </w:rPr>
        <w:t>2.2 服务内容：</w:t>
      </w:r>
      <w:r>
        <w:rPr>
          <w:rFonts w:hint="eastAsia" w:ascii="宋体" w:hAnsi="宋体"/>
          <w:szCs w:val="21"/>
          <w:u w:val="single"/>
        </w:rPr>
        <w:t xml:space="preserve">                          </w:t>
      </w:r>
      <w:r>
        <w:rPr>
          <w:rFonts w:hint="eastAsia" w:ascii="宋体" w:hAnsi="宋体"/>
          <w:szCs w:val="21"/>
        </w:rPr>
        <w:t>。</w:t>
      </w:r>
    </w:p>
    <w:p w14:paraId="481C60CF">
      <w:pPr>
        <w:adjustRightInd w:val="0"/>
        <w:snapToGrid w:val="0"/>
        <w:spacing w:line="360" w:lineRule="auto"/>
        <w:ind w:firstLine="420" w:firstLineChars="200"/>
        <w:rPr>
          <w:rFonts w:ascii="宋体" w:hAnsi="宋体"/>
          <w:szCs w:val="21"/>
        </w:rPr>
      </w:pPr>
      <w:r>
        <w:rPr>
          <w:rFonts w:hint="eastAsia" w:ascii="宋体" w:hAnsi="宋体"/>
          <w:szCs w:val="21"/>
        </w:rPr>
        <w:t>2.3 服务要求：</w:t>
      </w:r>
      <w:r>
        <w:rPr>
          <w:rFonts w:hint="eastAsia" w:ascii="宋体" w:hAnsi="宋体"/>
          <w:szCs w:val="21"/>
          <w:u w:val="single"/>
        </w:rPr>
        <w:t xml:space="preserve">                          </w:t>
      </w:r>
      <w:r>
        <w:rPr>
          <w:rFonts w:hint="eastAsia" w:ascii="宋体" w:hAnsi="宋体"/>
          <w:szCs w:val="21"/>
        </w:rPr>
        <w:t>。</w:t>
      </w:r>
    </w:p>
    <w:p w14:paraId="00B92272">
      <w:pPr>
        <w:adjustRightInd w:val="0"/>
        <w:snapToGrid w:val="0"/>
        <w:spacing w:line="360" w:lineRule="auto"/>
        <w:ind w:firstLine="420" w:firstLineChars="200"/>
        <w:rPr>
          <w:rFonts w:ascii="宋体" w:hAnsi="宋体"/>
          <w:szCs w:val="21"/>
        </w:rPr>
      </w:pPr>
      <w:r>
        <w:rPr>
          <w:rFonts w:hint="eastAsia" w:ascii="宋体" w:hAnsi="宋体"/>
          <w:szCs w:val="21"/>
        </w:rPr>
        <w:t>2.4 服务期限：</w:t>
      </w:r>
      <w:r>
        <w:rPr>
          <w:rFonts w:hint="eastAsia" w:ascii="宋体" w:hAnsi="宋体"/>
          <w:szCs w:val="21"/>
          <w:u w:val="single"/>
        </w:rPr>
        <w:t xml:space="preserve">                          </w:t>
      </w:r>
      <w:r>
        <w:rPr>
          <w:rFonts w:hint="eastAsia" w:ascii="宋体" w:hAnsi="宋体"/>
          <w:szCs w:val="21"/>
        </w:rPr>
        <w:t>。</w:t>
      </w:r>
    </w:p>
    <w:p w14:paraId="3AB2505D">
      <w:pPr>
        <w:adjustRightInd w:val="0"/>
        <w:snapToGrid w:val="0"/>
        <w:spacing w:line="360" w:lineRule="auto"/>
        <w:ind w:firstLine="420" w:firstLineChars="200"/>
        <w:rPr>
          <w:rFonts w:ascii="宋体" w:hAnsi="宋体"/>
          <w:szCs w:val="21"/>
        </w:rPr>
      </w:pPr>
      <w:r>
        <w:rPr>
          <w:rFonts w:ascii="宋体" w:hAnsi="宋体"/>
          <w:szCs w:val="21"/>
        </w:rPr>
        <w:t>…</w:t>
      </w:r>
    </w:p>
    <w:p w14:paraId="3E744BEE">
      <w:pPr>
        <w:pStyle w:val="6"/>
      </w:pPr>
      <w:r>
        <w:rPr>
          <w:rFonts w:hint="eastAsia"/>
        </w:rPr>
        <w:t>3. 合同价格</w:t>
      </w:r>
    </w:p>
    <w:p w14:paraId="4C969468">
      <w:pPr>
        <w:adjustRightInd w:val="0"/>
        <w:snapToGrid w:val="0"/>
        <w:spacing w:line="360" w:lineRule="auto"/>
        <w:ind w:firstLine="420" w:firstLineChars="200"/>
        <w:rPr>
          <w:rFonts w:ascii="宋体" w:hAnsi="宋体"/>
          <w:szCs w:val="21"/>
        </w:rPr>
      </w:pPr>
      <w:r>
        <w:rPr>
          <w:rFonts w:hint="eastAsia" w:ascii="宋体" w:hAnsi="宋体"/>
          <w:szCs w:val="21"/>
        </w:rPr>
        <w:t>3.1 合同价格为（大写）：</w:t>
      </w:r>
      <w:r>
        <w:rPr>
          <w:rFonts w:hint="eastAsia" w:ascii="宋体" w:hAnsi="宋体"/>
          <w:szCs w:val="21"/>
          <w:u w:val="single"/>
        </w:rPr>
        <w:t xml:space="preserve">                 </w:t>
      </w:r>
      <w:r>
        <w:rPr>
          <w:rFonts w:hint="eastAsia" w:ascii="宋体" w:hAnsi="宋体"/>
          <w:szCs w:val="21"/>
        </w:rPr>
        <w:t xml:space="preserve"> 元（￥</w:t>
      </w:r>
      <w:r>
        <w:rPr>
          <w:rFonts w:hint="eastAsia" w:ascii="宋体" w:hAnsi="宋体"/>
          <w:szCs w:val="21"/>
          <w:u w:val="single"/>
        </w:rPr>
        <w:t xml:space="preserve">         </w:t>
      </w:r>
      <w:r>
        <w:rPr>
          <w:rFonts w:hint="eastAsia" w:ascii="宋体" w:hAnsi="宋体"/>
          <w:szCs w:val="21"/>
        </w:rPr>
        <w:t>元）人民币。</w:t>
      </w:r>
    </w:p>
    <w:p w14:paraId="116C3B6E">
      <w:pPr>
        <w:snapToGrid w:val="0"/>
        <w:spacing w:line="360" w:lineRule="auto"/>
        <w:ind w:firstLine="420" w:firstLineChars="200"/>
        <w:rPr>
          <w:rFonts w:ascii="宋体" w:hAnsi="宋体"/>
          <w:szCs w:val="21"/>
          <w:u w:val="single"/>
        </w:rPr>
      </w:pPr>
      <w:r>
        <w:rPr>
          <w:rFonts w:hint="eastAsia" w:ascii="宋体" w:hAnsi="宋体"/>
          <w:szCs w:val="21"/>
        </w:rPr>
        <w:t>3.2 合同价格包括的内容：</w:t>
      </w:r>
      <w:r>
        <w:rPr>
          <w:rFonts w:hint="eastAsia" w:ascii="宋体" w:hAnsi="宋体"/>
          <w:szCs w:val="21"/>
          <w:u w:val="single"/>
        </w:rPr>
        <w:t xml:space="preserve">                       </w:t>
      </w:r>
    </w:p>
    <w:p w14:paraId="6E06E8E3">
      <w:pPr>
        <w:snapToGrid w:val="0"/>
        <w:spacing w:line="360" w:lineRule="auto"/>
        <w:ind w:firstLine="420" w:firstLineChars="200"/>
        <w:rPr>
          <w:rFonts w:ascii="宋体" w:hAnsi="宋体"/>
          <w:szCs w:val="21"/>
        </w:rPr>
      </w:pPr>
      <w:r>
        <w:rPr>
          <w:rFonts w:hint="eastAsia" w:ascii="宋体" w:hAnsi="宋体"/>
          <w:szCs w:val="21"/>
        </w:rPr>
        <w:t>3.3 合同价格调整：</w:t>
      </w:r>
      <w:r>
        <w:rPr>
          <w:rFonts w:hint="eastAsia" w:ascii="宋体" w:hAnsi="宋体"/>
          <w:szCs w:val="21"/>
          <w:u w:val="single"/>
        </w:rPr>
        <w:t xml:space="preserve">  </w:t>
      </w:r>
      <w:r>
        <w:rPr>
          <w:rFonts w:hint="eastAsia" w:ascii="宋体" w:hAnsi="宋体"/>
          <w:color w:val="0000FF"/>
          <w:szCs w:val="21"/>
          <w:u w:val="single"/>
        </w:rPr>
        <w:t xml:space="preserve">合同价格为固定价格，不予调整 </w:t>
      </w:r>
      <w:r>
        <w:rPr>
          <w:rFonts w:hint="eastAsia" w:ascii="宋体" w:hAnsi="宋体"/>
          <w:szCs w:val="21"/>
          <w:u w:val="single"/>
        </w:rPr>
        <w:t xml:space="preserve">  </w:t>
      </w:r>
      <w:r>
        <w:rPr>
          <w:rFonts w:hint="eastAsia" w:ascii="宋体" w:hAnsi="宋体"/>
          <w:szCs w:val="21"/>
        </w:rPr>
        <w:t>。</w:t>
      </w:r>
    </w:p>
    <w:p w14:paraId="20C07954">
      <w:pPr>
        <w:snapToGrid w:val="0"/>
        <w:spacing w:line="360" w:lineRule="auto"/>
        <w:ind w:firstLine="420" w:firstLineChars="200"/>
        <w:rPr>
          <w:rFonts w:ascii="宋体" w:hAnsi="宋体"/>
          <w:szCs w:val="21"/>
        </w:rPr>
      </w:pPr>
      <w:r>
        <w:rPr>
          <w:rFonts w:ascii="宋体" w:hAnsi="宋体"/>
          <w:szCs w:val="21"/>
        </w:rPr>
        <w:t>…</w:t>
      </w:r>
    </w:p>
    <w:p w14:paraId="0A039C47">
      <w:pPr>
        <w:pStyle w:val="6"/>
      </w:pPr>
      <w:r>
        <w:rPr>
          <w:rFonts w:hint="eastAsia"/>
        </w:rPr>
        <w:t>4. 付款方式</w:t>
      </w:r>
    </w:p>
    <w:p w14:paraId="2FBE3B01">
      <w:pPr>
        <w:snapToGrid w:val="0"/>
        <w:spacing w:line="360" w:lineRule="auto"/>
        <w:ind w:firstLine="420" w:firstLineChars="200"/>
        <w:rPr>
          <w:rFonts w:ascii="宋体" w:hAnsi="宋体"/>
          <w:szCs w:val="21"/>
        </w:rPr>
      </w:pPr>
      <w:r>
        <w:rPr>
          <w:rFonts w:hint="eastAsia" w:ascii="宋体" w:hAnsi="宋体"/>
          <w:szCs w:val="21"/>
        </w:rPr>
        <w:t>4.1 本合同项下所有款项均以人民币支付。</w:t>
      </w:r>
    </w:p>
    <w:p w14:paraId="4E730FDD">
      <w:pPr>
        <w:snapToGrid w:val="0"/>
        <w:spacing w:line="360" w:lineRule="auto"/>
        <w:ind w:firstLine="420" w:firstLineChars="200"/>
        <w:rPr>
          <w:rFonts w:ascii="宋体" w:hAnsi="宋体"/>
          <w:szCs w:val="21"/>
        </w:rPr>
      </w:pPr>
      <w:r>
        <w:rPr>
          <w:rFonts w:hint="eastAsia" w:ascii="宋体" w:hAnsi="宋体"/>
          <w:szCs w:val="21"/>
        </w:rPr>
        <w:t>4.2 乙方向甲方提交下列文件材料，经甲方审核无误后支付采购资金：</w:t>
      </w:r>
    </w:p>
    <w:p w14:paraId="121FDEED">
      <w:pPr>
        <w:snapToGrid w:val="0"/>
        <w:spacing w:line="360" w:lineRule="auto"/>
        <w:ind w:firstLine="420" w:firstLineChars="200"/>
        <w:rPr>
          <w:rFonts w:ascii="宋体" w:hAnsi="宋体"/>
          <w:color w:val="0000FF"/>
          <w:szCs w:val="21"/>
          <w:u w:val="single"/>
        </w:rPr>
      </w:pPr>
      <w:r>
        <w:rPr>
          <w:rFonts w:hint="eastAsia" w:ascii="宋体" w:hAnsi="宋体"/>
          <w:szCs w:val="21"/>
        </w:rPr>
        <w:t>（1）</w:t>
      </w:r>
      <w:r>
        <w:rPr>
          <w:rFonts w:hint="eastAsia" w:ascii="宋体" w:hAnsi="宋体"/>
          <w:color w:val="0000FF"/>
          <w:szCs w:val="21"/>
          <w:u w:val="single"/>
        </w:rPr>
        <w:t>经甲方确认的发票；</w:t>
      </w:r>
    </w:p>
    <w:p w14:paraId="626686D0">
      <w:pPr>
        <w:snapToGrid w:val="0"/>
        <w:spacing w:line="360" w:lineRule="auto"/>
        <w:ind w:firstLine="420" w:firstLineChars="200"/>
        <w:rPr>
          <w:rFonts w:ascii="宋体" w:hAnsi="宋体"/>
          <w:szCs w:val="21"/>
          <w:u w:val="single"/>
        </w:rPr>
      </w:pPr>
      <w:r>
        <w:rPr>
          <w:rFonts w:hint="eastAsia" w:ascii="宋体" w:hAnsi="宋体"/>
          <w:szCs w:val="21"/>
        </w:rPr>
        <w:t>（2）</w:t>
      </w:r>
      <w:r>
        <w:rPr>
          <w:rFonts w:hint="eastAsia" w:ascii="宋体" w:hAnsi="宋体"/>
          <w:color w:val="0000FF"/>
          <w:szCs w:val="21"/>
          <w:u w:val="single"/>
        </w:rPr>
        <w:t>经甲乙双方确认签订的《验收报告》（或按项目进度阶段性《验收报告》）；</w:t>
      </w:r>
    </w:p>
    <w:p w14:paraId="02CB78CA">
      <w:pPr>
        <w:snapToGrid w:val="0"/>
        <w:spacing w:line="360" w:lineRule="auto"/>
        <w:ind w:firstLine="420" w:firstLineChars="200"/>
        <w:rPr>
          <w:rFonts w:ascii="宋体" w:hAnsi="宋体"/>
          <w:szCs w:val="21"/>
          <w:u w:val="single"/>
        </w:rPr>
      </w:pPr>
      <w:r>
        <w:rPr>
          <w:rFonts w:hint="eastAsia" w:ascii="宋体" w:hAnsi="宋体"/>
          <w:szCs w:val="21"/>
        </w:rPr>
        <w:t>（3）</w:t>
      </w:r>
      <w:r>
        <w:rPr>
          <w:rFonts w:hint="eastAsia" w:ascii="宋体" w:hAnsi="宋体"/>
          <w:color w:val="0000FF"/>
          <w:szCs w:val="21"/>
          <w:u w:val="single"/>
        </w:rPr>
        <w:t>其他材料。</w:t>
      </w:r>
    </w:p>
    <w:p w14:paraId="79AB4095">
      <w:pPr>
        <w:snapToGrid w:val="0"/>
        <w:spacing w:line="360" w:lineRule="auto"/>
        <w:ind w:firstLine="420" w:firstLineChars="200"/>
      </w:pPr>
      <w:r>
        <w:rPr>
          <w:rFonts w:hint="eastAsia" w:ascii="宋体" w:hAnsi="宋体"/>
          <w:szCs w:val="21"/>
        </w:rPr>
        <w:t>4.3 合同款项的支付进度以招标文件的有关规定为准。如招标文件未作特别规定，则付款进度应符合如下约定：</w:t>
      </w:r>
    </w:p>
    <w:p w14:paraId="1958C9B5">
      <w:pPr>
        <w:pStyle w:val="21"/>
        <w:ind w:firstLine="420"/>
        <w:rPr>
          <w:rFonts w:hAnsi="宋体"/>
          <w:sz w:val="21"/>
          <w:szCs w:val="21"/>
        </w:rPr>
      </w:pPr>
      <w:r>
        <w:rPr>
          <w:rFonts w:hint="eastAsia" w:hAnsi="宋体"/>
          <w:sz w:val="21"/>
          <w:szCs w:val="21"/>
        </w:rPr>
        <w:t>采购人完成节水型工业园区建设服务报告编制及专家评审，最终通过主管部门的审批后支付合同款的100%。</w:t>
      </w:r>
    </w:p>
    <w:p w14:paraId="5F89FE0B">
      <w:pPr>
        <w:pStyle w:val="6"/>
      </w:pPr>
      <w:r>
        <w:rPr>
          <w:rFonts w:hint="eastAsia"/>
        </w:rPr>
        <w:t>5. 合同文件和资料的使用</w:t>
      </w:r>
    </w:p>
    <w:p w14:paraId="542683A9">
      <w:pPr>
        <w:widowControl/>
        <w:adjustRightInd w:val="0"/>
        <w:snapToGrid w:val="0"/>
        <w:spacing w:line="360" w:lineRule="auto"/>
        <w:ind w:firstLine="420" w:firstLineChars="200"/>
        <w:rPr>
          <w:rFonts w:ascii="宋体" w:hAnsi="宋体"/>
          <w:szCs w:val="21"/>
        </w:rPr>
      </w:pPr>
      <w:r>
        <w:rPr>
          <w:rFonts w:hint="eastAsia" w:ascii="宋体" w:hAnsi="宋体"/>
          <w:szCs w:val="21"/>
        </w:rPr>
        <w:t>5.1 没有甲方书面同意，乙方不得将甲方或代表甲方提供的有关合同或任何合同条文、技术规格和要求、计划、图纸、模型、样品或资料提供给与履行本合同无关的任何其他人。即使向与履行本合同有关的人员提供，也应注意保密并限于履行合同必须的范围。</w:t>
      </w:r>
    </w:p>
    <w:p w14:paraId="27B2F513">
      <w:pPr>
        <w:widowControl/>
        <w:adjustRightInd w:val="0"/>
        <w:snapToGrid w:val="0"/>
        <w:spacing w:line="360" w:lineRule="auto"/>
        <w:ind w:firstLine="420" w:firstLineChars="200"/>
        <w:rPr>
          <w:rFonts w:ascii="宋体" w:hAnsi="宋体"/>
          <w:szCs w:val="21"/>
        </w:rPr>
      </w:pPr>
      <w:r>
        <w:rPr>
          <w:rFonts w:hint="eastAsia" w:ascii="宋体" w:hAnsi="宋体"/>
          <w:szCs w:val="21"/>
        </w:rPr>
        <w:t>5.2 没有甲方书面同意，除了履行本合同外，乙方不应使用合同条款第3.1款所列举的任何文件和资料。如果甲方有要求，除了合同本身以外，乙方在完成合同后应将这些文件及全部复制件还给甲方。</w:t>
      </w:r>
    </w:p>
    <w:p w14:paraId="7184E42B">
      <w:pPr>
        <w:widowControl/>
        <w:adjustRightInd w:val="0"/>
        <w:snapToGrid w:val="0"/>
        <w:spacing w:line="360" w:lineRule="auto"/>
        <w:ind w:firstLine="420" w:firstLineChars="200"/>
        <w:rPr>
          <w:rFonts w:ascii="宋体" w:hAnsi="宋体"/>
          <w:szCs w:val="21"/>
        </w:rPr>
      </w:pPr>
      <w:r>
        <w:rPr>
          <w:rFonts w:hint="eastAsia" w:ascii="宋体" w:hAnsi="宋体"/>
          <w:szCs w:val="21"/>
        </w:rPr>
        <w:t>5.3 乙方的技术秘密、商业秘密和声明需要保密的资料和信息，甲方不得为合同以外的目的泄露给他人。</w:t>
      </w:r>
    </w:p>
    <w:p w14:paraId="32E799F8">
      <w:pPr>
        <w:pStyle w:val="6"/>
      </w:pPr>
      <w:r>
        <w:rPr>
          <w:rFonts w:hint="eastAsia"/>
        </w:rPr>
        <w:t>6. 知识产权</w:t>
      </w:r>
    </w:p>
    <w:p w14:paraId="46251E87">
      <w:pPr>
        <w:widowControl/>
        <w:adjustRightInd w:val="0"/>
        <w:snapToGrid w:val="0"/>
        <w:spacing w:line="360" w:lineRule="auto"/>
        <w:ind w:firstLine="420" w:firstLineChars="200"/>
        <w:rPr>
          <w:rFonts w:ascii="宋体" w:hAnsi="宋体"/>
          <w:szCs w:val="21"/>
        </w:rPr>
      </w:pPr>
      <w:r>
        <w:rPr>
          <w:rFonts w:hint="eastAsia" w:ascii="宋体" w:hAnsi="宋体"/>
          <w:szCs w:val="21"/>
        </w:rPr>
        <w:t>6.1 乙方应保证，甲方使用本合同货物或货物的任何一部分时，免受第三方提出的侵犯其专利权、商标权、著作权或其他知识产权的起诉。</w:t>
      </w:r>
    </w:p>
    <w:p w14:paraId="0D0F4A49">
      <w:pPr>
        <w:widowControl/>
        <w:adjustRightInd w:val="0"/>
        <w:snapToGrid w:val="0"/>
        <w:spacing w:line="360" w:lineRule="auto"/>
        <w:ind w:firstLine="420" w:firstLineChars="200"/>
        <w:rPr>
          <w:rFonts w:ascii="宋体" w:hAnsi="宋体"/>
          <w:szCs w:val="21"/>
        </w:rPr>
      </w:pPr>
      <w:r>
        <w:rPr>
          <w:rFonts w:hint="eastAsia" w:ascii="宋体" w:hAnsi="宋体"/>
          <w:szCs w:val="21"/>
        </w:rPr>
        <w:t>6.2 如果发生第三方就乙方向甲方提供的本合同项下所涉及的货物及服务对甲方进行侵权指控，乙方应承担由此而引起的一切经济和法律责任。</w:t>
      </w:r>
    </w:p>
    <w:p w14:paraId="2E4CCEDC">
      <w:pPr>
        <w:widowControl/>
        <w:adjustRightInd w:val="0"/>
        <w:snapToGrid w:val="0"/>
        <w:spacing w:line="360" w:lineRule="auto"/>
        <w:ind w:firstLine="420" w:firstLineChars="200"/>
        <w:rPr>
          <w:rFonts w:ascii="宋体" w:hAnsi="宋体"/>
          <w:szCs w:val="21"/>
        </w:rPr>
      </w:pPr>
      <w:r>
        <w:rPr>
          <w:rFonts w:hint="eastAsia" w:ascii="宋体" w:hAnsi="宋体"/>
          <w:szCs w:val="21"/>
        </w:rPr>
        <w:t>6.3 乙方在投标中采用专利技术的，专利技术的使用费包含在合同总价内。</w:t>
      </w:r>
    </w:p>
    <w:p w14:paraId="53093789">
      <w:pPr>
        <w:pStyle w:val="6"/>
      </w:pPr>
      <w:r>
        <w:rPr>
          <w:rFonts w:hint="eastAsia"/>
        </w:rPr>
        <w:t>7.联络</w:t>
      </w:r>
    </w:p>
    <w:p w14:paraId="46B62E3C">
      <w:pPr>
        <w:widowControl/>
        <w:adjustRightInd w:val="0"/>
        <w:snapToGrid w:val="0"/>
        <w:spacing w:line="360" w:lineRule="auto"/>
        <w:ind w:firstLine="420" w:firstLineChars="200"/>
        <w:rPr>
          <w:rFonts w:ascii="宋体" w:hAnsi="宋体"/>
          <w:szCs w:val="21"/>
        </w:rPr>
      </w:pPr>
      <w:r>
        <w:rPr>
          <w:rFonts w:hint="eastAsia" w:ascii="宋体" w:hAnsi="宋体"/>
          <w:szCs w:val="21"/>
        </w:rPr>
        <w:t>7.1 甲方对乙方的合同履行情况进行督促和检查。</w:t>
      </w:r>
    </w:p>
    <w:p w14:paraId="0476C5E6">
      <w:pPr>
        <w:widowControl/>
        <w:adjustRightInd w:val="0"/>
        <w:snapToGrid w:val="0"/>
        <w:spacing w:line="360" w:lineRule="auto"/>
        <w:ind w:firstLine="420" w:firstLineChars="200"/>
        <w:rPr>
          <w:rFonts w:ascii="宋体" w:hAnsi="宋体"/>
          <w:szCs w:val="21"/>
        </w:rPr>
      </w:pPr>
      <w:r>
        <w:rPr>
          <w:rFonts w:hint="eastAsia" w:ascii="宋体" w:hAnsi="宋体"/>
          <w:szCs w:val="21"/>
        </w:rPr>
        <w:t>7.2 乙方应设乙方代表，负责服务环节的业务协调以及与甲方的联络，并在合同生效后10天内向甲方书面提供乙方代表的姓名、职务、联系方式及授权书。</w:t>
      </w:r>
    </w:p>
    <w:p w14:paraId="621F4246">
      <w:pPr>
        <w:widowControl/>
        <w:adjustRightInd w:val="0"/>
        <w:snapToGrid w:val="0"/>
        <w:spacing w:line="360" w:lineRule="auto"/>
        <w:ind w:firstLine="420" w:firstLineChars="200"/>
        <w:rPr>
          <w:rFonts w:ascii="宋体" w:hAnsi="宋体"/>
          <w:szCs w:val="21"/>
        </w:rPr>
      </w:pPr>
      <w:r>
        <w:rPr>
          <w:rFonts w:hint="eastAsia" w:ascii="宋体" w:hAnsi="宋体"/>
          <w:szCs w:val="21"/>
        </w:rPr>
        <w:t>7.3 乙方代表的变更、撤销应获得甲方的书面认可。甲方有权根据乙方代表的工作情况，提出撤换人员的要求。乙方应根据第 7.2 款的要求尽快重新任命上述人员，在新任人员到位前原乙方代表继续承担第 7.2 款的职责。</w:t>
      </w:r>
    </w:p>
    <w:p w14:paraId="5413A2CE">
      <w:pPr>
        <w:widowControl/>
        <w:adjustRightInd w:val="0"/>
        <w:snapToGrid w:val="0"/>
        <w:spacing w:line="360" w:lineRule="auto"/>
        <w:ind w:firstLine="420" w:firstLineChars="200"/>
        <w:rPr>
          <w:rFonts w:ascii="宋体" w:hAnsi="宋体"/>
          <w:szCs w:val="21"/>
        </w:rPr>
      </w:pPr>
      <w:r>
        <w:rPr>
          <w:rFonts w:hint="eastAsia" w:ascii="宋体" w:hAnsi="宋体"/>
          <w:szCs w:val="21"/>
        </w:rPr>
        <w:t>7.4 买卖双方通过代表联络与履行合同有关事宜均应采用书面形式。</w:t>
      </w:r>
    </w:p>
    <w:p w14:paraId="5BE8C48D">
      <w:pPr>
        <w:pStyle w:val="6"/>
      </w:pPr>
      <w:r>
        <w:rPr>
          <w:rFonts w:hint="eastAsia"/>
        </w:rPr>
        <w:t>8. 计划和报告</w:t>
      </w:r>
    </w:p>
    <w:p w14:paraId="0A093277">
      <w:pPr>
        <w:widowControl/>
        <w:adjustRightInd w:val="0"/>
        <w:snapToGrid w:val="0"/>
        <w:spacing w:line="360" w:lineRule="auto"/>
        <w:ind w:firstLine="420" w:firstLineChars="200"/>
        <w:rPr>
          <w:rFonts w:ascii="宋体" w:hAnsi="宋体"/>
          <w:szCs w:val="21"/>
        </w:rPr>
      </w:pPr>
      <w:r>
        <w:rPr>
          <w:rFonts w:hint="eastAsia" w:ascii="宋体" w:hAnsi="宋体"/>
          <w:szCs w:val="21"/>
        </w:rPr>
        <w:t>8.1 合同签订后</w:t>
      </w:r>
      <w:r>
        <w:rPr>
          <w:rFonts w:hint="eastAsia" w:ascii="宋体" w:hAnsi="宋体"/>
          <w:color w:val="0000FF"/>
          <w:szCs w:val="21"/>
          <w:u w:val="single"/>
        </w:rPr>
        <w:t xml:space="preserve">  </w:t>
      </w:r>
      <w:r>
        <w:rPr>
          <w:rFonts w:hint="eastAsia" w:ascii="宋体" w:hAnsi="宋体"/>
          <w:szCs w:val="21"/>
        </w:rPr>
        <w:t>日内，乙方向甲方提供服务方案。如甲方认为需要调整，乙方应根据要求修改方案。</w:t>
      </w:r>
    </w:p>
    <w:p w14:paraId="6D95BAE6">
      <w:pPr>
        <w:widowControl/>
        <w:adjustRightInd w:val="0"/>
        <w:snapToGrid w:val="0"/>
        <w:spacing w:line="360" w:lineRule="auto"/>
        <w:ind w:firstLine="420" w:firstLineChars="200"/>
        <w:rPr>
          <w:rFonts w:ascii="宋体" w:hAnsi="宋体"/>
          <w:szCs w:val="21"/>
        </w:rPr>
      </w:pPr>
      <w:r>
        <w:rPr>
          <w:rFonts w:hint="eastAsia" w:ascii="宋体" w:hAnsi="宋体"/>
          <w:szCs w:val="21"/>
        </w:rPr>
        <w:t>8.2 乙方应根据供应需求计划，按合同约定的时间向甲方提交进度报告。进度报告应包括：</w:t>
      </w:r>
    </w:p>
    <w:p w14:paraId="1E06208B">
      <w:pPr>
        <w:widowControl/>
        <w:adjustRightInd w:val="0"/>
        <w:snapToGrid w:val="0"/>
        <w:spacing w:line="360" w:lineRule="auto"/>
        <w:ind w:firstLine="420" w:firstLineChars="200"/>
        <w:rPr>
          <w:rFonts w:ascii="宋体" w:hAnsi="宋体"/>
          <w:szCs w:val="21"/>
        </w:rPr>
      </w:pPr>
      <w:r>
        <w:rPr>
          <w:rFonts w:hint="eastAsia" w:ascii="宋体" w:hAnsi="宋体"/>
          <w:szCs w:val="21"/>
        </w:rPr>
        <w:t>（1）服务安排计划；</w:t>
      </w:r>
    </w:p>
    <w:p w14:paraId="0371C4F3">
      <w:pPr>
        <w:widowControl/>
        <w:adjustRightInd w:val="0"/>
        <w:snapToGrid w:val="0"/>
        <w:spacing w:line="360" w:lineRule="auto"/>
        <w:ind w:firstLine="420" w:firstLineChars="200"/>
        <w:rPr>
          <w:rFonts w:ascii="宋体" w:hAnsi="宋体"/>
          <w:szCs w:val="21"/>
        </w:rPr>
      </w:pPr>
      <w:r>
        <w:rPr>
          <w:rFonts w:hint="eastAsia" w:ascii="宋体" w:hAnsi="宋体"/>
          <w:szCs w:val="21"/>
        </w:rPr>
        <w:t>（2）实际完成进度与计划完成进度的比较；</w:t>
      </w:r>
    </w:p>
    <w:p w14:paraId="7B533C17">
      <w:pPr>
        <w:widowControl/>
        <w:adjustRightInd w:val="0"/>
        <w:snapToGrid w:val="0"/>
        <w:spacing w:line="360" w:lineRule="auto"/>
        <w:ind w:firstLine="420" w:firstLineChars="200"/>
        <w:rPr>
          <w:rFonts w:ascii="宋体" w:hAnsi="宋体"/>
          <w:szCs w:val="21"/>
        </w:rPr>
      </w:pPr>
      <w:r>
        <w:rPr>
          <w:rFonts w:hint="eastAsia" w:ascii="宋体" w:hAnsi="宋体"/>
          <w:szCs w:val="21"/>
        </w:rPr>
        <w:t>（3）如果实际进度比计划进度滞后，应给出原因及改进措施。</w:t>
      </w:r>
    </w:p>
    <w:p w14:paraId="1C97293B">
      <w:pPr>
        <w:pStyle w:val="6"/>
      </w:pPr>
      <w:r>
        <w:rPr>
          <w:rFonts w:hint="eastAsia"/>
        </w:rPr>
        <w:t>9. 验收</w:t>
      </w:r>
    </w:p>
    <w:p w14:paraId="23482099">
      <w:pPr>
        <w:snapToGrid w:val="0"/>
        <w:spacing w:line="360" w:lineRule="auto"/>
        <w:ind w:firstLine="420" w:firstLineChars="200"/>
        <w:rPr>
          <w:rFonts w:ascii="宋体" w:hAnsi="宋体"/>
          <w:szCs w:val="21"/>
        </w:rPr>
      </w:pPr>
      <w:r>
        <w:rPr>
          <w:rFonts w:hint="eastAsia" w:ascii="宋体" w:hAnsi="宋体"/>
          <w:szCs w:val="21"/>
        </w:rPr>
        <w:t>9.1甲方对乙方提供的服务进行验收。</w:t>
      </w:r>
    </w:p>
    <w:p w14:paraId="42B6A1FA">
      <w:pPr>
        <w:snapToGrid w:val="0"/>
        <w:spacing w:line="360" w:lineRule="auto"/>
        <w:ind w:firstLine="420" w:firstLineChars="200"/>
        <w:rPr>
          <w:rFonts w:ascii="宋体" w:hAnsi="宋体"/>
          <w:szCs w:val="21"/>
          <w:u w:val="single"/>
        </w:rPr>
      </w:pPr>
      <w:r>
        <w:rPr>
          <w:rFonts w:hint="eastAsia" w:ascii="宋体" w:hAnsi="宋体"/>
          <w:szCs w:val="21"/>
        </w:rPr>
        <w:t xml:space="preserve">  验收时间：</w:t>
      </w:r>
      <w:r>
        <w:rPr>
          <w:rFonts w:hint="eastAsia" w:ascii="宋体" w:hAnsi="宋体"/>
          <w:szCs w:val="21"/>
          <w:u w:val="single"/>
        </w:rPr>
        <w:t xml:space="preserve">                     </w:t>
      </w:r>
      <w:r>
        <w:rPr>
          <w:rFonts w:hint="eastAsia" w:ascii="宋体" w:hAnsi="宋体"/>
          <w:szCs w:val="21"/>
        </w:rPr>
        <w:t>。</w:t>
      </w:r>
    </w:p>
    <w:p w14:paraId="321888B7">
      <w:pPr>
        <w:snapToGrid w:val="0"/>
        <w:spacing w:line="360" w:lineRule="auto"/>
        <w:ind w:firstLine="630" w:firstLineChars="300"/>
        <w:rPr>
          <w:rFonts w:ascii="宋体" w:hAnsi="宋体"/>
          <w:szCs w:val="21"/>
        </w:rPr>
      </w:pPr>
      <w:r>
        <w:rPr>
          <w:rFonts w:hint="eastAsia" w:ascii="宋体" w:hAnsi="宋体"/>
          <w:szCs w:val="21"/>
        </w:rPr>
        <w:t>验收地点：</w:t>
      </w:r>
      <w:r>
        <w:rPr>
          <w:rFonts w:hint="eastAsia" w:ascii="宋体" w:hAnsi="宋体"/>
          <w:szCs w:val="21"/>
          <w:u w:val="single"/>
        </w:rPr>
        <w:t xml:space="preserve">                     </w:t>
      </w:r>
      <w:r>
        <w:rPr>
          <w:rFonts w:hint="eastAsia" w:ascii="宋体" w:hAnsi="宋体"/>
          <w:szCs w:val="21"/>
        </w:rPr>
        <w:t>。</w:t>
      </w:r>
    </w:p>
    <w:p w14:paraId="2F6BA18E">
      <w:pPr>
        <w:snapToGrid w:val="0"/>
        <w:spacing w:line="360" w:lineRule="auto"/>
        <w:ind w:firstLine="630" w:firstLineChars="300"/>
        <w:rPr>
          <w:rFonts w:ascii="宋体" w:hAnsi="宋体"/>
          <w:szCs w:val="21"/>
        </w:rPr>
      </w:pPr>
      <w:r>
        <w:rPr>
          <w:rFonts w:hint="eastAsia" w:ascii="宋体" w:hAnsi="宋体"/>
          <w:szCs w:val="21"/>
        </w:rPr>
        <w:t>验收方式：</w:t>
      </w:r>
      <w:r>
        <w:rPr>
          <w:rFonts w:hint="eastAsia" w:ascii="宋体" w:hAnsi="宋体"/>
          <w:szCs w:val="21"/>
          <w:u w:val="single"/>
        </w:rPr>
        <w:t xml:space="preserve">                     </w:t>
      </w:r>
      <w:r>
        <w:rPr>
          <w:rFonts w:hint="eastAsia" w:ascii="宋体" w:hAnsi="宋体"/>
          <w:szCs w:val="21"/>
        </w:rPr>
        <w:t>。</w:t>
      </w:r>
    </w:p>
    <w:p w14:paraId="4F65E8F6">
      <w:pPr>
        <w:pStyle w:val="14"/>
        <w:tabs>
          <w:tab w:val="left" w:pos="0"/>
        </w:tabs>
        <w:snapToGrid w:val="0"/>
        <w:spacing w:line="360" w:lineRule="auto"/>
        <w:ind w:firstLine="420" w:firstLineChars="200"/>
        <w:rPr>
          <w:rFonts w:hAnsi="宋体"/>
        </w:rPr>
      </w:pPr>
      <w:r>
        <w:rPr>
          <w:rFonts w:hint="eastAsia" w:hAnsi="宋体"/>
        </w:rPr>
        <w:t>9.2 乙方应对提供的服务成果作出全面自查和整理，并列出清单，作为甲方验收和使用的技术条件依据，清单应随提供的服务成果交给甲方。</w:t>
      </w:r>
    </w:p>
    <w:p w14:paraId="36C5D4E2">
      <w:pPr>
        <w:snapToGrid w:val="0"/>
        <w:spacing w:line="360" w:lineRule="auto"/>
        <w:ind w:firstLine="420" w:firstLineChars="200"/>
        <w:rPr>
          <w:rFonts w:ascii="宋体" w:hAnsi="宋体"/>
          <w:szCs w:val="21"/>
        </w:rPr>
      </w:pPr>
      <w:r>
        <w:rPr>
          <w:rFonts w:hint="eastAsia" w:ascii="宋体" w:hAnsi="宋体"/>
          <w:szCs w:val="21"/>
        </w:rPr>
        <w:t>9.3 验收时，甲乙双方必须同时在场，</w:t>
      </w:r>
      <w:r>
        <w:rPr>
          <w:rFonts w:ascii="宋体" w:hAnsi="宋体"/>
          <w:szCs w:val="21"/>
        </w:rPr>
        <w:t>乙方所</w:t>
      </w:r>
      <w:r>
        <w:rPr>
          <w:rFonts w:hint="eastAsia" w:ascii="宋体" w:hAnsi="宋体"/>
          <w:szCs w:val="21"/>
        </w:rPr>
        <w:t>提供</w:t>
      </w:r>
      <w:r>
        <w:rPr>
          <w:rFonts w:ascii="宋体" w:hAnsi="宋体"/>
          <w:szCs w:val="21"/>
        </w:rPr>
        <w:t>的</w:t>
      </w:r>
      <w:r>
        <w:rPr>
          <w:rFonts w:hint="eastAsia" w:ascii="宋体" w:hAnsi="宋体"/>
          <w:szCs w:val="21"/>
        </w:rPr>
        <w:t>服务</w:t>
      </w:r>
      <w:r>
        <w:rPr>
          <w:rFonts w:ascii="宋体" w:hAnsi="宋体"/>
          <w:szCs w:val="21"/>
        </w:rPr>
        <w:t>不符合合同</w:t>
      </w:r>
      <w:r>
        <w:rPr>
          <w:rFonts w:hint="eastAsia" w:ascii="宋体" w:hAnsi="宋体"/>
          <w:szCs w:val="21"/>
        </w:rPr>
        <w:t>内容</w:t>
      </w:r>
      <w:r>
        <w:rPr>
          <w:rFonts w:ascii="宋体" w:hAnsi="宋体"/>
          <w:szCs w:val="21"/>
        </w:rPr>
        <w:t>规定的，甲方有权</w:t>
      </w:r>
      <w:r>
        <w:rPr>
          <w:rFonts w:hint="eastAsia" w:ascii="宋体" w:hAnsi="宋体"/>
          <w:szCs w:val="21"/>
        </w:rPr>
        <w:t>拒绝验收。乙方应及时按本合同内容规定和甲方要求免费进行整改，直至验收合格，方视为乙方按本合同规定完成服务</w:t>
      </w:r>
      <w:r>
        <w:rPr>
          <w:rFonts w:ascii="宋体" w:hAnsi="宋体"/>
          <w:szCs w:val="21"/>
        </w:rPr>
        <w:t>。</w:t>
      </w:r>
      <w:r>
        <w:rPr>
          <w:rFonts w:hint="eastAsia" w:ascii="宋体" w:hAnsi="宋体"/>
          <w:szCs w:val="21"/>
        </w:rPr>
        <w:t>验收合格的，由双方共同签订《验收报告》。在经过两次限期整改后，服务仍达不到合同文件规定内容的，甲方有权拒收，并可以解除合同；由此引起甲方损失及赔偿责任由乙方承担。</w:t>
      </w:r>
    </w:p>
    <w:p w14:paraId="249F8FA1">
      <w:pPr>
        <w:snapToGrid w:val="0"/>
        <w:spacing w:line="360" w:lineRule="auto"/>
        <w:ind w:firstLine="482"/>
        <w:textAlignment w:val="baseline"/>
        <w:rPr>
          <w:rFonts w:ascii="宋体" w:hAnsi="宋体"/>
          <w:szCs w:val="21"/>
        </w:rPr>
      </w:pPr>
      <w:r>
        <w:rPr>
          <w:rFonts w:hint="eastAsia" w:ascii="宋体" w:hAnsi="宋体"/>
          <w:szCs w:val="21"/>
        </w:rPr>
        <w:t>9.4 甲方可以视项目规模或复杂情况聘请专业人员参与验收，</w:t>
      </w:r>
      <w:r>
        <w:rPr>
          <w:rFonts w:ascii="宋体" w:hAnsi="宋体"/>
          <w:szCs w:val="21"/>
        </w:rPr>
        <w:t>大型或复杂项目</w:t>
      </w:r>
      <w:r>
        <w:rPr>
          <w:rFonts w:hint="eastAsia" w:ascii="宋体" w:hAnsi="宋体"/>
          <w:szCs w:val="21"/>
        </w:rPr>
        <w:t>，以及涉及专业服务内容的应当</w:t>
      </w:r>
      <w:r>
        <w:rPr>
          <w:rFonts w:ascii="宋体" w:hAnsi="宋体"/>
          <w:szCs w:val="21"/>
        </w:rPr>
        <w:t>邀请国家认可的第三方质量检测机构参与验收。</w:t>
      </w:r>
    </w:p>
    <w:p w14:paraId="33021C40">
      <w:pPr>
        <w:snapToGrid w:val="0"/>
        <w:spacing w:line="360" w:lineRule="auto"/>
        <w:ind w:firstLine="482"/>
        <w:textAlignment w:val="baseline"/>
        <w:rPr>
          <w:rFonts w:ascii="宋体" w:hAnsi="宋体"/>
          <w:szCs w:val="21"/>
        </w:rPr>
      </w:pPr>
      <w:r>
        <w:rPr>
          <w:rFonts w:hint="eastAsia" w:ascii="宋体" w:hAnsi="宋体"/>
          <w:szCs w:val="21"/>
        </w:rPr>
        <w:t>9.5 如项目实施情况需要分阶段验收，则根据实际情况分阶段出具《验收报告》。</w:t>
      </w:r>
    </w:p>
    <w:p w14:paraId="6FD31EB0">
      <w:pPr>
        <w:snapToGrid w:val="0"/>
        <w:spacing w:line="360" w:lineRule="auto"/>
        <w:ind w:firstLine="420" w:firstLineChars="200"/>
        <w:rPr>
          <w:rFonts w:ascii="宋体" w:hAnsi="宋体"/>
          <w:szCs w:val="21"/>
        </w:rPr>
      </w:pPr>
      <w:r>
        <w:rPr>
          <w:rFonts w:hint="eastAsia" w:ascii="宋体" w:hAnsi="宋体"/>
          <w:szCs w:val="21"/>
        </w:rPr>
        <w:t>9.6 如果合同双方对《验收报告》有分歧，双方须于出现分歧后</w:t>
      </w:r>
      <w:r>
        <w:rPr>
          <w:rFonts w:hint="eastAsia" w:ascii="宋体" w:hAnsi="宋体"/>
          <w:color w:val="0000FF"/>
          <w:szCs w:val="21"/>
          <w:u w:val="single"/>
        </w:rPr>
        <w:t xml:space="preserve">    </w:t>
      </w:r>
      <w:r>
        <w:rPr>
          <w:rFonts w:hint="eastAsia" w:ascii="宋体" w:hAnsi="宋体"/>
          <w:szCs w:val="21"/>
        </w:rPr>
        <w:t>天内给对方书面声明，以陈述理由及要求，并附有关证据。也可以邀请国家认可的质量检测机构或甲乙双方认可的第三方机构对服务进行鉴定。服务符合标准的，鉴定费由和误期责任甲方承担；不符合质量标准的，鉴定费由和误期责任乙方承担。</w:t>
      </w:r>
    </w:p>
    <w:p w14:paraId="3F9002CD">
      <w:pPr>
        <w:pStyle w:val="6"/>
      </w:pPr>
      <w:r>
        <w:rPr>
          <w:rFonts w:hint="eastAsia"/>
        </w:rPr>
        <w:t>10. 分包、转包</w:t>
      </w:r>
    </w:p>
    <w:p w14:paraId="7BDFED39">
      <w:pPr>
        <w:widowControl/>
        <w:adjustRightInd w:val="0"/>
        <w:snapToGrid w:val="0"/>
        <w:spacing w:line="360" w:lineRule="auto"/>
        <w:ind w:firstLine="420" w:firstLineChars="200"/>
        <w:rPr>
          <w:rFonts w:ascii="宋体" w:hAnsi="宋体"/>
          <w:szCs w:val="21"/>
        </w:rPr>
      </w:pPr>
      <w:r>
        <w:rPr>
          <w:rFonts w:hint="eastAsia" w:ascii="宋体" w:hAnsi="宋体"/>
          <w:szCs w:val="21"/>
        </w:rPr>
        <w:t>10.1除甲方事先书面同意外，乙方不得部分或全部转让其应履行的合同义务。</w:t>
      </w:r>
    </w:p>
    <w:p w14:paraId="1224FC06">
      <w:pPr>
        <w:widowControl/>
        <w:adjustRightInd w:val="0"/>
        <w:snapToGrid w:val="0"/>
        <w:spacing w:line="360" w:lineRule="auto"/>
        <w:ind w:firstLine="420" w:firstLineChars="200"/>
        <w:rPr>
          <w:rFonts w:ascii="宋体" w:hAnsi="宋体"/>
          <w:szCs w:val="21"/>
        </w:rPr>
      </w:pPr>
      <w:r>
        <w:rPr>
          <w:rFonts w:hint="eastAsia" w:ascii="宋体" w:hAnsi="宋体"/>
          <w:szCs w:val="21"/>
        </w:rPr>
        <w:t>10.2除甲方事先书面同意外，乙方不得改变在投标文件中提出的分包项目和建议的分包人（如果有）。</w:t>
      </w:r>
    </w:p>
    <w:p w14:paraId="0E07B30D">
      <w:pPr>
        <w:pStyle w:val="6"/>
      </w:pPr>
      <w:r>
        <w:rPr>
          <w:rFonts w:hint="eastAsia"/>
        </w:rPr>
        <w:t>11. 违约</w:t>
      </w:r>
    </w:p>
    <w:p w14:paraId="6603C969">
      <w:pPr>
        <w:snapToGrid w:val="0"/>
        <w:spacing w:line="360" w:lineRule="auto"/>
        <w:ind w:firstLine="420" w:firstLineChars="200"/>
        <w:rPr>
          <w:rFonts w:ascii="宋体" w:hAnsi="宋体"/>
          <w:szCs w:val="21"/>
        </w:rPr>
      </w:pPr>
      <w:r>
        <w:rPr>
          <w:rFonts w:hint="eastAsia" w:ascii="宋体" w:hAnsi="宋体"/>
          <w:szCs w:val="21"/>
        </w:rPr>
        <w:t>11.1 乙方违约</w:t>
      </w:r>
    </w:p>
    <w:p w14:paraId="1E16A6C2">
      <w:pPr>
        <w:snapToGrid w:val="0"/>
        <w:spacing w:line="360" w:lineRule="auto"/>
        <w:ind w:firstLine="420" w:firstLineChars="200"/>
        <w:rPr>
          <w:rFonts w:ascii="宋体" w:hAnsi="宋体"/>
          <w:szCs w:val="21"/>
        </w:rPr>
      </w:pPr>
      <w:r>
        <w:rPr>
          <w:rFonts w:hint="eastAsia" w:ascii="宋体" w:hAnsi="宋体"/>
          <w:szCs w:val="21"/>
        </w:rPr>
        <w:t xml:space="preserve">11.1.1 </w:t>
      </w:r>
      <w:r>
        <w:rPr>
          <w:rFonts w:ascii="宋体" w:hAnsi="宋体"/>
          <w:szCs w:val="21"/>
        </w:rPr>
        <w:t>乙方所交</w:t>
      </w:r>
      <w:r>
        <w:rPr>
          <w:rFonts w:hint="eastAsia" w:ascii="宋体" w:hAnsi="宋体"/>
          <w:szCs w:val="21"/>
        </w:rPr>
        <w:t>付服务</w:t>
      </w:r>
      <w:commentRangeStart w:id="0"/>
      <w:r>
        <w:rPr>
          <w:rFonts w:hint="eastAsia" w:ascii="宋体" w:hAnsi="宋体"/>
          <w:szCs w:val="21"/>
        </w:rPr>
        <w:t>成果</w:t>
      </w:r>
      <w:r>
        <w:rPr>
          <w:rFonts w:ascii="宋体" w:hAnsi="宋体"/>
          <w:szCs w:val="21"/>
        </w:rPr>
        <w:t>不符合</w:t>
      </w:r>
      <w:r>
        <w:rPr>
          <w:rFonts w:hint="eastAsia" w:ascii="宋体" w:hAnsi="宋体"/>
          <w:szCs w:val="21"/>
        </w:rPr>
        <w:t>本</w:t>
      </w:r>
      <w:r>
        <w:rPr>
          <w:rFonts w:ascii="宋体" w:hAnsi="宋体"/>
          <w:szCs w:val="21"/>
        </w:rPr>
        <w:t>合同规定的，甲方有权拒收</w:t>
      </w:r>
      <w:r>
        <w:rPr>
          <w:rFonts w:hint="eastAsia" w:ascii="宋体" w:hAnsi="宋体"/>
          <w:szCs w:val="21"/>
        </w:rPr>
        <w:t>，乙方在得到甲方通知之日起</w:t>
      </w:r>
      <w:r>
        <w:rPr>
          <w:rFonts w:hint="eastAsia" w:ascii="宋体" w:hAnsi="宋体"/>
          <w:szCs w:val="21"/>
          <w:u w:val="single"/>
        </w:rPr>
        <w:t xml:space="preserve">  3  </w:t>
      </w:r>
      <w:r>
        <w:rPr>
          <w:rFonts w:hint="eastAsia" w:ascii="宋体" w:hAnsi="宋体"/>
          <w:szCs w:val="21"/>
        </w:rPr>
        <w:t>个工作日内采取补救措施，逾期仍未采取有效措施的，甲方有权要求乙方赔偿因此造成的损失或扣留履约保证金；同时乙方应向甲方支付合同总价</w:t>
      </w:r>
      <w:r>
        <w:rPr>
          <w:rFonts w:hint="eastAsia" w:ascii="宋体" w:hAnsi="宋体"/>
          <w:color w:val="0000FF"/>
          <w:szCs w:val="21"/>
          <w:u w:val="single"/>
        </w:rPr>
        <w:t xml:space="preserve">      </w:t>
      </w:r>
      <w:r>
        <w:rPr>
          <w:rFonts w:hint="eastAsia" w:ascii="宋体" w:hAnsi="宋体"/>
          <w:szCs w:val="21"/>
        </w:rPr>
        <w:t>％的违约金/次。</w:t>
      </w:r>
    </w:p>
    <w:p w14:paraId="39266545">
      <w:pPr>
        <w:snapToGrid w:val="0"/>
        <w:spacing w:line="360" w:lineRule="auto"/>
        <w:ind w:firstLine="420" w:firstLineChars="200"/>
        <w:rPr>
          <w:rFonts w:ascii="宋体" w:hAnsi="宋体"/>
          <w:szCs w:val="21"/>
        </w:rPr>
      </w:pPr>
      <w:r>
        <w:rPr>
          <w:rFonts w:hint="eastAsia" w:ascii="宋体" w:hAnsi="宋体"/>
          <w:szCs w:val="21"/>
        </w:rPr>
        <w:t xml:space="preserve">11.1.2 </w:t>
      </w:r>
      <w:r>
        <w:rPr>
          <w:rFonts w:ascii="宋体" w:hAnsi="宋体"/>
          <w:szCs w:val="21"/>
        </w:rPr>
        <w:t>乙方无正当理由逾期交付</w:t>
      </w:r>
      <w:r>
        <w:rPr>
          <w:rFonts w:hint="eastAsia" w:ascii="宋体" w:hAnsi="宋体"/>
          <w:szCs w:val="21"/>
        </w:rPr>
        <w:t>服务</w:t>
      </w:r>
      <w:r>
        <w:rPr>
          <w:rFonts w:ascii="宋体" w:hAnsi="宋体"/>
          <w:szCs w:val="21"/>
        </w:rPr>
        <w:t>的，每逾期</w:t>
      </w:r>
      <w:r>
        <w:rPr>
          <w:rFonts w:hint="eastAsia" w:ascii="宋体" w:hAnsi="宋体"/>
          <w:color w:val="0000FF"/>
          <w:szCs w:val="21"/>
          <w:u w:val="single"/>
        </w:rPr>
        <w:t xml:space="preserve">    </w:t>
      </w:r>
      <w:r>
        <w:rPr>
          <w:rFonts w:ascii="宋体" w:hAnsi="宋体"/>
          <w:szCs w:val="21"/>
        </w:rPr>
        <w:t>天，乙方向甲方偿付</w:t>
      </w:r>
      <w:r>
        <w:rPr>
          <w:rFonts w:hint="eastAsia" w:ascii="宋体" w:hAnsi="宋体"/>
          <w:szCs w:val="21"/>
        </w:rPr>
        <w:t>合同</w:t>
      </w:r>
      <w:r>
        <w:rPr>
          <w:rFonts w:ascii="宋体" w:hAnsi="宋体"/>
          <w:szCs w:val="21"/>
        </w:rPr>
        <w:t>总额的</w:t>
      </w:r>
      <w:r>
        <w:rPr>
          <w:rFonts w:hint="eastAsia" w:ascii="宋体" w:hAnsi="宋体"/>
          <w:szCs w:val="21"/>
          <w:u w:val="single"/>
        </w:rPr>
        <w:t xml:space="preserve"> 1 </w:t>
      </w:r>
      <w:r>
        <w:rPr>
          <w:rFonts w:ascii="宋体" w:hAnsi="宋体"/>
          <w:szCs w:val="21"/>
        </w:rPr>
        <w:t>‰的</w:t>
      </w:r>
      <w:r>
        <w:rPr>
          <w:rFonts w:hint="eastAsia" w:ascii="宋体" w:hAnsi="宋体"/>
          <w:szCs w:val="21"/>
        </w:rPr>
        <w:t>违约</w:t>
      </w:r>
      <w:r>
        <w:rPr>
          <w:rFonts w:ascii="宋体" w:hAnsi="宋体"/>
          <w:szCs w:val="21"/>
        </w:rPr>
        <w:t>金</w:t>
      </w:r>
      <w:r>
        <w:rPr>
          <w:rFonts w:hint="eastAsia" w:ascii="宋体" w:hAnsi="宋体"/>
          <w:szCs w:val="21"/>
        </w:rPr>
        <w:t>，但累计误期违约金总额不超过合同总额的</w:t>
      </w:r>
      <w:r>
        <w:rPr>
          <w:rFonts w:hint="eastAsia" w:ascii="宋体" w:hAnsi="宋体"/>
          <w:color w:val="0000FF"/>
          <w:szCs w:val="21"/>
          <w:u w:val="single"/>
        </w:rPr>
        <w:t xml:space="preserve">  </w:t>
      </w:r>
      <w:r>
        <w:rPr>
          <w:rFonts w:hint="eastAsia" w:ascii="宋体" w:hAnsi="宋体"/>
          <w:szCs w:val="21"/>
        </w:rPr>
        <w:t>％。如乙方逾期达</w:t>
      </w:r>
      <w:r>
        <w:rPr>
          <w:rFonts w:hint="eastAsia" w:ascii="宋体" w:hAnsi="宋体"/>
          <w:color w:val="0000FF"/>
          <w:szCs w:val="21"/>
          <w:u w:val="single"/>
        </w:rPr>
        <w:t xml:space="preserve">  </w:t>
      </w:r>
      <w:r>
        <w:rPr>
          <w:rFonts w:hint="eastAsia" w:ascii="宋体" w:hAnsi="宋体"/>
          <w:szCs w:val="21"/>
        </w:rPr>
        <w:t>天或达到误期违约金最高限额时，甲方有权解除合同，甲方解除合同的通知自到达乙方时生效。在此情况下，乙方给甲方造成的实际损失高于违约金的，对高出违约金的部分乙方应予以赔偿。</w:t>
      </w:r>
    </w:p>
    <w:p w14:paraId="6E3A79A3">
      <w:pPr>
        <w:snapToGrid w:val="0"/>
        <w:spacing w:line="360" w:lineRule="auto"/>
        <w:ind w:firstLine="420" w:firstLineChars="200"/>
        <w:rPr>
          <w:rFonts w:ascii="宋体" w:hAnsi="宋体"/>
          <w:szCs w:val="21"/>
        </w:rPr>
      </w:pPr>
      <w:r>
        <w:rPr>
          <w:rFonts w:hint="eastAsia" w:ascii="宋体" w:hAnsi="宋体"/>
          <w:szCs w:val="21"/>
        </w:rPr>
        <w:t>11.2 甲方违约</w:t>
      </w:r>
    </w:p>
    <w:p w14:paraId="331FEA40">
      <w:pPr>
        <w:snapToGrid w:val="0"/>
        <w:spacing w:line="360" w:lineRule="auto"/>
        <w:ind w:firstLine="420" w:firstLineChars="200"/>
        <w:rPr>
          <w:rFonts w:ascii="宋体" w:hAnsi="宋体"/>
          <w:szCs w:val="21"/>
        </w:rPr>
      </w:pPr>
      <w:r>
        <w:rPr>
          <w:rFonts w:hint="eastAsia" w:ascii="宋体" w:hAnsi="宋体"/>
          <w:szCs w:val="21"/>
        </w:rPr>
        <w:t>11.2.1 甲方无正当理由拒收乙方服务成果，甲方应向乙方支付拒付合同价款</w:t>
      </w:r>
      <w:r>
        <w:rPr>
          <w:rFonts w:hint="eastAsia" w:ascii="宋体" w:hAnsi="宋体"/>
          <w:color w:val="0000FF"/>
          <w:szCs w:val="21"/>
          <w:u w:val="single"/>
        </w:rPr>
        <w:t xml:space="preserve">  </w:t>
      </w:r>
      <w:r>
        <w:rPr>
          <w:rFonts w:hint="eastAsia" w:ascii="宋体" w:hAnsi="宋体"/>
          <w:szCs w:val="21"/>
        </w:rPr>
        <w:t>％的违约金/次。</w:t>
      </w:r>
    </w:p>
    <w:p w14:paraId="1434D9A7">
      <w:pPr>
        <w:snapToGrid w:val="0"/>
        <w:spacing w:line="360" w:lineRule="auto"/>
        <w:ind w:firstLine="420" w:firstLineChars="200"/>
        <w:rPr>
          <w:rFonts w:ascii="宋体" w:hAnsi="宋体"/>
          <w:szCs w:val="21"/>
        </w:rPr>
      </w:pPr>
      <w:r>
        <w:rPr>
          <w:rFonts w:hint="eastAsia" w:ascii="宋体" w:hAnsi="宋体"/>
          <w:szCs w:val="21"/>
        </w:rPr>
        <w:t>11.2.2 甲方未按合同规定的期限向乙方支付合同款的，每逾期1天甲方向乙方支付逾期价款的</w:t>
      </w:r>
      <w:r>
        <w:rPr>
          <w:rFonts w:hint="eastAsia" w:ascii="宋体" w:hAnsi="宋体"/>
          <w:szCs w:val="21"/>
          <w:u w:val="single"/>
        </w:rPr>
        <w:t xml:space="preserve">   </w:t>
      </w:r>
      <w:r>
        <w:rPr>
          <w:rFonts w:hint="eastAsia" w:ascii="宋体" w:hAnsi="宋体"/>
          <w:szCs w:val="21"/>
        </w:rPr>
        <w:t>‰违约金，但累计违约金总额不超过逾期价款的</w:t>
      </w:r>
      <w:r>
        <w:rPr>
          <w:rFonts w:hint="eastAsia" w:ascii="宋体" w:hAnsi="宋体"/>
          <w:color w:val="0000FF"/>
          <w:szCs w:val="21"/>
          <w:u w:val="single"/>
        </w:rPr>
        <w:t xml:space="preserve"> </w:t>
      </w:r>
      <w:r>
        <w:rPr>
          <w:rFonts w:hint="eastAsia" w:ascii="宋体" w:hAnsi="宋体"/>
          <w:szCs w:val="21"/>
          <w:u w:val="single"/>
        </w:rPr>
        <w:t xml:space="preserve"> </w:t>
      </w:r>
      <w:r>
        <w:rPr>
          <w:rFonts w:hint="eastAsia" w:ascii="宋体" w:hAnsi="宋体"/>
          <w:szCs w:val="21"/>
        </w:rPr>
        <w:t>％。</w:t>
      </w:r>
    </w:p>
    <w:p w14:paraId="3E3E4AD4">
      <w:pPr>
        <w:snapToGrid w:val="0"/>
        <w:spacing w:line="360" w:lineRule="auto"/>
        <w:ind w:firstLine="420" w:firstLineChars="200"/>
        <w:rPr>
          <w:rFonts w:ascii="宋体" w:hAnsi="宋体"/>
          <w:szCs w:val="21"/>
        </w:rPr>
      </w:pPr>
      <w:r>
        <w:rPr>
          <w:rFonts w:hint="eastAsia" w:ascii="宋体" w:hAnsi="宋体"/>
          <w:szCs w:val="21"/>
        </w:rPr>
        <w:t>11.3 其它未尽事宜，以《合同法》和《政府采购法》等有关法律法规规定为准，无相关规定的，</w:t>
      </w:r>
      <w:commentRangeEnd w:id="0"/>
      <w:r>
        <w:commentReference w:id="0"/>
      </w:r>
      <w:r>
        <w:rPr>
          <w:rFonts w:hint="eastAsia" w:ascii="宋体" w:hAnsi="宋体"/>
          <w:szCs w:val="21"/>
        </w:rPr>
        <w:t>双方协商解决。</w:t>
      </w:r>
    </w:p>
    <w:p w14:paraId="57C63F6D">
      <w:pPr>
        <w:pStyle w:val="6"/>
      </w:pPr>
      <w:r>
        <w:rPr>
          <w:rFonts w:hint="eastAsia"/>
        </w:rPr>
        <w:t>12. 合同解除</w:t>
      </w:r>
    </w:p>
    <w:p w14:paraId="6E6D6208">
      <w:pPr>
        <w:widowControl/>
        <w:adjustRightInd w:val="0"/>
        <w:snapToGrid w:val="0"/>
        <w:spacing w:line="360" w:lineRule="auto"/>
        <w:ind w:firstLine="420" w:firstLineChars="200"/>
        <w:rPr>
          <w:rFonts w:ascii="宋体" w:hAnsi="宋体"/>
          <w:szCs w:val="21"/>
        </w:rPr>
      </w:pPr>
      <w:r>
        <w:rPr>
          <w:rFonts w:hint="eastAsia" w:ascii="宋体" w:hAnsi="宋体"/>
          <w:szCs w:val="21"/>
        </w:rPr>
        <w:t>12.1 乙方违约时合同解除</w:t>
      </w:r>
    </w:p>
    <w:p w14:paraId="058C759B">
      <w:pPr>
        <w:widowControl/>
        <w:adjustRightInd w:val="0"/>
        <w:snapToGrid w:val="0"/>
        <w:spacing w:line="360" w:lineRule="auto"/>
        <w:ind w:firstLine="420" w:firstLineChars="200"/>
        <w:rPr>
          <w:rFonts w:ascii="宋体" w:hAnsi="宋体"/>
          <w:szCs w:val="21"/>
        </w:rPr>
      </w:pPr>
      <w:r>
        <w:rPr>
          <w:rFonts w:hint="eastAsia" w:ascii="宋体" w:hAnsi="宋体"/>
          <w:szCs w:val="21"/>
        </w:rPr>
        <w:t>12.1.1 发生下列情形时，在甲方对乙方违约提出警告无效的情况下，甲方可以书面形式通知乙方，提出解除合同。</w:t>
      </w:r>
    </w:p>
    <w:p w14:paraId="35A0A063">
      <w:pPr>
        <w:widowControl/>
        <w:adjustRightInd w:val="0"/>
        <w:snapToGrid w:val="0"/>
        <w:spacing w:line="360" w:lineRule="auto"/>
        <w:ind w:firstLine="420" w:firstLineChars="200"/>
        <w:rPr>
          <w:rFonts w:ascii="宋体" w:hAnsi="宋体"/>
          <w:szCs w:val="21"/>
        </w:rPr>
      </w:pPr>
      <w:r>
        <w:rPr>
          <w:rFonts w:hint="eastAsia" w:ascii="宋体" w:hAnsi="宋体"/>
          <w:szCs w:val="21"/>
        </w:rPr>
        <w:t>（1）如果乙方未能在合同规定的时间内或未能在包括但不限于甲方同意延长的期限内提供部分或全部合同货物；</w:t>
      </w:r>
    </w:p>
    <w:p w14:paraId="63BFAE32">
      <w:pPr>
        <w:widowControl/>
        <w:adjustRightInd w:val="0"/>
        <w:snapToGrid w:val="0"/>
        <w:spacing w:line="360" w:lineRule="auto"/>
        <w:ind w:firstLine="420" w:firstLineChars="200"/>
        <w:rPr>
          <w:rFonts w:ascii="宋体" w:hAnsi="宋体"/>
          <w:szCs w:val="21"/>
        </w:rPr>
      </w:pPr>
      <w:r>
        <w:rPr>
          <w:rFonts w:hint="eastAsia" w:ascii="宋体" w:hAnsi="宋体"/>
          <w:szCs w:val="21"/>
        </w:rPr>
        <w:t>（2）如果乙方未能履行合同约定的义务；</w:t>
      </w:r>
    </w:p>
    <w:p w14:paraId="64C03C3D">
      <w:pPr>
        <w:widowControl/>
        <w:adjustRightInd w:val="0"/>
        <w:snapToGrid w:val="0"/>
        <w:spacing w:line="360" w:lineRule="auto"/>
        <w:ind w:firstLine="420" w:firstLineChars="200"/>
        <w:rPr>
          <w:rFonts w:ascii="宋体" w:hAnsi="宋体"/>
          <w:szCs w:val="21"/>
        </w:rPr>
      </w:pPr>
      <w:r>
        <w:rPr>
          <w:rFonts w:hint="eastAsia" w:ascii="宋体" w:hAnsi="宋体"/>
          <w:szCs w:val="21"/>
        </w:rPr>
        <w:t>12.2 乙方破产时解除合同</w:t>
      </w:r>
    </w:p>
    <w:p w14:paraId="68778EB6">
      <w:pPr>
        <w:widowControl/>
        <w:adjustRightInd w:val="0"/>
        <w:snapToGrid w:val="0"/>
        <w:spacing w:line="360" w:lineRule="auto"/>
        <w:ind w:firstLine="420" w:firstLineChars="200"/>
        <w:rPr>
          <w:rFonts w:ascii="宋体" w:hAnsi="宋体"/>
          <w:szCs w:val="21"/>
        </w:rPr>
      </w:pPr>
      <w:r>
        <w:rPr>
          <w:rFonts w:hint="eastAsia" w:ascii="宋体" w:hAnsi="宋体"/>
          <w:szCs w:val="21"/>
        </w:rPr>
        <w:t>如果乙方破产或无清偿债务的能力，导致合同不能履行时，甲方可以以书面形式通知乙方解除合同而不对乙方进行任何补偿。同时该解除合同将不损害或影响甲方已经采取或将要采取的任何行动或补救措施的任何权利。</w:t>
      </w:r>
    </w:p>
    <w:p w14:paraId="7ECF11E2">
      <w:pPr>
        <w:widowControl/>
        <w:adjustRightInd w:val="0"/>
        <w:snapToGrid w:val="0"/>
        <w:spacing w:line="360" w:lineRule="auto"/>
        <w:ind w:firstLine="420" w:firstLineChars="200"/>
        <w:rPr>
          <w:rFonts w:ascii="宋体" w:hAnsi="宋体"/>
          <w:szCs w:val="21"/>
        </w:rPr>
      </w:pPr>
      <w:r>
        <w:rPr>
          <w:rFonts w:hint="eastAsia" w:ascii="宋体" w:hAnsi="宋体"/>
          <w:szCs w:val="21"/>
        </w:rPr>
        <w:t>12.3 甲方违约解除合同</w:t>
      </w:r>
    </w:p>
    <w:p w14:paraId="2957CFC1">
      <w:pPr>
        <w:widowControl/>
        <w:adjustRightInd w:val="0"/>
        <w:snapToGrid w:val="0"/>
        <w:spacing w:line="360" w:lineRule="auto"/>
        <w:ind w:firstLine="420" w:firstLineChars="200"/>
        <w:rPr>
          <w:rFonts w:ascii="宋体" w:hAnsi="宋体"/>
          <w:szCs w:val="21"/>
        </w:rPr>
      </w:pPr>
      <w:r>
        <w:rPr>
          <w:rFonts w:hint="eastAsia" w:ascii="宋体" w:hAnsi="宋体"/>
          <w:szCs w:val="21"/>
        </w:rPr>
        <w:t>如果甲方无法继续履行或明确表示不履行或实质上已停止履行合同，乙方可以书面形式通知甲方，</w:t>
      </w:r>
      <w:r>
        <w:rPr>
          <w:rFonts w:hint="eastAsia" w:ascii="宋体" w:hAnsi="宋体"/>
          <w:position w:val="-1"/>
          <w:szCs w:val="21"/>
        </w:rPr>
        <w:t>提出解除合同。解除合同不免除甲方承担的违约责任。</w:t>
      </w:r>
    </w:p>
    <w:p w14:paraId="59008C6E">
      <w:pPr>
        <w:widowControl/>
        <w:adjustRightInd w:val="0"/>
        <w:snapToGrid w:val="0"/>
        <w:spacing w:line="360" w:lineRule="auto"/>
        <w:ind w:firstLine="420" w:firstLineChars="200"/>
        <w:rPr>
          <w:rFonts w:ascii="宋体" w:hAnsi="宋体"/>
          <w:szCs w:val="21"/>
        </w:rPr>
      </w:pPr>
      <w:r>
        <w:rPr>
          <w:rFonts w:hint="eastAsia" w:ascii="宋体" w:hAnsi="宋体"/>
          <w:szCs w:val="21"/>
        </w:rPr>
        <w:t>12.4 甲方解除合同后的结清</w:t>
      </w:r>
    </w:p>
    <w:p w14:paraId="6228361B">
      <w:pPr>
        <w:widowControl/>
        <w:adjustRightInd w:val="0"/>
        <w:snapToGrid w:val="0"/>
        <w:spacing w:line="360" w:lineRule="auto"/>
        <w:ind w:firstLine="420" w:firstLineChars="200"/>
        <w:rPr>
          <w:rFonts w:ascii="宋体" w:hAnsi="宋体"/>
          <w:szCs w:val="21"/>
        </w:rPr>
      </w:pPr>
      <w:r>
        <w:rPr>
          <w:rFonts w:hint="eastAsia" w:ascii="宋体" w:hAnsi="宋体"/>
          <w:szCs w:val="21"/>
        </w:rPr>
        <w:t>因乙方违约或破产，甲方提出解除合同的，在甲方通知乙方解除合同</w:t>
      </w:r>
      <w:r>
        <w:rPr>
          <w:rFonts w:hint="eastAsia" w:ascii="宋体" w:hAnsi="宋体"/>
          <w:color w:val="0000FF"/>
          <w:szCs w:val="21"/>
          <w:u w:val="single"/>
        </w:rPr>
        <w:t xml:space="preserve">    </w:t>
      </w:r>
      <w:r>
        <w:rPr>
          <w:rFonts w:hint="eastAsia" w:ascii="宋体" w:hAnsi="宋体"/>
          <w:szCs w:val="21"/>
        </w:rPr>
        <w:t>天内，乙方向甲方提交有关资料和凭证，按下列方式结清。</w:t>
      </w:r>
    </w:p>
    <w:p w14:paraId="4C4170AF">
      <w:pPr>
        <w:widowControl/>
        <w:adjustRightInd w:val="0"/>
        <w:snapToGrid w:val="0"/>
        <w:spacing w:line="360" w:lineRule="auto"/>
        <w:ind w:firstLine="420" w:firstLineChars="200"/>
        <w:rPr>
          <w:rFonts w:ascii="宋体" w:hAnsi="宋体"/>
          <w:szCs w:val="21"/>
        </w:rPr>
      </w:pPr>
      <w:r>
        <w:rPr>
          <w:rFonts w:hint="eastAsia" w:ascii="宋体" w:hAnsi="宋体"/>
          <w:szCs w:val="21"/>
        </w:rPr>
        <w:t>（1）乙方应将一切与合同有关的并已付款的文件、资料交付给甲方。</w:t>
      </w:r>
    </w:p>
    <w:p w14:paraId="311206BC">
      <w:pPr>
        <w:widowControl/>
        <w:adjustRightInd w:val="0"/>
        <w:snapToGrid w:val="0"/>
        <w:spacing w:line="360" w:lineRule="auto"/>
        <w:ind w:firstLine="420" w:firstLineChars="200"/>
        <w:rPr>
          <w:rFonts w:ascii="宋体" w:hAnsi="宋体"/>
          <w:szCs w:val="21"/>
        </w:rPr>
      </w:pPr>
      <w:r>
        <w:rPr>
          <w:rFonts w:hint="eastAsia" w:ascii="宋体" w:hAnsi="宋体"/>
          <w:szCs w:val="21"/>
        </w:rPr>
        <w:t>（2）甲方应清查各项付款和已扣款金额，包括按合同约定的违约扣款，以及由于解除合同给甲方造成损失的违约金额，并做详细说明。</w:t>
      </w:r>
    </w:p>
    <w:p w14:paraId="7BB5C9DE">
      <w:pPr>
        <w:widowControl/>
        <w:adjustRightInd w:val="0"/>
        <w:snapToGrid w:val="0"/>
        <w:spacing w:line="360" w:lineRule="auto"/>
        <w:ind w:firstLine="420" w:firstLineChars="200"/>
        <w:rPr>
          <w:rFonts w:ascii="宋体" w:hAnsi="宋体"/>
          <w:szCs w:val="21"/>
        </w:rPr>
      </w:pPr>
      <w:r>
        <w:rPr>
          <w:rFonts w:hint="eastAsia" w:ascii="宋体" w:hAnsi="宋体"/>
          <w:szCs w:val="21"/>
        </w:rPr>
        <w:t>（4）甲乙双方确认上述往来款项和违约金额后，结清合同价款。</w:t>
      </w:r>
    </w:p>
    <w:p w14:paraId="1F52B321">
      <w:pPr>
        <w:widowControl/>
        <w:adjustRightInd w:val="0"/>
        <w:snapToGrid w:val="0"/>
        <w:spacing w:line="360" w:lineRule="auto"/>
        <w:ind w:firstLine="420" w:firstLineChars="200"/>
        <w:rPr>
          <w:rFonts w:ascii="宋体" w:hAnsi="宋体"/>
          <w:szCs w:val="21"/>
        </w:rPr>
      </w:pPr>
      <w:r>
        <w:rPr>
          <w:rFonts w:hint="eastAsia" w:ascii="宋体" w:hAnsi="宋体"/>
          <w:szCs w:val="21"/>
        </w:rPr>
        <w:t>（5）甲乙双方未能就解除合同后的结清达成一致而形成争议的，按合同约定办理。</w:t>
      </w:r>
    </w:p>
    <w:p w14:paraId="281C7844">
      <w:pPr>
        <w:widowControl/>
        <w:adjustRightInd w:val="0"/>
        <w:snapToGrid w:val="0"/>
        <w:spacing w:line="360" w:lineRule="auto"/>
        <w:ind w:firstLine="420" w:firstLineChars="200"/>
        <w:rPr>
          <w:rFonts w:ascii="宋体" w:hAnsi="宋体"/>
          <w:szCs w:val="21"/>
        </w:rPr>
      </w:pPr>
      <w:r>
        <w:rPr>
          <w:rFonts w:hint="eastAsia" w:ascii="宋体" w:hAnsi="宋体"/>
          <w:szCs w:val="21"/>
        </w:rPr>
        <w:t>12.5 乙方解除合同的结清</w:t>
      </w:r>
    </w:p>
    <w:p w14:paraId="3507882A">
      <w:pPr>
        <w:widowControl/>
        <w:adjustRightInd w:val="0"/>
        <w:snapToGrid w:val="0"/>
        <w:spacing w:line="360" w:lineRule="auto"/>
        <w:ind w:firstLine="420" w:firstLineChars="200"/>
        <w:rPr>
          <w:rFonts w:ascii="宋体" w:hAnsi="宋体"/>
          <w:szCs w:val="21"/>
        </w:rPr>
      </w:pPr>
      <w:r>
        <w:rPr>
          <w:rFonts w:hint="eastAsia" w:ascii="宋体" w:hAnsi="宋体"/>
          <w:szCs w:val="21"/>
        </w:rPr>
        <w:t>因甲方违约乙方提出解除合同的，在乙方通知甲方解除合</w:t>
      </w:r>
      <w:r>
        <w:rPr>
          <w:rFonts w:hint="eastAsia" w:ascii="宋体" w:hAnsi="宋体"/>
          <w:color w:val="000000"/>
          <w:szCs w:val="21"/>
        </w:rPr>
        <w:t>同</w:t>
      </w:r>
      <w:r>
        <w:rPr>
          <w:rFonts w:hint="eastAsia" w:ascii="宋体" w:hAnsi="宋体"/>
          <w:color w:val="000000"/>
          <w:szCs w:val="21"/>
          <w:u w:val="single"/>
        </w:rPr>
        <w:t xml:space="preserve">   </w:t>
      </w:r>
      <w:r>
        <w:rPr>
          <w:rFonts w:hint="eastAsia" w:ascii="宋体" w:hAnsi="宋体"/>
          <w:color w:val="000000"/>
          <w:szCs w:val="21"/>
        </w:rPr>
        <w:t>天内，乙</w:t>
      </w:r>
      <w:r>
        <w:rPr>
          <w:rFonts w:hint="eastAsia" w:ascii="宋体" w:hAnsi="宋体"/>
          <w:szCs w:val="21"/>
        </w:rPr>
        <w:t>方向甲方提交有关资料和凭证，按下列方式结清。</w:t>
      </w:r>
    </w:p>
    <w:p w14:paraId="7D2A8DEE">
      <w:pPr>
        <w:widowControl/>
        <w:adjustRightInd w:val="0"/>
        <w:snapToGrid w:val="0"/>
        <w:spacing w:line="360" w:lineRule="auto"/>
        <w:ind w:firstLine="420" w:firstLineChars="200"/>
        <w:rPr>
          <w:rFonts w:ascii="宋体" w:hAnsi="宋体"/>
          <w:szCs w:val="21"/>
        </w:rPr>
      </w:pPr>
      <w:r>
        <w:rPr>
          <w:rFonts w:hint="eastAsia" w:ascii="宋体" w:hAnsi="宋体"/>
          <w:szCs w:val="21"/>
        </w:rPr>
        <w:t>（1）乙方应将一切与合同有关的并已付款的文件、资料交付给甲方。</w:t>
      </w:r>
    </w:p>
    <w:p w14:paraId="4EA19B36">
      <w:pPr>
        <w:widowControl/>
        <w:adjustRightInd w:val="0"/>
        <w:snapToGrid w:val="0"/>
        <w:spacing w:line="360" w:lineRule="auto"/>
        <w:ind w:firstLine="420" w:firstLineChars="200"/>
        <w:rPr>
          <w:rFonts w:ascii="宋体" w:hAnsi="宋体"/>
          <w:szCs w:val="21"/>
        </w:rPr>
      </w:pPr>
      <w:r>
        <w:rPr>
          <w:rFonts w:hint="eastAsia" w:ascii="宋体" w:hAnsi="宋体"/>
          <w:szCs w:val="21"/>
        </w:rPr>
        <w:t>（2）乙方应清查已交付的合同货物金额，甲方已支付的金额，甲方未支付的金额，以及由于解除合同给乙方造成损失的违约金额，并做详细说明。</w:t>
      </w:r>
    </w:p>
    <w:p w14:paraId="178DA2FE">
      <w:pPr>
        <w:widowControl/>
        <w:adjustRightInd w:val="0"/>
        <w:snapToGrid w:val="0"/>
        <w:spacing w:line="360" w:lineRule="auto"/>
        <w:ind w:firstLine="420" w:firstLineChars="200"/>
        <w:rPr>
          <w:rFonts w:ascii="宋体" w:hAnsi="宋体"/>
          <w:szCs w:val="21"/>
        </w:rPr>
      </w:pPr>
      <w:r>
        <w:rPr>
          <w:rFonts w:hint="eastAsia" w:ascii="宋体" w:hAnsi="宋体"/>
          <w:szCs w:val="21"/>
        </w:rPr>
        <w:t>（3）买卖双方确认上述往来款项和违约金额后，结清合同价款，甲方应退还质量保证金和履约保证金。</w:t>
      </w:r>
    </w:p>
    <w:p w14:paraId="5FD7A941">
      <w:pPr>
        <w:widowControl/>
        <w:adjustRightInd w:val="0"/>
        <w:snapToGrid w:val="0"/>
        <w:spacing w:line="360" w:lineRule="auto"/>
        <w:ind w:firstLine="420" w:firstLineChars="200"/>
        <w:rPr>
          <w:rFonts w:ascii="宋体" w:hAnsi="宋体"/>
          <w:szCs w:val="21"/>
        </w:rPr>
      </w:pPr>
      <w:r>
        <w:rPr>
          <w:rFonts w:hint="eastAsia" w:ascii="宋体" w:hAnsi="宋体"/>
          <w:szCs w:val="21"/>
        </w:rPr>
        <w:t>（4）买卖双方未能就解除合同后的结清达成一致而形成争议的，按合同约定办理。</w:t>
      </w:r>
    </w:p>
    <w:p w14:paraId="2B0EC7A6">
      <w:pPr>
        <w:pStyle w:val="6"/>
      </w:pPr>
      <w:r>
        <w:rPr>
          <w:rFonts w:hint="eastAsia"/>
        </w:rPr>
        <w:t>13. 履约保证金</w:t>
      </w:r>
    </w:p>
    <w:p w14:paraId="58267862">
      <w:pPr>
        <w:widowControl/>
        <w:adjustRightInd w:val="0"/>
        <w:snapToGrid w:val="0"/>
        <w:spacing w:line="360" w:lineRule="auto"/>
        <w:ind w:firstLine="420" w:firstLineChars="200"/>
        <w:rPr>
          <w:rFonts w:ascii="宋体" w:hAnsi="宋体"/>
          <w:szCs w:val="21"/>
        </w:rPr>
      </w:pPr>
      <w:r>
        <w:rPr>
          <w:rFonts w:hint="eastAsia" w:ascii="宋体" w:hAnsi="宋体"/>
          <w:szCs w:val="21"/>
        </w:rPr>
        <w:t>13.1 乙方应向甲方提交提交履约保证金，履约保证金用于补偿甲方因乙方不能履行其合同义务而蒙受的损失。</w:t>
      </w:r>
    </w:p>
    <w:p w14:paraId="3CA82610">
      <w:pPr>
        <w:widowControl/>
        <w:adjustRightInd w:val="0"/>
        <w:snapToGrid w:val="0"/>
        <w:spacing w:line="360" w:lineRule="auto"/>
        <w:ind w:firstLine="420" w:firstLineChars="200"/>
        <w:rPr>
          <w:rFonts w:ascii="宋体" w:hAnsi="宋体"/>
          <w:szCs w:val="21"/>
          <w:u w:val="single"/>
        </w:rPr>
      </w:pPr>
      <w:r>
        <w:rPr>
          <w:rFonts w:hint="eastAsia" w:ascii="宋体" w:hAnsi="宋体"/>
          <w:szCs w:val="21"/>
        </w:rPr>
        <w:t>履约保证金金额：</w:t>
      </w:r>
      <w:r>
        <w:rPr>
          <w:rFonts w:hint="eastAsia" w:ascii="宋体" w:hAnsi="宋体"/>
          <w:szCs w:val="21"/>
          <w:u w:val="single"/>
        </w:rPr>
        <w:t xml:space="preserve">                  </w:t>
      </w:r>
    </w:p>
    <w:p w14:paraId="1466A093">
      <w:pPr>
        <w:widowControl/>
        <w:adjustRightInd w:val="0"/>
        <w:snapToGrid w:val="0"/>
        <w:spacing w:line="360" w:lineRule="auto"/>
        <w:ind w:firstLine="420" w:firstLineChars="200"/>
        <w:rPr>
          <w:rFonts w:ascii="宋体" w:hAnsi="宋体"/>
          <w:szCs w:val="21"/>
        </w:rPr>
      </w:pPr>
      <w:r>
        <w:rPr>
          <w:rFonts w:hint="eastAsia" w:ascii="宋体" w:hAnsi="宋体"/>
          <w:szCs w:val="21"/>
        </w:rPr>
        <w:t>履约保证金形式：</w:t>
      </w:r>
      <w:r>
        <w:rPr>
          <w:rFonts w:hint="eastAsia" w:ascii="宋体" w:hAnsi="宋体"/>
          <w:szCs w:val="21"/>
          <w:u w:val="single"/>
        </w:rPr>
        <w:t xml:space="preserve">                  </w:t>
      </w:r>
    </w:p>
    <w:p w14:paraId="41B9AECE">
      <w:pPr>
        <w:widowControl/>
        <w:adjustRightInd w:val="0"/>
        <w:snapToGrid w:val="0"/>
        <w:spacing w:line="360" w:lineRule="auto"/>
        <w:ind w:firstLine="420" w:firstLineChars="200"/>
        <w:rPr>
          <w:rFonts w:ascii="宋体" w:hAnsi="宋体"/>
          <w:szCs w:val="21"/>
        </w:rPr>
      </w:pPr>
      <w:r>
        <w:rPr>
          <w:rFonts w:hint="eastAsia" w:ascii="宋体" w:hAnsi="宋体"/>
          <w:szCs w:val="21"/>
        </w:rPr>
        <w:t>履约保证金提交时间：</w:t>
      </w:r>
      <w:r>
        <w:rPr>
          <w:rFonts w:hint="eastAsia" w:ascii="宋体" w:hAnsi="宋体"/>
          <w:szCs w:val="21"/>
          <w:u w:val="single"/>
        </w:rPr>
        <w:t xml:space="preserve">              </w:t>
      </w:r>
    </w:p>
    <w:p w14:paraId="6B6A7649">
      <w:pPr>
        <w:widowControl/>
        <w:adjustRightInd w:val="0"/>
        <w:snapToGrid w:val="0"/>
        <w:spacing w:line="360" w:lineRule="auto"/>
        <w:ind w:firstLine="420" w:firstLineChars="200"/>
        <w:rPr>
          <w:rFonts w:ascii="宋体" w:hAnsi="宋体"/>
          <w:szCs w:val="21"/>
        </w:rPr>
      </w:pPr>
      <w:r>
        <w:rPr>
          <w:rFonts w:hint="eastAsia" w:ascii="宋体" w:hAnsi="宋体"/>
          <w:szCs w:val="21"/>
        </w:rPr>
        <w:t>13.2履约保证金的有效期为合同服务最后一批服务成果验收合格后</w:t>
      </w:r>
      <w:r>
        <w:rPr>
          <w:rFonts w:hint="eastAsia" w:ascii="宋体" w:hAnsi="宋体"/>
          <w:color w:val="0000FF"/>
          <w:szCs w:val="21"/>
          <w:u w:val="single"/>
        </w:rPr>
        <w:t xml:space="preserve">  </w:t>
      </w:r>
      <w:r>
        <w:rPr>
          <w:rFonts w:hint="eastAsia" w:ascii="宋体" w:hAnsi="宋体"/>
          <w:szCs w:val="21"/>
        </w:rPr>
        <w:t>天。</w:t>
      </w:r>
    </w:p>
    <w:p w14:paraId="16351A52">
      <w:pPr>
        <w:widowControl/>
        <w:adjustRightInd w:val="0"/>
        <w:snapToGrid w:val="0"/>
        <w:spacing w:line="360" w:lineRule="auto"/>
        <w:ind w:firstLine="420" w:firstLineChars="200"/>
        <w:rPr>
          <w:rFonts w:ascii="宋体" w:hAnsi="宋体"/>
          <w:szCs w:val="21"/>
        </w:rPr>
      </w:pPr>
      <w:r>
        <w:rPr>
          <w:rFonts w:hint="eastAsia" w:ascii="宋体" w:hAnsi="宋体"/>
          <w:szCs w:val="21"/>
        </w:rPr>
        <w:t>13.3履约保证金在合同服务成果验收合格后</w:t>
      </w:r>
      <w:r>
        <w:rPr>
          <w:rFonts w:hint="eastAsia" w:ascii="宋体" w:hAnsi="宋体"/>
          <w:szCs w:val="21"/>
          <w:u w:val="single"/>
        </w:rPr>
        <w:t xml:space="preserve"> </w:t>
      </w:r>
      <w:r>
        <w:rPr>
          <w:rFonts w:hint="eastAsia" w:ascii="宋体" w:hAnsi="宋体"/>
          <w:color w:val="0000FF"/>
          <w:szCs w:val="21"/>
          <w:u w:val="single"/>
        </w:rPr>
        <w:t xml:space="preserve"> </w:t>
      </w:r>
      <w:r>
        <w:rPr>
          <w:rFonts w:hint="eastAsia" w:ascii="宋体" w:hAnsi="宋体"/>
          <w:szCs w:val="21"/>
        </w:rPr>
        <w:t>天内无息退还。</w:t>
      </w:r>
    </w:p>
    <w:p w14:paraId="2239CE20">
      <w:pPr>
        <w:widowControl/>
        <w:adjustRightInd w:val="0"/>
        <w:snapToGrid w:val="0"/>
        <w:spacing w:line="360" w:lineRule="auto"/>
        <w:ind w:firstLine="420" w:firstLineChars="200"/>
        <w:rPr>
          <w:rFonts w:ascii="宋体" w:hAnsi="宋体"/>
          <w:szCs w:val="21"/>
        </w:rPr>
      </w:pPr>
      <w:r>
        <w:rPr>
          <w:rFonts w:hint="eastAsia" w:ascii="宋体" w:hAnsi="宋体"/>
          <w:szCs w:val="21"/>
        </w:rPr>
        <w:t>13.4 履约保证金因乙方原因导致服务期限延长，其履约保证金有效期应相应延长。</w:t>
      </w:r>
    </w:p>
    <w:p w14:paraId="70D593F5">
      <w:pPr>
        <w:widowControl/>
        <w:adjustRightInd w:val="0"/>
        <w:snapToGrid w:val="0"/>
        <w:spacing w:line="360" w:lineRule="auto"/>
        <w:ind w:firstLine="420" w:firstLineChars="200"/>
        <w:rPr>
          <w:rFonts w:ascii="宋体" w:hAnsi="宋体"/>
          <w:szCs w:val="21"/>
        </w:rPr>
      </w:pPr>
      <w:r>
        <w:rPr>
          <w:rFonts w:hint="eastAsia" w:ascii="宋体" w:hAnsi="宋体"/>
          <w:szCs w:val="21"/>
        </w:rPr>
        <w:t>13.5 发生下列之一者，则不予退还履约保证金：</w:t>
      </w:r>
    </w:p>
    <w:p w14:paraId="24EDA1F5">
      <w:pPr>
        <w:widowControl/>
        <w:adjustRightInd w:val="0"/>
        <w:snapToGrid w:val="0"/>
        <w:spacing w:line="360" w:lineRule="auto"/>
        <w:ind w:firstLine="420" w:firstLineChars="200"/>
        <w:rPr>
          <w:rFonts w:ascii="宋体" w:hAnsi="宋体"/>
          <w:szCs w:val="21"/>
        </w:rPr>
      </w:pPr>
      <w:r>
        <w:rPr>
          <w:rFonts w:hint="eastAsia" w:ascii="宋体" w:hAnsi="宋体"/>
          <w:szCs w:val="21"/>
        </w:rPr>
        <w:t>（1）乙方发生违约行为而完全终止合同；</w:t>
      </w:r>
    </w:p>
    <w:p w14:paraId="7382823C">
      <w:pPr>
        <w:widowControl/>
        <w:adjustRightInd w:val="0"/>
        <w:snapToGrid w:val="0"/>
        <w:spacing w:line="360" w:lineRule="auto"/>
        <w:ind w:firstLine="420" w:firstLineChars="200"/>
        <w:rPr>
          <w:rFonts w:ascii="宋体" w:hAnsi="宋体"/>
          <w:szCs w:val="21"/>
        </w:rPr>
      </w:pPr>
      <w:r>
        <w:rPr>
          <w:rFonts w:hint="eastAsia" w:ascii="宋体" w:hAnsi="宋体"/>
          <w:szCs w:val="21"/>
        </w:rPr>
        <w:t>（2）乙方不履行实质性的投标承诺。</w:t>
      </w:r>
    </w:p>
    <w:p w14:paraId="377062BC">
      <w:pPr>
        <w:widowControl/>
        <w:adjustRightInd w:val="0"/>
        <w:snapToGrid w:val="0"/>
        <w:spacing w:line="360" w:lineRule="auto"/>
        <w:ind w:firstLine="420" w:firstLineChars="200"/>
        <w:rPr>
          <w:rFonts w:ascii="宋体" w:hAnsi="宋体"/>
          <w:szCs w:val="21"/>
        </w:rPr>
      </w:pPr>
      <w:r>
        <w:rPr>
          <w:rFonts w:hint="eastAsia" w:ascii="宋体" w:hAnsi="宋体"/>
          <w:szCs w:val="21"/>
        </w:rPr>
        <w:t>13.6 履约保证金的退还或不予退还并不免除乙方对已交付服务的质量责任。</w:t>
      </w:r>
    </w:p>
    <w:p w14:paraId="0C6F0A6E">
      <w:pPr>
        <w:pStyle w:val="6"/>
      </w:pPr>
      <w:r>
        <w:rPr>
          <w:rFonts w:hint="eastAsia"/>
        </w:rPr>
        <w:t>14. 不可抗力</w:t>
      </w:r>
    </w:p>
    <w:p w14:paraId="08A16436">
      <w:pPr>
        <w:widowControl/>
        <w:adjustRightInd w:val="0"/>
        <w:snapToGrid w:val="0"/>
        <w:spacing w:line="360" w:lineRule="auto"/>
        <w:ind w:firstLine="420" w:firstLineChars="200"/>
        <w:rPr>
          <w:rFonts w:ascii="宋体" w:hAnsi="宋体"/>
          <w:szCs w:val="21"/>
        </w:rPr>
      </w:pPr>
      <w:r>
        <w:rPr>
          <w:rFonts w:hint="eastAsia" w:ascii="宋体" w:hAnsi="宋体"/>
          <w:szCs w:val="21"/>
        </w:rPr>
        <w:t>14.1 如果合同任何一方受诸如战争、严重的火灾、台风、地震、洪水以及任何其他不能预见、不能避免且不能克服的不可抗力事件的影响而无法履行合同项下的任何义务，受影响的一方应将此类事件的发生通知合同另一方，并应在不可抗力事件发生后</w:t>
      </w:r>
      <w:r>
        <w:rPr>
          <w:rFonts w:hint="eastAsia" w:ascii="宋体" w:hAnsi="宋体"/>
          <w:color w:val="0000FF"/>
          <w:szCs w:val="21"/>
          <w:u w:val="single"/>
        </w:rPr>
        <w:t xml:space="preserve">  </w:t>
      </w:r>
      <w:r>
        <w:rPr>
          <w:rFonts w:hint="eastAsia" w:ascii="宋体" w:hAnsi="宋体"/>
          <w:szCs w:val="21"/>
        </w:rPr>
        <w:t>天内书面</w:t>
      </w:r>
      <w:r>
        <w:rPr>
          <w:rFonts w:hint="eastAsia" w:ascii="宋体" w:hAnsi="宋体"/>
          <w:position w:val="-1"/>
          <w:szCs w:val="21"/>
        </w:rPr>
        <w:t>说明不可抗力和受阻碍的详细情</w:t>
      </w:r>
      <w:r>
        <w:rPr>
          <w:rFonts w:hint="eastAsia" w:ascii="宋体" w:hAnsi="宋体"/>
          <w:szCs w:val="21"/>
        </w:rPr>
        <w:t>况，并提供必要的证明。</w:t>
      </w:r>
    </w:p>
    <w:p w14:paraId="3453D1FF">
      <w:pPr>
        <w:widowControl/>
        <w:adjustRightInd w:val="0"/>
        <w:snapToGrid w:val="0"/>
        <w:spacing w:line="360" w:lineRule="auto"/>
        <w:ind w:firstLine="420" w:firstLineChars="200"/>
        <w:rPr>
          <w:rFonts w:ascii="宋体" w:hAnsi="宋体"/>
          <w:szCs w:val="21"/>
        </w:rPr>
      </w:pPr>
      <w:r>
        <w:rPr>
          <w:rFonts w:hint="eastAsia" w:ascii="宋体" w:hAnsi="宋体"/>
          <w:szCs w:val="21"/>
        </w:rPr>
        <w:t>14.2 受不可抗力事件影响的合同一方对于不可抗力事件导致的任何合同义务的迟延履行或不能履行不承担责任。但该合同方应尽快将不可抗力事件结束或其影响消除的情况通知合同另一方。双方由此产生的损失不得向对方提出索赔要求，也不承担误期赔偿或终止合同的责任。</w:t>
      </w:r>
    </w:p>
    <w:p w14:paraId="0B334FA3">
      <w:pPr>
        <w:widowControl/>
        <w:adjustRightInd w:val="0"/>
        <w:snapToGrid w:val="0"/>
        <w:spacing w:line="360" w:lineRule="auto"/>
        <w:ind w:firstLine="420" w:firstLineChars="200"/>
        <w:rPr>
          <w:rFonts w:ascii="宋体" w:hAnsi="宋体"/>
          <w:szCs w:val="21"/>
        </w:rPr>
      </w:pPr>
      <w:r>
        <w:rPr>
          <w:rFonts w:hint="eastAsia" w:ascii="宋体" w:hAnsi="宋体"/>
          <w:szCs w:val="21"/>
        </w:rPr>
        <w:t>14.3 合同双方应在不可抗力事件结束或其影响消除后，立即继续履行其合同义务，合同期限也应相应延长。如果不可抗力事件的影响持续超过</w:t>
      </w:r>
      <w:r>
        <w:rPr>
          <w:rFonts w:hint="eastAsia" w:ascii="宋体" w:hAnsi="宋体"/>
          <w:color w:val="0000FF"/>
          <w:szCs w:val="21"/>
          <w:u w:val="single"/>
        </w:rPr>
        <w:t xml:space="preserve">  </w:t>
      </w:r>
      <w:r>
        <w:rPr>
          <w:rFonts w:hint="eastAsia" w:ascii="宋体" w:hAnsi="宋体"/>
          <w:szCs w:val="21"/>
        </w:rPr>
        <w:t>天，合同任何一方均有权以书面形式通知对方部分或全部终止合同。</w:t>
      </w:r>
    </w:p>
    <w:p w14:paraId="46DB3920">
      <w:pPr>
        <w:widowControl/>
        <w:adjustRightInd w:val="0"/>
        <w:snapToGrid w:val="0"/>
        <w:spacing w:line="360" w:lineRule="auto"/>
        <w:ind w:firstLine="420" w:firstLineChars="200"/>
        <w:rPr>
          <w:rFonts w:ascii="宋体" w:hAnsi="宋体"/>
          <w:szCs w:val="21"/>
        </w:rPr>
      </w:pPr>
      <w:r>
        <w:rPr>
          <w:rFonts w:hint="eastAsia" w:ascii="宋体" w:hAnsi="宋体"/>
          <w:szCs w:val="21"/>
        </w:rPr>
        <w:t>14.4 因不可抗力终止合同的结清参照第12.4款规定办理。</w:t>
      </w:r>
    </w:p>
    <w:p w14:paraId="4BBB7E90">
      <w:pPr>
        <w:pStyle w:val="6"/>
      </w:pPr>
      <w:r>
        <w:rPr>
          <w:rFonts w:hint="eastAsia"/>
        </w:rPr>
        <w:t>15. 税费</w:t>
      </w:r>
    </w:p>
    <w:p w14:paraId="51369920">
      <w:pPr>
        <w:widowControl/>
        <w:adjustRightInd w:val="0"/>
        <w:snapToGrid w:val="0"/>
        <w:spacing w:line="360" w:lineRule="auto"/>
        <w:ind w:firstLine="420" w:firstLineChars="200"/>
        <w:rPr>
          <w:rFonts w:ascii="宋体" w:hAnsi="宋体"/>
          <w:szCs w:val="21"/>
        </w:rPr>
      </w:pPr>
      <w:r>
        <w:rPr>
          <w:rFonts w:hint="eastAsia" w:ascii="宋体" w:hAnsi="宋体"/>
          <w:szCs w:val="21"/>
        </w:rPr>
        <w:t>15.1 按现行税法规定向甲方征收的与本合同有关的一切税费均由甲方负责。</w:t>
      </w:r>
    </w:p>
    <w:p w14:paraId="4720927B">
      <w:pPr>
        <w:widowControl/>
        <w:adjustRightInd w:val="0"/>
        <w:snapToGrid w:val="0"/>
        <w:spacing w:line="360" w:lineRule="auto"/>
        <w:ind w:firstLine="420" w:firstLineChars="200"/>
        <w:rPr>
          <w:rFonts w:ascii="宋体" w:hAnsi="宋体"/>
          <w:szCs w:val="21"/>
        </w:rPr>
      </w:pPr>
      <w:r>
        <w:rPr>
          <w:rFonts w:hint="eastAsia" w:ascii="宋体" w:hAnsi="宋体"/>
          <w:szCs w:val="21"/>
        </w:rPr>
        <w:t>15.2 按现行税法规定向乙方征收的与本合同有关的一切税费均由乙方负责。</w:t>
      </w:r>
    </w:p>
    <w:p w14:paraId="42CB3522">
      <w:pPr>
        <w:pStyle w:val="6"/>
      </w:pPr>
      <w:r>
        <w:rPr>
          <w:rFonts w:hint="eastAsia"/>
        </w:rPr>
        <w:t>16. 争议的解决</w:t>
      </w:r>
    </w:p>
    <w:p w14:paraId="2494016D">
      <w:pPr>
        <w:widowControl/>
        <w:adjustRightInd w:val="0"/>
        <w:snapToGrid w:val="0"/>
        <w:spacing w:line="360" w:lineRule="auto"/>
        <w:ind w:firstLine="420" w:firstLineChars="200"/>
        <w:rPr>
          <w:rFonts w:ascii="宋体" w:hAnsi="宋体"/>
          <w:color w:val="000000"/>
          <w:szCs w:val="21"/>
        </w:rPr>
      </w:pPr>
      <w:r>
        <w:rPr>
          <w:rFonts w:hint="eastAsia" w:ascii="宋体" w:hAnsi="宋体"/>
          <w:szCs w:val="21"/>
        </w:rPr>
        <w:t>16.1 合同履行过程中出现争议时，买卖双方应本着公平、合理的原则，及时友好协商解决。如在</w:t>
      </w:r>
      <w:r>
        <w:rPr>
          <w:rFonts w:hint="eastAsia" w:ascii="宋体" w:hAnsi="宋体"/>
          <w:color w:val="0000FF"/>
          <w:szCs w:val="21"/>
          <w:u w:val="single"/>
        </w:rPr>
        <w:t xml:space="preserve">   </w:t>
      </w:r>
      <w:r>
        <w:rPr>
          <w:rFonts w:hint="eastAsia" w:ascii="宋体" w:hAnsi="宋体"/>
          <w:szCs w:val="21"/>
        </w:rPr>
        <w:t>天内未能解决，</w:t>
      </w:r>
      <w:r>
        <w:rPr>
          <w:rFonts w:ascii="宋体" w:hAnsi="宋体"/>
          <w:color w:val="000000"/>
          <w:szCs w:val="21"/>
        </w:rPr>
        <w:t>按下列第</w:t>
      </w:r>
      <w:commentRangeStart w:id="1"/>
      <w:r>
        <w:rPr>
          <w:rFonts w:ascii="宋体" w:hAnsi="宋体"/>
          <w:color w:val="000000"/>
          <w:szCs w:val="21"/>
          <w:u w:val="single"/>
        </w:rPr>
        <w:t xml:space="preserve"> </w:t>
      </w:r>
      <w:r>
        <w:rPr>
          <w:rFonts w:hint="eastAsia" w:ascii="宋体" w:hAnsi="宋体"/>
          <w:color w:val="000000"/>
          <w:szCs w:val="21"/>
          <w:u w:val="single"/>
        </w:rPr>
        <w:t>2</w:t>
      </w:r>
      <w:r>
        <w:rPr>
          <w:rFonts w:ascii="宋体" w:hAnsi="宋体"/>
          <w:color w:val="000000"/>
          <w:szCs w:val="21"/>
          <w:u w:val="single"/>
        </w:rPr>
        <w:t xml:space="preserve">  </w:t>
      </w:r>
      <w:commentRangeEnd w:id="1"/>
      <w:r>
        <w:commentReference w:id="1"/>
      </w:r>
      <w:r>
        <w:rPr>
          <w:rFonts w:ascii="宋体" w:hAnsi="宋体"/>
          <w:color w:val="000000"/>
          <w:szCs w:val="21"/>
        </w:rPr>
        <w:t>种方式</w:t>
      </w:r>
      <w:r>
        <w:rPr>
          <w:rFonts w:hint="eastAsia" w:ascii="宋体" w:hAnsi="宋体"/>
          <w:color w:val="000000"/>
          <w:szCs w:val="21"/>
        </w:rPr>
        <w:t>解</w:t>
      </w:r>
      <w:r>
        <w:rPr>
          <w:rFonts w:ascii="宋体" w:hAnsi="宋体"/>
          <w:color w:val="000000"/>
          <w:szCs w:val="21"/>
        </w:rPr>
        <w:t>决：</w:t>
      </w:r>
    </w:p>
    <w:p w14:paraId="5DB9E7F8">
      <w:pPr>
        <w:spacing w:line="360" w:lineRule="auto"/>
        <w:ind w:firstLine="420" w:firstLineChars="200"/>
        <w:jc w:val="left"/>
        <w:rPr>
          <w:rFonts w:ascii="宋体" w:hAnsi="宋体"/>
          <w:color w:val="000000"/>
          <w:szCs w:val="21"/>
        </w:rPr>
      </w:pPr>
      <w:r>
        <w:rPr>
          <w:rFonts w:ascii="宋体" w:hAnsi="宋体"/>
          <w:color w:val="000000"/>
          <w:szCs w:val="21"/>
        </w:rPr>
        <w:t>（1）向</w:t>
      </w:r>
      <w:r>
        <w:rPr>
          <w:rFonts w:ascii="宋体" w:hAnsi="宋体"/>
          <w:color w:val="000000"/>
          <w:szCs w:val="21"/>
          <w:u w:val="single"/>
        </w:rPr>
        <w:t xml:space="preserve">     </w:t>
      </w:r>
      <w:r>
        <w:rPr>
          <w:rFonts w:hint="eastAsia" w:ascii="宋体" w:hAnsi="宋体"/>
          <w:color w:val="0000FF"/>
          <w:szCs w:val="21"/>
          <w:u w:val="single"/>
        </w:rPr>
        <w:t xml:space="preserve"> </w:t>
      </w:r>
      <w:r>
        <w:rPr>
          <w:rFonts w:ascii="宋体" w:hAnsi="宋体"/>
          <w:color w:val="000000"/>
          <w:szCs w:val="21"/>
          <w:u w:val="single"/>
        </w:rPr>
        <w:t xml:space="preserve">     </w:t>
      </w:r>
      <w:r>
        <w:rPr>
          <w:rFonts w:ascii="宋体" w:hAnsi="宋体"/>
          <w:color w:val="000000"/>
          <w:szCs w:val="21"/>
        </w:rPr>
        <w:t>仲裁委员会申请仲裁；</w:t>
      </w:r>
    </w:p>
    <w:p w14:paraId="1229C223">
      <w:pPr>
        <w:spacing w:line="360" w:lineRule="auto"/>
        <w:ind w:firstLine="420" w:firstLineChars="200"/>
        <w:jc w:val="left"/>
        <w:rPr>
          <w:rFonts w:ascii="宋体" w:hAnsi="宋体"/>
          <w:color w:val="000000"/>
          <w:szCs w:val="21"/>
        </w:rPr>
      </w:pPr>
      <w:r>
        <w:rPr>
          <w:rFonts w:ascii="宋体" w:hAnsi="宋体"/>
          <w:color w:val="000000"/>
          <w:szCs w:val="21"/>
        </w:rPr>
        <w:t>（2）向</w:t>
      </w:r>
      <w:r>
        <w:rPr>
          <w:rFonts w:ascii="宋体" w:hAnsi="宋体"/>
          <w:color w:val="000000"/>
          <w:szCs w:val="21"/>
          <w:u w:val="single"/>
        </w:rPr>
        <w:t xml:space="preserve">  </w:t>
      </w:r>
      <w:r>
        <w:rPr>
          <w:rFonts w:hint="eastAsia" w:ascii="宋体" w:hAnsi="宋体"/>
          <w:color w:val="0000FF"/>
          <w:szCs w:val="21"/>
          <w:u w:val="single"/>
        </w:rPr>
        <w:t>甲方所在地的有管辖权</w:t>
      </w:r>
      <w:r>
        <w:rPr>
          <w:rFonts w:ascii="宋体" w:hAnsi="宋体"/>
          <w:color w:val="000000"/>
          <w:szCs w:val="21"/>
          <w:u w:val="single"/>
        </w:rPr>
        <w:t xml:space="preserve">   </w:t>
      </w:r>
      <w:r>
        <w:rPr>
          <w:rFonts w:ascii="宋体" w:hAnsi="宋体"/>
          <w:color w:val="000000"/>
          <w:szCs w:val="21"/>
        </w:rPr>
        <w:t>人民法院起诉。</w:t>
      </w:r>
    </w:p>
    <w:p w14:paraId="18370BE6">
      <w:pPr>
        <w:widowControl/>
        <w:adjustRightInd w:val="0"/>
        <w:snapToGrid w:val="0"/>
        <w:spacing w:line="360" w:lineRule="auto"/>
        <w:ind w:firstLine="420" w:firstLineChars="200"/>
        <w:rPr>
          <w:rFonts w:ascii="宋体" w:hAnsi="宋体"/>
          <w:szCs w:val="21"/>
        </w:rPr>
      </w:pPr>
      <w:r>
        <w:rPr>
          <w:rFonts w:hint="eastAsia" w:ascii="宋体" w:hAnsi="宋体"/>
          <w:szCs w:val="21"/>
        </w:rPr>
        <w:t>16.2 在争议期间，除存在争议的部分外，本合同其它部分应继续履行。</w:t>
      </w:r>
    </w:p>
    <w:p w14:paraId="56915BED">
      <w:pPr>
        <w:pStyle w:val="6"/>
      </w:pPr>
      <w:r>
        <w:rPr>
          <w:rFonts w:hint="eastAsia"/>
        </w:rPr>
        <w:t>17. 适用法律</w:t>
      </w:r>
    </w:p>
    <w:p w14:paraId="23BA26A5">
      <w:pPr>
        <w:widowControl/>
        <w:adjustRightInd w:val="0"/>
        <w:snapToGrid w:val="0"/>
        <w:spacing w:line="360" w:lineRule="auto"/>
        <w:ind w:firstLine="420" w:firstLineChars="200"/>
        <w:rPr>
          <w:rFonts w:ascii="宋体" w:hAnsi="宋体"/>
          <w:szCs w:val="21"/>
        </w:rPr>
      </w:pPr>
      <w:r>
        <w:rPr>
          <w:rFonts w:hint="eastAsia" w:ascii="宋体" w:hAnsi="宋体"/>
          <w:szCs w:val="21"/>
        </w:rPr>
        <w:t>本合同应按照中华人民共和国的法律进行解释。</w:t>
      </w:r>
    </w:p>
    <w:p w14:paraId="258CA345">
      <w:pPr>
        <w:pStyle w:val="6"/>
      </w:pPr>
      <w:r>
        <w:rPr>
          <w:rFonts w:hint="eastAsia"/>
        </w:rPr>
        <w:t>18. 合同生效</w:t>
      </w:r>
    </w:p>
    <w:p w14:paraId="3A0D3590">
      <w:pPr>
        <w:widowControl/>
        <w:adjustRightInd w:val="0"/>
        <w:snapToGrid w:val="0"/>
        <w:spacing w:line="360" w:lineRule="auto"/>
        <w:ind w:firstLine="420" w:firstLineChars="200"/>
        <w:rPr>
          <w:rFonts w:ascii="宋体" w:hAnsi="宋体"/>
          <w:szCs w:val="21"/>
        </w:rPr>
      </w:pPr>
      <w:r>
        <w:rPr>
          <w:rFonts w:hint="eastAsia" w:ascii="宋体" w:hAnsi="宋体"/>
          <w:szCs w:val="21"/>
        </w:rPr>
        <w:t>除法律另有规定外，甲方和乙方的法定代表人（单位负责人）或其委托代理人在合同协议书上签字并盖单位章后，合同生效。</w:t>
      </w:r>
    </w:p>
    <w:p w14:paraId="5A07D1CA">
      <w:pPr>
        <w:pStyle w:val="6"/>
      </w:pPr>
      <w:r>
        <w:rPr>
          <w:rFonts w:hint="eastAsia"/>
        </w:rPr>
        <w:t>19. 合同附件</w:t>
      </w:r>
    </w:p>
    <w:p w14:paraId="0DDBEEB3">
      <w:pPr>
        <w:widowControl/>
        <w:adjustRightInd w:val="0"/>
        <w:snapToGrid w:val="0"/>
        <w:spacing w:line="360" w:lineRule="auto"/>
        <w:ind w:firstLine="420" w:firstLineChars="200"/>
        <w:rPr>
          <w:rFonts w:ascii="宋体" w:hAnsi="宋体"/>
          <w:szCs w:val="21"/>
        </w:rPr>
      </w:pPr>
      <w:r>
        <w:rPr>
          <w:rFonts w:hint="eastAsia" w:ascii="宋体" w:hAnsi="宋体"/>
          <w:szCs w:val="21"/>
        </w:rPr>
        <w:t>按合同协议书规定的合同组成部分作为合同附件。</w:t>
      </w:r>
    </w:p>
    <w:p w14:paraId="7344E796">
      <w:pPr>
        <w:pStyle w:val="6"/>
      </w:pPr>
      <w:r>
        <w:rPr>
          <w:rFonts w:hint="eastAsia"/>
        </w:rPr>
        <w:t>20. 补充条款</w:t>
      </w:r>
    </w:p>
    <w:p w14:paraId="4E1AF58F">
      <w:pPr>
        <w:widowControl/>
        <w:adjustRightInd w:val="0"/>
        <w:snapToGrid w:val="0"/>
        <w:spacing w:line="360" w:lineRule="auto"/>
        <w:ind w:firstLine="420" w:firstLineChars="200"/>
        <w:rPr>
          <w:rFonts w:ascii="宋体"/>
          <w:szCs w:val="21"/>
          <w:u w:val="single"/>
        </w:rPr>
      </w:pPr>
      <w:r>
        <w:rPr>
          <w:rFonts w:hint="eastAsia" w:ascii="宋体"/>
          <w:szCs w:val="21"/>
          <w:u w:val="single"/>
        </w:rPr>
        <w:t xml:space="preserve">    /     </w:t>
      </w:r>
    </w:p>
    <w:p w14:paraId="16006C71">
      <w:pPr>
        <w:pStyle w:val="6"/>
      </w:pPr>
      <w:r>
        <w:rPr>
          <w:rFonts w:hint="eastAsia"/>
        </w:rPr>
        <w:t>21. 其他</w:t>
      </w:r>
    </w:p>
    <w:p w14:paraId="40D47E23">
      <w:pPr>
        <w:snapToGrid w:val="0"/>
        <w:spacing w:line="360" w:lineRule="auto"/>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份，甲、乙双方各执</w:t>
      </w:r>
      <w:r>
        <w:rPr>
          <w:rFonts w:hint="eastAsia" w:ascii="宋体" w:hAnsi="宋体"/>
          <w:szCs w:val="21"/>
          <w:u w:val="single"/>
        </w:rPr>
        <w:t xml:space="preserve">    </w:t>
      </w:r>
      <w:r>
        <w:rPr>
          <w:rFonts w:hint="eastAsia" w:ascii="宋体" w:hAnsi="宋体"/>
          <w:szCs w:val="21"/>
        </w:rPr>
        <w:t>份。</w:t>
      </w:r>
    </w:p>
    <w:p w14:paraId="0CA7CE97">
      <w:pPr>
        <w:snapToGrid w:val="0"/>
        <w:spacing w:line="360" w:lineRule="auto"/>
        <w:ind w:firstLine="420" w:firstLineChars="200"/>
        <w:rPr>
          <w:rFonts w:ascii="宋体" w:hAnsi="宋体"/>
        </w:rPr>
      </w:pPr>
    </w:p>
    <w:p w14:paraId="3734DAE8">
      <w:pPr>
        <w:snapToGrid w:val="0"/>
        <w:spacing w:line="360" w:lineRule="auto"/>
        <w:ind w:firstLine="420" w:firstLineChars="200"/>
        <w:rPr>
          <w:rFonts w:ascii="宋体" w:hAnsi="宋体"/>
          <w:szCs w:val="21"/>
        </w:rPr>
      </w:pPr>
      <w:r>
        <w:rPr>
          <w:rFonts w:hint="eastAsia" w:ascii="宋体" w:hAnsi="宋体"/>
          <w:szCs w:val="21"/>
        </w:rPr>
        <w:t>甲   方：                        乙   方：</w:t>
      </w:r>
    </w:p>
    <w:p w14:paraId="2BCACEB2">
      <w:pPr>
        <w:snapToGrid w:val="0"/>
        <w:spacing w:line="360" w:lineRule="auto"/>
        <w:ind w:firstLine="420" w:firstLineChars="200"/>
        <w:rPr>
          <w:rFonts w:ascii="宋体" w:hAnsi="宋体"/>
          <w:szCs w:val="21"/>
        </w:rPr>
      </w:pPr>
      <w:r>
        <w:rPr>
          <w:rFonts w:hint="eastAsia" w:ascii="宋体" w:hAnsi="宋体"/>
          <w:szCs w:val="21"/>
        </w:rPr>
        <w:t>名称：（盖章）                    名称：（盖章）</w:t>
      </w:r>
    </w:p>
    <w:p w14:paraId="4A153CC3">
      <w:pPr>
        <w:snapToGrid w:val="0"/>
        <w:spacing w:line="360" w:lineRule="auto"/>
        <w:ind w:firstLine="420" w:firstLineChars="200"/>
        <w:rPr>
          <w:rFonts w:ascii="宋体" w:hAnsi="宋体"/>
          <w:szCs w:val="21"/>
        </w:rPr>
      </w:pPr>
      <w:r>
        <w:rPr>
          <w:rFonts w:hint="eastAsia" w:ascii="宋体" w:hAnsi="宋体"/>
          <w:szCs w:val="21"/>
        </w:rPr>
        <w:t>地址：                           地址：</w:t>
      </w:r>
    </w:p>
    <w:p w14:paraId="07B4F40C">
      <w:pPr>
        <w:snapToGrid w:val="0"/>
        <w:spacing w:line="360" w:lineRule="auto"/>
        <w:ind w:firstLine="420" w:firstLineChars="200"/>
        <w:rPr>
          <w:rFonts w:ascii="宋体" w:hAnsi="宋体"/>
          <w:szCs w:val="21"/>
        </w:rPr>
      </w:pPr>
      <w:r>
        <w:rPr>
          <w:rFonts w:hint="eastAsia" w:ascii="宋体" w:hAnsi="宋体"/>
          <w:szCs w:val="21"/>
        </w:rPr>
        <w:t>法定代表人（签字）：              法定代表人（签字）：</w:t>
      </w:r>
    </w:p>
    <w:p w14:paraId="0C81F5C0">
      <w:pPr>
        <w:snapToGrid w:val="0"/>
        <w:spacing w:line="360" w:lineRule="auto"/>
        <w:ind w:firstLine="420" w:firstLineChars="200"/>
        <w:rPr>
          <w:rFonts w:ascii="宋体" w:hAnsi="宋体"/>
          <w:szCs w:val="21"/>
        </w:rPr>
      </w:pPr>
      <w:r>
        <w:rPr>
          <w:rFonts w:hint="eastAsia" w:ascii="宋体" w:hAnsi="宋体"/>
          <w:szCs w:val="21"/>
        </w:rPr>
        <w:t>授权代表（签字）：                授权代表（签字）：</w:t>
      </w:r>
    </w:p>
    <w:p w14:paraId="54C71CB6">
      <w:pPr>
        <w:snapToGrid w:val="0"/>
        <w:spacing w:line="360" w:lineRule="auto"/>
        <w:ind w:firstLine="420" w:firstLineChars="200"/>
        <w:rPr>
          <w:rFonts w:ascii="宋体" w:hAnsi="宋体"/>
          <w:szCs w:val="21"/>
        </w:rPr>
      </w:pPr>
      <w:r>
        <w:rPr>
          <w:rFonts w:hint="eastAsia" w:ascii="宋体" w:hAnsi="宋体"/>
          <w:szCs w:val="21"/>
        </w:rPr>
        <w:t>开户银行：                       开户银行：</w:t>
      </w:r>
    </w:p>
    <w:p w14:paraId="771904FB">
      <w:pPr>
        <w:snapToGrid w:val="0"/>
        <w:spacing w:line="360" w:lineRule="auto"/>
        <w:ind w:firstLine="420" w:firstLineChars="200"/>
        <w:rPr>
          <w:rFonts w:ascii="宋体" w:hAnsi="宋体"/>
          <w:szCs w:val="21"/>
        </w:rPr>
      </w:pPr>
      <w:r>
        <w:rPr>
          <w:rFonts w:hint="eastAsia" w:ascii="宋体" w:hAnsi="宋体"/>
          <w:szCs w:val="21"/>
          <w:lang w:eastAsia="zh-CN"/>
        </w:rPr>
        <w:t>银行账号</w:t>
      </w:r>
      <w:r>
        <w:rPr>
          <w:rFonts w:hint="eastAsia" w:ascii="宋体" w:hAnsi="宋体"/>
          <w:szCs w:val="21"/>
        </w:rPr>
        <w:t xml:space="preserve">：                       </w:t>
      </w:r>
      <w:r>
        <w:rPr>
          <w:rFonts w:hint="eastAsia" w:ascii="宋体" w:hAnsi="宋体"/>
          <w:szCs w:val="21"/>
          <w:lang w:eastAsia="zh-CN"/>
        </w:rPr>
        <w:t>银行账号</w:t>
      </w:r>
      <w:r>
        <w:rPr>
          <w:rFonts w:hint="eastAsia" w:ascii="宋体" w:hAnsi="宋体"/>
          <w:szCs w:val="21"/>
        </w:rPr>
        <w:t>：</w:t>
      </w:r>
    </w:p>
    <w:p w14:paraId="288C4004">
      <w:pPr>
        <w:snapToGrid w:val="0"/>
        <w:spacing w:line="360" w:lineRule="auto"/>
        <w:ind w:firstLine="420" w:firstLineChars="200"/>
        <w:rPr>
          <w:rFonts w:ascii="宋体" w:hAnsi="宋体"/>
          <w:szCs w:val="21"/>
        </w:rPr>
      </w:pPr>
      <w:r>
        <w:rPr>
          <w:rFonts w:hint="eastAsia" w:ascii="宋体" w:hAnsi="宋体"/>
          <w:szCs w:val="21"/>
        </w:rPr>
        <w:t>时间：         年     月     日</w:t>
      </w:r>
    </w:p>
    <w:p w14:paraId="558202DF">
      <w:pPr>
        <w:adjustRightInd w:val="0"/>
        <w:snapToGrid w:val="0"/>
        <w:spacing w:line="360" w:lineRule="auto"/>
        <w:ind w:firstLine="420" w:firstLineChars="200"/>
        <w:rPr>
          <w:rFonts w:ascii="宋体" w:hAnsi="宋体"/>
          <w:szCs w:val="21"/>
        </w:rPr>
      </w:pPr>
    </w:p>
    <w:p w14:paraId="67627FD3">
      <w:pPr>
        <w:ind w:left="17" w:leftChars="8" w:firstLine="928" w:firstLineChars="258"/>
        <w:rPr>
          <w:sz w:val="36"/>
          <w:szCs w:val="36"/>
        </w:rPr>
      </w:pPr>
      <w:r>
        <w:rPr>
          <w:rFonts w:hint="eastAsia"/>
          <w:sz w:val="36"/>
          <w:szCs w:val="36"/>
        </w:rPr>
        <w:t xml:space="preserve">    </w:t>
      </w:r>
    </w:p>
    <w:p w14:paraId="085F2377">
      <w:pPr>
        <w:ind w:left="17" w:leftChars="8" w:firstLine="928" w:firstLineChars="258"/>
        <w:rPr>
          <w:sz w:val="36"/>
          <w:szCs w:val="36"/>
        </w:rPr>
      </w:pPr>
    </w:p>
    <w:p w14:paraId="2503D0CF">
      <w:pPr>
        <w:jc w:val="center"/>
        <w:rPr>
          <w:sz w:val="36"/>
          <w:szCs w:val="36"/>
        </w:rPr>
      </w:pPr>
      <w:r>
        <w:rPr>
          <w:rFonts w:hint="eastAsia"/>
          <w:sz w:val="36"/>
          <w:szCs w:val="36"/>
        </w:rPr>
        <w:t xml:space="preserve">第七章 </w:t>
      </w:r>
      <w:bookmarkEnd w:id="142"/>
      <w:bookmarkStart w:id="146" w:name="_Toc22415"/>
      <w:r>
        <w:rPr>
          <w:rFonts w:hint="eastAsia"/>
          <w:sz w:val="36"/>
          <w:szCs w:val="36"/>
        </w:rPr>
        <w:t>竞争性磋商</w:t>
      </w:r>
      <w:r>
        <w:rPr>
          <w:sz w:val="36"/>
          <w:szCs w:val="36"/>
        </w:rPr>
        <w:t>响应文件格式</w:t>
      </w:r>
      <w:bookmarkEnd w:id="143"/>
      <w:bookmarkEnd w:id="144"/>
    </w:p>
    <w:bookmarkEnd w:id="145"/>
    <w:bookmarkEnd w:id="146"/>
    <w:p w14:paraId="2471FD01">
      <w:pPr>
        <w:spacing w:before="62" w:after="62" w:line="360" w:lineRule="auto"/>
        <w:ind w:right="-4"/>
        <w:jc w:val="center"/>
        <w:rPr>
          <w:rFonts w:ascii="宋体" w:hAnsi="宋体" w:cs="宋体"/>
          <w:sz w:val="24"/>
        </w:rPr>
      </w:pPr>
    </w:p>
    <w:p w14:paraId="2C9429E0">
      <w:pPr>
        <w:pStyle w:val="2"/>
        <w:rPr>
          <w:rFonts w:hAnsi="宋体" w:cs="宋体"/>
          <w:sz w:val="24"/>
        </w:rPr>
      </w:pPr>
    </w:p>
    <w:p w14:paraId="39CC0B13">
      <w:pPr>
        <w:pStyle w:val="18"/>
        <w:rPr>
          <w:rFonts w:ascii="宋体" w:hAnsi="宋体" w:cs="宋体"/>
          <w:sz w:val="24"/>
        </w:rPr>
      </w:pPr>
    </w:p>
    <w:p w14:paraId="59BCE9C9">
      <w:pPr>
        <w:rPr>
          <w:rFonts w:ascii="宋体" w:hAnsi="宋体" w:cs="宋体"/>
          <w:sz w:val="24"/>
        </w:rPr>
      </w:pPr>
    </w:p>
    <w:p w14:paraId="37292E7C">
      <w:pPr>
        <w:pStyle w:val="2"/>
        <w:rPr>
          <w:rFonts w:hAnsi="宋体" w:cs="宋体"/>
          <w:sz w:val="24"/>
        </w:rPr>
      </w:pPr>
    </w:p>
    <w:p w14:paraId="7537976A">
      <w:pPr>
        <w:pStyle w:val="18"/>
      </w:pPr>
    </w:p>
    <w:p w14:paraId="47594340">
      <w:pPr>
        <w:spacing w:before="62" w:after="62" w:line="360" w:lineRule="auto"/>
        <w:ind w:right="-4"/>
        <w:jc w:val="center"/>
        <w:rPr>
          <w:rFonts w:ascii="宋体" w:hAnsi="宋体" w:cs="宋体"/>
          <w:b/>
          <w:sz w:val="72"/>
        </w:rPr>
      </w:pPr>
      <w:r>
        <w:rPr>
          <w:rFonts w:hint="eastAsia" w:ascii="宋体" w:hAnsi="宋体" w:cs="宋体"/>
          <w:b/>
          <w:sz w:val="72"/>
        </w:rPr>
        <w:t>竞争性磋商</w:t>
      </w:r>
      <w:r>
        <w:rPr>
          <w:rFonts w:ascii="宋体" w:hAnsi="宋体" w:cs="宋体"/>
          <w:b/>
          <w:sz w:val="72"/>
        </w:rPr>
        <w:t>响应文件</w:t>
      </w:r>
    </w:p>
    <w:p w14:paraId="79B7E973">
      <w:pPr>
        <w:spacing w:before="62" w:after="62" w:line="360" w:lineRule="auto"/>
        <w:ind w:right="-4"/>
        <w:jc w:val="center"/>
        <w:rPr>
          <w:rFonts w:ascii="宋体" w:hAnsi="宋体" w:cs="宋体"/>
          <w:sz w:val="28"/>
        </w:rPr>
      </w:pPr>
      <w:r>
        <w:rPr>
          <w:rFonts w:ascii="宋体" w:hAnsi="宋体" w:cs="宋体"/>
          <w:sz w:val="28"/>
        </w:rPr>
        <w:t>项目编号：</w:t>
      </w:r>
    </w:p>
    <w:p w14:paraId="545F6955">
      <w:pPr>
        <w:spacing w:before="62" w:after="62" w:line="360" w:lineRule="auto"/>
        <w:ind w:right="-4"/>
        <w:jc w:val="center"/>
        <w:rPr>
          <w:rFonts w:ascii="宋体" w:hAnsi="宋体" w:cs="宋体"/>
          <w:sz w:val="28"/>
        </w:rPr>
      </w:pPr>
    </w:p>
    <w:p w14:paraId="6BE7E576">
      <w:pPr>
        <w:spacing w:before="62" w:after="62" w:line="360" w:lineRule="auto"/>
        <w:ind w:right="-4"/>
        <w:jc w:val="center"/>
        <w:rPr>
          <w:rFonts w:ascii="宋体" w:hAnsi="宋体" w:cs="宋体"/>
          <w:sz w:val="28"/>
        </w:rPr>
      </w:pPr>
    </w:p>
    <w:p w14:paraId="2B8F9CB4">
      <w:pPr>
        <w:spacing w:before="62" w:after="62" w:line="360" w:lineRule="auto"/>
        <w:ind w:right="-4"/>
        <w:jc w:val="center"/>
        <w:rPr>
          <w:rFonts w:ascii="宋体" w:hAnsi="宋体" w:cs="宋体"/>
          <w:sz w:val="28"/>
        </w:rPr>
      </w:pPr>
    </w:p>
    <w:p w14:paraId="27422C7A">
      <w:pPr>
        <w:spacing w:before="62" w:after="62" w:line="360" w:lineRule="auto"/>
        <w:ind w:right="-4"/>
        <w:rPr>
          <w:rFonts w:ascii="宋体" w:hAnsi="宋体" w:cs="宋体"/>
          <w:sz w:val="28"/>
        </w:rPr>
      </w:pPr>
    </w:p>
    <w:p w14:paraId="5D842E56">
      <w:pPr>
        <w:spacing w:before="62" w:after="62" w:line="360" w:lineRule="auto"/>
        <w:ind w:left="143" w:right="-4" w:firstLine="970"/>
        <w:rPr>
          <w:rFonts w:ascii="宋体" w:hAnsi="宋体" w:cs="宋体"/>
          <w:b/>
          <w:sz w:val="28"/>
          <w:u w:val="single"/>
        </w:rPr>
      </w:pPr>
      <w:r>
        <w:rPr>
          <w:rFonts w:ascii="宋体" w:hAnsi="宋体" w:cs="宋体"/>
          <w:b/>
          <w:sz w:val="28"/>
        </w:rPr>
        <w:t>项目名称：</w:t>
      </w:r>
      <w:r>
        <w:rPr>
          <w:rFonts w:ascii="宋体" w:hAnsi="宋体" w:cs="宋体"/>
          <w:b/>
          <w:sz w:val="28"/>
          <w:u w:val="single"/>
        </w:rPr>
        <w:t xml:space="preserve">                             </w:t>
      </w:r>
    </w:p>
    <w:p w14:paraId="072CBF2A">
      <w:pPr>
        <w:spacing w:before="62" w:after="62" w:line="360" w:lineRule="auto"/>
        <w:ind w:left="143" w:right="-4" w:firstLine="970"/>
        <w:rPr>
          <w:rFonts w:ascii="宋体" w:hAnsi="宋体" w:cs="宋体"/>
          <w:b/>
          <w:sz w:val="28"/>
          <w:u w:val="single"/>
        </w:rPr>
      </w:pPr>
      <w:r>
        <w:rPr>
          <w:rFonts w:ascii="宋体" w:hAnsi="宋体" w:cs="宋体"/>
          <w:b/>
          <w:sz w:val="28"/>
        </w:rPr>
        <w:t>供应商：</w:t>
      </w:r>
      <w:r>
        <w:rPr>
          <w:rFonts w:ascii="宋体" w:hAnsi="宋体" w:cs="宋体"/>
          <w:b/>
          <w:sz w:val="28"/>
          <w:u w:val="single"/>
        </w:rPr>
        <w:t xml:space="preserve">            （盖章）              </w:t>
      </w:r>
    </w:p>
    <w:p w14:paraId="235E61AD">
      <w:pPr>
        <w:spacing w:before="62" w:after="62" w:line="360" w:lineRule="auto"/>
        <w:ind w:left="143" w:right="-4" w:firstLine="970"/>
        <w:rPr>
          <w:rFonts w:ascii="宋体" w:hAnsi="宋体" w:cs="宋体"/>
          <w:b/>
          <w:sz w:val="28"/>
          <w:u w:val="single"/>
        </w:rPr>
      </w:pPr>
      <w:r>
        <w:rPr>
          <w:rFonts w:ascii="宋体" w:hAnsi="宋体" w:cs="宋体"/>
          <w:b/>
          <w:sz w:val="28"/>
        </w:rPr>
        <w:t>法定代表人或其委托代理人：</w:t>
      </w:r>
      <w:r>
        <w:rPr>
          <w:rFonts w:ascii="宋体" w:hAnsi="宋体" w:cs="宋体"/>
          <w:b/>
          <w:sz w:val="28"/>
          <w:u w:val="single"/>
        </w:rPr>
        <w:t xml:space="preserve">   （签字或盖章） </w:t>
      </w:r>
    </w:p>
    <w:p w14:paraId="7AF38C8C">
      <w:pPr>
        <w:spacing w:before="62" w:after="62" w:line="360" w:lineRule="auto"/>
        <w:ind w:right="-4"/>
        <w:rPr>
          <w:rFonts w:ascii="宋体" w:hAnsi="宋体" w:cs="宋体"/>
          <w:b/>
        </w:rPr>
      </w:pPr>
    </w:p>
    <w:p w14:paraId="11B1ACD4">
      <w:pPr>
        <w:spacing w:before="62" w:after="62" w:line="360" w:lineRule="auto"/>
        <w:ind w:right="-4"/>
        <w:jc w:val="center"/>
        <w:rPr>
          <w:rFonts w:ascii="宋体" w:hAnsi="宋体" w:cs="宋体"/>
          <w:b/>
        </w:rPr>
      </w:pPr>
      <w:r>
        <w:rPr>
          <w:rFonts w:ascii="宋体" w:hAnsi="宋体" w:cs="宋体"/>
          <w:b/>
        </w:rPr>
        <w:t>日  期：</w:t>
      </w:r>
      <w:r>
        <w:rPr>
          <w:rFonts w:ascii="宋体" w:hAnsi="宋体" w:cs="宋体"/>
          <w:b/>
          <w:u w:val="single"/>
        </w:rPr>
        <w:t xml:space="preserve">      </w:t>
      </w:r>
      <w:r>
        <w:rPr>
          <w:rFonts w:ascii="宋体" w:hAnsi="宋体" w:cs="宋体"/>
          <w:b/>
        </w:rPr>
        <w:t xml:space="preserve"> 年</w:t>
      </w:r>
      <w:r>
        <w:rPr>
          <w:rFonts w:ascii="宋体" w:hAnsi="宋体" w:cs="宋体"/>
          <w:b/>
          <w:u w:val="single"/>
        </w:rPr>
        <w:t xml:space="preserve">     </w:t>
      </w:r>
      <w:r>
        <w:rPr>
          <w:rFonts w:ascii="宋体" w:hAnsi="宋体" w:cs="宋体"/>
          <w:b/>
        </w:rPr>
        <w:t xml:space="preserve"> 月</w:t>
      </w:r>
      <w:r>
        <w:rPr>
          <w:rFonts w:ascii="宋体" w:hAnsi="宋体" w:cs="宋体"/>
          <w:b/>
          <w:u w:val="single"/>
        </w:rPr>
        <w:t xml:space="preserve">     </w:t>
      </w:r>
      <w:r>
        <w:rPr>
          <w:rFonts w:ascii="宋体" w:hAnsi="宋体" w:cs="宋体"/>
          <w:b/>
        </w:rPr>
        <w:t>日</w:t>
      </w:r>
    </w:p>
    <w:p w14:paraId="7A4CF95A">
      <w:pPr>
        <w:spacing w:line="360" w:lineRule="auto"/>
        <w:jc w:val="center"/>
        <w:rPr>
          <w:rFonts w:ascii="宋体" w:hAnsi="宋体" w:cs="宋体"/>
          <w:b/>
          <w:sz w:val="24"/>
        </w:rPr>
      </w:pPr>
    </w:p>
    <w:p w14:paraId="044B5DAF">
      <w:pPr>
        <w:pStyle w:val="2"/>
      </w:pPr>
    </w:p>
    <w:p w14:paraId="077C3066">
      <w:pPr>
        <w:pStyle w:val="3"/>
      </w:pPr>
    </w:p>
    <w:p w14:paraId="068D1C40">
      <w:pPr>
        <w:pStyle w:val="18"/>
      </w:pPr>
    </w:p>
    <w:p w14:paraId="1169FE13"/>
    <w:p w14:paraId="5E78F426">
      <w:pPr>
        <w:pStyle w:val="2"/>
      </w:pPr>
    </w:p>
    <w:p w14:paraId="26EBCA0C">
      <w:pPr>
        <w:pStyle w:val="2"/>
      </w:pPr>
    </w:p>
    <w:p w14:paraId="2E8007CA">
      <w:pPr>
        <w:pStyle w:val="3"/>
      </w:pPr>
    </w:p>
    <w:p w14:paraId="1BA88033">
      <w:pPr>
        <w:pStyle w:val="18"/>
      </w:pPr>
    </w:p>
    <w:p w14:paraId="6C141336">
      <w:pPr>
        <w:pStyle w:val="5"/>
        <w:numPr>
          <w:ilvl w:val="0"/>
          <w:numId w:val="2"/>
        </w:numPr>
        <w:spacing w:line="240" w:lineRule="auto"/>
        <w:ind w:firstLine="321"/>
        <w:rPr>
          <w:rFonts w:ascii="宋体" w:hAnsi="宋体" w:eastAsia="宋体" w:cs="宋体"/>
        </w:rPr>
      </w:pPr>
      <w:bookmarkStart w:id="147" w:name="_Toc19843"/>
      <w:bookmarkStart w:id="148" w:name="_Toc494186658"/>
      <w:bookmarkStart w:id="149" w:name="_Toc6820"/>
      <w:r>
        <w:rPr>
          <w:rFonts w:hint="eastAsia" w:ascii="宋体" w:hAnsi="宋体" w:eastAsia="宋体" w:cs="宋体"/>
        </w:rPr>
        <w:t>投标函</w:t>
      </w:r>
      <w:bookmarkEnd w:id="147"/>
      <w:bookmarkEnd w:id="148"/>
      <w:bookmarkEnd w:id="149"/>
    </w:p>
    <w:p w14:paraId="656C857E">
      <w:pPr>
        <w:jc w:val="left"/>
        <w:rPr>
          <w:rFonts w:ascii="宋体" w:hAnsi="宋体"/>
          <w:b/>
          <w:bCs/>
          <w:sz w:val="24"/>
        </w:rPr>
      </w:pPr>
      <w:bookmarkStart w:id="150" w:name="一、法定代表人身份证明书"/>
      <w:bookmarkEnd w:id="150"/>
      <w:r>
        <w:rPr>
          <w:rFonts w:hint="eastAsia" w:ascii="宋体" w:hAnsi="宋体" w:cs="宋体"/>
          <w:sz w:val="24"/>
        </w:rPr>
        <w:t>致：</w:t>
      </w:r>
      <w:r>
        <w:rPr>
          <w:rFonts w:hint="eastAsia" w:ascii="宋体" w:hAnsi="宋体"/>
          <w:b/>
          <w:bCs/>
          <w:sz w:val="24"/>
        </w:rPr>
        <w:t xml:space="preserve">（采购人） </w:t>
      </w:r>
      <w:r>
        <w:rPr>
          <w:rFonts w:hint="eastAsia" w:ascii="宋体" w:hAnsi="宋体" w:cs="宋体"/>
          <w:sz w:val="24"/>
          <w:u w:val="single"/>
        </w:rPr>
        <w:t xml:space="preserve">                        </w:t>
      </w:r>
    </w:p>
    <w:p w14:paraId="09582660">
      <w:pPr>
        <w:pStyle w:val="19"/>
        <w:spacing w:line="360" w:lineRule="auto"/>
        <w:ind w:firstLine="482"/>
        <w:rPr>
          <w:rFonts w:cs="宋体"/>
          <w:kern w:val="2"/>
          <w:szCs w:val="22"/>
        </w:rPr>
      </w:pPr>
      <w:r>
        <w:rPr>
          <w:rFonts w:hint="eastAsia" w:cs="宋体"/>
          <w:kern w:val="2"/>
          <w:szCs w:val="22"/>
          <w:u w:val="single"/>
        </w:rPr>
        <w:t xml:space="preserve">    </w:t>
      </w:r>
      <w:r>
        <w:rPr>
          <w:rFonts w:cs="宋体"/>
          <w:kern w:val="2"/>
          <w:szCs w:val="22"/>
          <w:u w:val="single"/>
        </w:rPr>
        <w:t xml:space="preserve">  </w:t>
      </w:r>
      <w:r>
        <w:rPr>
          <w:rFonts w:hint="eastAsia" w:cs="宋体"/>
          <w:kern w:val="2"/>
          <w:szCs w:val="22"/>
        </w:rPr>
        <w:t>根据贵方</w:t>
      </w:r>
      <w:r>
        <w:rPr>
          <w:rFonts w:hint="eastAsia" w:cs="宋体"/>
          <w:kern w:val="2"/>
          <w:szCs w:val="22"/>
          <w:u w:val="single"/>
        </w:rPr>
        <w:t xml:space="preserve">         </w:t>
      </w:r>
      <w:r>
        <w:rPr>
          <w:rFonts w:hint="eastAsia" w:cs="宋体"/>
          <w:kern w:val="2"/>
          <w:szCs w:val="22"/>
        </w:rPr>
        <w:t>项目 ”的招标文件，正式授权下述签字人</w:t>
      </w:r>
      <w:r>
        <w:rPr>
          <w:rFonts w:hint="eastAsia" w:cs="宋体"/>
          <w:kern w:val="2"/>
          <w:szCs w:val="22"/>
          <w:u w:val="single"/>
        </w:rPr>
        <w:t xml:space="preserve">         </w:t>
      </w:r>
      <w:r>
        <w:rPr>
          <w:rFonts w:hint="eastAsia" w:cs="宋体"/>
          <w:kern w:val="2"/>
          <w:szCs w:val="22"/>
        </w:rPr>
        <w:t>（姓名）代表投标人</w:t>
      </w:r>
      <w:r>
        <w:rPr>
          <w:rFonts w:hint="eastAsia" w:cs="宋体"/>
          <w:kern w:val="2"/>
          <w:szCs w:val="22"/>
          <w:u w:val="single"/>
        </w:rPr>
        <w:t xml:space="preserve">        　  </w:t>
      </w:r>
      <w:r>
        <w:rPr>
          <w:rFonts w:hint="eastAsia" w:cs="宋体"/>
          <w:kern w:val="2"/>
          <w:szCs w:val="22"/>
        </w:rPr>
        <w:t>（投标供应商全称）。据此函，签字人兹宣布同意如下：</w:t>
      </w:r>
    </w:p>
    <w:p w14:paraId="14C57F89">
      <w:pPr>
        <w:pStyle w:val="19"/>
        <w:spacing w:line="360" w:lineRule="auto"/>
        <w:ind w:firstLine="482"/>
        <w:rPr>
          <w:rFonts w:cs="宋体"/>
          <w:kern w:val="2"/>
          <w:szCs w:val="22"/>
        </w:rPr>
      </w:pPr>
      <w:r>
        <w:rPr>
          <w:rFonts w:hint="eastAsia" w:cs="宋体"/>
          <w:kern w:val="2"/>
          <w:szCs w:val="22"/>
        </w:rPr>
        <w:t>1、根据贵单位发布的招标公告和招标编号为</w:t>
      </w:r>
      <w:r>
        <w:rPr>
          <w:rFonts w:hint="eastAsia" w:cs="宋体"/>
          <w:kern w:val="2"/>
          <w:szCs w:val="22"/>
          <w:u w:val="single"/>
        </w:rPr>
        <w:t xml:space="preserve">        　   </w:t>
      </w:r>
      <w:r>
        <w:rPr>
          <w:rFonts w:hint="eastAsia" w:cs="宋体"/>
          <w:kern w:val="2"/>
          <w:szCs w:val="22"/>
        </w:rPr>
        <w:t>的招标文件，我们决定参加你们组织的“</w:t>
      </w:r>
      <w:r>
        <w:rPr>
          <w:rFonts w:hint="eastAsia" w:cs="宋体"/>
          <w:kern w:val="2"/>
          <w:szCs w:val="22"/>
          <w:u w:val="single"/>
        </w:rPr>
        <w:t xml:space="preserve">         　   </w:t>
      </w:r>
      <w:r>
        <w:rPr>
          <w:rFonts w:hint="eastAsia" w:cs="宋体"/>
          <w:kern w:val="2"/>
          <w:szCs w:val="22"/>
        </w:rPr>
        <w:t>”的项目招标活动。</w:t>
      </w:r>
    </w:p>
    <w:p w14:paraId="76288C14">
      <w:pPr>
        <w:pStyle w:val="19"/>
        <w:spacing w:line="360" w:lineRule="auto"/>
        <w:ind w:firstLine="482"/>
        <w:rPr>
          <w:rFonts w:cs="宋体"/>
          <w:kern w:val="2"/>
          <w:szCs w:val="22"/>
        </w:rPr>
      </w:pPr>
      <w:r>
        <w:rPr>
          <w:rFonts w:hint="eastAsia" w:cs="宋体"/>
          <w:kern w:val="2"/>
          <w:szCs w:val="22"/>
        </w:rPr>
        <w:t>2、我方愿意按照招标文件规定的各项要求向采购人提供所需的服务，投标报价为：</w:t>
      </w:r>
    </w:p>
    <w:p w14:paraId="7CF83136">
      <w:pPr>
        <w:pStyle w:val="19"/>
        <w:spacing w:line="360" w:lineRule="auto"/>
        <w:ind w:firstLine="482"/>
        <w:rPr>
          <w:rFonts w:cs="宋体"/>
          <w:kern w:val="2"/>
          <w:szCs w:val="22"/>
        </w:rPr>
      </w:pPr>
      <w:r>
        <w:rPr>
          <w:rFonts w:hint="eastAsia" w:cs="宋体"/>
          <w:kern w:val="2"/>
          <w:szCs w:val="22"/>
        </w:rPr>
        <w:t>人民币（大写）</w:t>
      </w:r>
      <w:r>
        <w:rPr>
          <w:rFonts w:hint="eastAsia" w:cs="宋体"/>
          <w:kern w:val="2"/>
          <w:szCs w:val="22"/>
          <w:u w:val="single"/>
        </w:rPr>
        <w:t xml:space="preserve">        　  </w:t>
      </w:r>
      <w:r>
        <w:rPr>
          <w:rFonts w:hint="eastAsia" w:cs="宋体"/>
          <w:kern w:val="2"/>
          <w:szCs w:val="22"/>
        </w:rPr>
        <w:t xml:space="preserve"> （￥</w:t>
      </w:r>
      <w:r>
        <w:rPr>
          <w:rFonts w:hint="eastAsia" w:cs="宋体"/>
          <w:kern w:val="2"/>
          <w:szCs w:val="22"/>
          <w:u w:val="single"/>
        </w:rPr>
        <w:t xml:space="preserve">        　   </w:t>
      </w:r>
      <w:r>
        <w:rPr>
          <w:rFonts w:hint="eastAsia" w:cs="宋体"/>
          <w:kern w:val="2"/>
          <w:szCs w:val="22"/>
        </w:rPr>
        <w:t>元），拟派项目负责人：</w:t>
      </w:r>
      <w:r>
        <w:rPr>
          <w:rFonts w:hint="eastAsia" w:cs="宋体"/>
          <w:kern w:val="2"/>
          <w:szCs w:val="22"/>
          <w:u w:val="single"/>
        </w:rPr>
        <w:t xml:space="preserve">          </w:t>
      </w:r>
      <w:r>
        <w:rPr>
          <w:rFonts w:hint="eastAsia" w:cs="宋体"/>
          <w:kern w:val="2"/>
          <w:szCs w:val="22"/>
        </w:rPr>
        <w:t>，服务期为</w:t>
      </w:r>
      <w:r>
        <w:rPr>
          <w:rFonts w:hint="eastAsia" w:cs="宋体"/>
          <w:kern w:val="2"/>
          <w:szCs w:val="22"/>
          <w:u w:val="single"/>
        </w:rPr>
        <w:t xml:space="preserve"> </w:t>
      </w:r>
      <w:r>
        <w:rPr>
          <w:rFonts w:cs="宋体"/>
          <w:kern w:val="2"/>
          <w:szCs w:val="22"/>
          <w:u w:val="single"/>
        </w:rPr>
        <w:t xml:space="preserve">  </w:t>
      </w:r>
      <w:r>
        <w:rPr>
          <w:rFonts w:hint="eastAsia" w:cs="宋体"/>
          <w:kern w:val="2"/>
          <w:szCs w:val="22"/>
          <w:u w:val="single"/>
        </w:rPr>
        <w:t xml:space="preserve">  </w:t>
      </w:r>
      <w:r>
        <w:rPr>
          <w:rFonts w:hint="eastAsia" w:cs="宋体"/>
          <w:kern w:val="2"/>
          <w:szCs w:val="22"/>
        </w:rPr>
        <w:t>日历天，服务质量达到合格标准。</w:t>
      </w:r>
    </w:p>
    <w:p w14:paraId="2D1FEB3C">
      <w:pPr>
        <w:pStyle w:val="19"/>
        <w:spacing w:line="360" w:lineRule="auto"/>
        <w:ind w:firstLine="482"/>
        <w:rPr>
          <w:rFonts w:cs="宋体"/>
          <w:kern w:val="2"/>
          <w:szCs w:val="22"/>
        </w:rPr>
      </w:pPr>
      <w:r>
        <w:rPr>
          <w:rFonts w:hint="eastAsia" w:cs="宋体"/>
          <w:kern w:val="2"/>
          <w:szCs w:val="22"/>
        </w:rPr>
        <w:t>3、一旦我方中标，我方将严格履行合同规定的责任和义务，按招标文件要求提交履约保证金，在领取中标通知书前，按招标文件规定向代理机构缴纳代理服务费。</w:t>
      </w:r>
    </w:p>
    <w:p w14:paraId="09A0EBF8">
      <w:pPr>
        <w:pStyle w:val="19"/>
        <w:spacing w:line="360" w:lineRule="auto"/>
        <w:ind w:firstLine="482"/>
        <w:rPr>
          <w:rFonts w:cs="宋体"/>
          <w:kern w:val="2"/>
          <w:szCs w:val="22"/>
        </w:rPr>
      </w:pPr>
      <w:r>
        <w:rPr>
          <w:rFonts w:hint="eastAsia" w:cs="宋体"/>
          <w:kern w:val="2"/>
          <w:szCs w:val="22"/>
        </w:rPr>
        <w:t>4、投标有效期为自投标截止之日起</w:t>
      </w:r>
      <w:r>
        <w:rPr>
          <w:rFonts w:hint="eastAsia" w:cs="宋体"/>
          <w:kern w:val="2"/>
          <w:szCs w:val="22"/>
          <w:u w:val="single"/>
        </w:rPr>
        <w:t xml:space="preserve">     </w:t>
      </w:r>
      <w:r>
        <w:rPr>
          <w:rFonts w:hint="eastAsia" w:cs="宋体"/>
          <w:kern w:val="2"/>
          <w:szCs w:val="22"/>
        </w:rPr>
        <w:t>日历天。我方承诺完全响应招标文件及补充、澄清、修改文件中的全部内容。</w:t>
      </w:r>
    </w:p>
    <w:p w14:paraId="3F5A5AE7">
      <w:pPr>
        <w:pStyle w:val="19"/>
        <w:spacing w:line="360" w:lineRule="auto"/>
        <w:ind w:firstLine="482"/>
        <w:rPr>
          <w:rFonts w:cs="宋体"/>
          <w:kern w:val="2"/>
          <w:szCs w:val="22"/>
        </w:rPr>
      </w:pPr>
      <w:r>
        <w:rPr>
          <w:rFonts w:hint="eastAsia" w:cs="宋体"/>
          <w:kern w:val="2"/>
          <w:szCs w:val="22"/>
        </w:rPr>
        <w:t xml:space="preserve">5、我方愿意提供采购人可能另外要求的、与投标有关的文件资料，并保证我方已提供和将要提供的文件是真实的、准确的。 </w:t>
      </w:r>
    </w:p>
    <w:p w14:paraId="3B2F08BD">
      <w:pPr>
        <w:pStyle w:val="19"/>
        <w:spacing w:line="360" w:lineRule="auto"/>
        <w:ind w:firstLine="482"/>
        <w:rPr>
          <w:rFonts w:cs="宋体"/>
          <w:kern w:val="2"/>
          <w:szCs w:val="22"/>
        </w:rPr>
      </w:pPr>
      <w:r>
        <w:rPr>
          <w:rFonts w:hint="eastAsia" w:cs="宋体"/>
          <w:kern w:val="2"/>
          <w:szCs w:val="22"/>
        </w:rPr>
        <w:t>6、我方完全理解你们不一定将合同授予最低报价的供应商。</w:t>
      </w:r>
    </w:p>
    <w:p w14:paraId="3C8CC60E">
      <w:pPr>
        <w:shd w:val="clear" w:color="auto" w:fill="FFFFFF"/>
        <w:adjustRightInd w:val="0"/>
        <w:snapToGrid w:val="0"/>
        <w:spacing w:line="360" w:lineRule="auto"/>
        <w:ind w:firstLine="436" w:firstLineChars="182"/>
        <w:rPr>
          <w:rFonts w:ascii="宋体" w:hAnsi="宋体" w:cs="宋体"/>
          <w:sz w:val="24"/>
        </w:rPr>
      </w:pPr>
      <w:r>
        <w:rPr>
          <w:rFonts w:hint="eastAsia" w:ascii="宋体" w:hAnsi="宋体" w:cs="宋体"/>
          <w:sz w:val="24"/>
        </w:rPr>
        <w:t xml:space="preserve"> 投标人名称：</w:t>
      </w:r>
      <w:r>
        <w:rPr>
          <w:rFonts w:hint="eastAsia" w:ascii="宋体" w:hAnsi="宋体" w:cs="宋体"/>
          <w:sz w:val="24"/>
          <w:u w:val="single"/>
        </w:rPr>
        <w:t xml:space="preserve">        （公    章）               </w:t>
      </w:r>
    </w:p>
    <w:p w14:paraId="43A01A2B">
      <w:pPr>
        <w:shd w:val="clear" w:color="auto" w:fill="FFFFFF"/>
        <w:adjustRightInd w:val="0"/>
        <w:snapToGrid w:val="0"/>
        <w:spacing w:line="360" w:lineRule="auto"/>
        <w:ind w:firstLine="480" w:firstLineChars="200"/>
        <w:rPr>
          <w:rFonts w:ascii="宋体" w:hAnsi="宋体" w:cs="宋体"/>
          <w:sz w:val="24"/>
        </w:rPr>
      </w:pPr>
      <w:r>
        <w:rPr>
          <w:rFonts w:hint="eastAsia" w:ascii="宋体" w:hAnsi="宋体" w:cs="宋体"/>
          <w:sz w:val="24"/>
        </w:rPr>
        <w:t>法定代表人或</w:t>
      </w:r>
      <w:r>
        <w:rPr>
          <w:rFonts w:hint="eastAsia" w:ascii="宋体" w:hAnsi="宋体"/>
          <w:sz w:val="24"/>
        </w:rPr>
        <w:t>授权委托人</w:t>
      </w:r>
      <w:r>
        <w:rPr>
          <w:rFonts w:hint="eastAsia" w:ascii="宋体" w:hAnsi="宋体" w:cs="宋体"/>
          <w:sz w:val="24"/>
        </w:rPr>
        <w:t>（签字或盖章）：</w:t>
      </w:r>
      <w:r>
        <w:rPr>
          <w:rFonts w:hint="eastAsia" w:ascii="宋体" w:hAnsi="宋体" w:cs="宋体"/>
          <w:sz w:val="24"/>
          <w:u w:val="single"/>
        </w:rPr>
        <w:t xml:space="preserve">          </w:t>
      </w:r>
    </w:p>
    <w:p w14:paraId="4FE79EE9">
      <w:pPr>
        <w:shd w:val="clear" w:color="auto" w:fill="FFFFFF"/>
        <w:adjustRightInd w:val="0"/>
        <w:snapToGrid w:val="0"/>
        <w:spacing w:line="360" w:lineRule="auto"/>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14:paraId="01FEA0AF">
      <w:pPr>
        <w:shd w:val="clear" w:color="auto" w:fill="FFFFFF"/>
        <w:adjustRightInd w:val="0"/>
        <w:snapToGrid w:val="0"/>
        <w:spacing w:line="360" w:lineRule="auto"/>
        <w:ind w:firstLine="480" w:firstLineChars="200"/>
        <w:rPr>
          <w:rFonts w:ascii="宋体" w:hAnsi="宋体" w:cs="宋体"/>
          <w:sz w:val="24"/>
        </w:rPr>
      </w:pPr>
      <w:r>
        <w:rPr>
          <w:rFonts w:hint="eastAsia" w:ascii="宋体" w:hAnsi="宋体" w:cs="宋体"/>
          <w:sz w:val="24"/>
        </w:rPr>
        <w:t>通讯地址：</w:t>
      </w:r>
      <w:r>
        <w:rPr>
          <w:rFonts w:hint="eastAsia" w:ascii="宋体" w:hAnsi="宋体" w:cs="宋体"/>
          <w:sz w:val="24"/>
          <w:u w:val="single"/>
        </w:rPr>
        <w:t xml:space="preserve">                          </w:t>
      </w:r>
      <w:r>
        <w:rPr>
          <w:rFonts w:hint="eastAsia" w:ascii="宋体" w:hAnsi="宋体" w:cs="宋体"/>
          <w:sz w:val="24"/>
        </w:rPr>
        <w:t xml:space="preserve">                           </w:t>
      </w:r>
    </w:p>
    <w:p w14:paraId="75DDC34E">
      <w:pPr>
        <w:shd w:val="clear" w:color="auto" w:fill="FFFFFF"/>
        <w:adjustRightInd w:val="0"/>
        <w:snapToGrid w:val="0"/>
        <w:spacing w:line="360" w:lineRule="auto"/>
        <w:ind w:firstLine="480" w:firstLineChars="200"/>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w:t>
      </w:r>
    </w:p>
    <w:p w14:paraId="54DDA177">
      <w:pPr>
        <w:shd w:val="clear" w:color="auto" w:fill="FFFFFF"/>
        <w:adjustRightInd w:val="0"/>
        <w:snapToGrid w:val="0"/>
        <w:spacing w:line="360" w:lineRule="auto"/>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w:t>
      </w:r>
    </w:p>
    <w:p w14:paraId="026134FD">
      <w:pPr>
        <w:shd w:val="clear" w:color="auto" w:fill="FFFFFF"/>
        <w:adjustRightInd w:val="0"/>
        <w:snapToGrid w:val="0"/>
        <w:spacing w:line="360" w:lineRule="auto"/>
        <w:ind w:firstLine="480" w:firstLineChars="200"/>
        <w:rPr>
          <w:rFonts w:ascii="宋体" w:hAnsi="宋体" w:cs="宋体"/>
          <w:sz w:val="24"/>
        </w:rPr>
      </w:pPr>
      <w:r>
        <w:rPr>
          <w:rFonts w:hint="eastAsia" w:ascii="宋体" w:hAnsi="宋体" w:cs="宋体"/>
          <w:sz w:val="24"/>
        </w:rPr>
        <w:t>备注: 所有价格均系用人民币表示，单位为元。</w:t>
      </w:r>
    </w:p>
    <w:p w14:paraId="06DB8B0A">
      <w:pPr>
        <w:pStyle w:val="5"/>
        <w:ind w:firstLine="321"/>
        <w:rPr>
          <w:rFonts w:ascii="宋体" w:hAnsi="宋体" w:cs="宋体"/>
        </w:rPr>
      </w:pPr>
      <w:bookmarkStart w:id="151" w:name="_Toc14573"/>
      <w:bookmarkStart w:id="152" w:name="_Toc494186659"/>
      <w:r>
        <w:rPr>
          <w:rFonts w:ascii="宋体" w:hAnsi="宋体" w:eastAsia="宋体" w:cs="宋体"/>
        </w:rPr>
        <w:br w:type="page"/>
      </w:r>
      <w:r>
        <w:rPr>
          <w:rFonts w:hint="eastAsia" w:ascii="宋体" w:hAnsi="宋体" w:eastAsia="宋体" w:cs="宋体"/>
        </w:rPr>
        <w:t>二、法定代表人授权书</w:t>
      </w:r>
      <w:bookmarkEnd w:id="151"/>
      <w:bookmarkEnd w:id="152"/>
    </w:p>
    <w:p w14:paraId="01DE9AE4">
      <w:pPr>
        <w:spacing w:line="460" w:lineRule="exact"/>
        <w:rPr>
          <w:rFonts w:ascii="宋体" w:hAnsi="宋体"/>
          <w:b/>
          <w:sz w:val="24"/>
        </w:rPr>
      </w:pPr>
      <w:r>
        <w:rPr>
          <w:rFonts w:hint="eastAsia" w:ascii="宋体" w:hAnsi="宋体"/>
          <w:b/>
          <w:sz w:val="24"/>
        </w:rPr>
        <w:t>（采购人）：</w:t>
      </w:r>
    </w:p>
    <w:p w14:paraId="30FC1668">
      <w:pPr>
        <w:spacing w:line="4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（供应商全称）法人代表授权</w:t>
      </w:r>
      <w:r>
        <w:rPr>
          <w:rFonts w:hint="eastAsia" w:ascii="宋体" w:hAnsi="宋体"/>
          <w:sz w:val="24"/>
          <w:u w:val="single"/>
        </w:rPr>
        <w:t xml:space="preserve">              </w:t>
      </w:r>
      <w:r>
        <w:rPr>
          <w:rFonts w:hint="eastAsia" w:ascii="宋体" w:hAnsi="宋体"/>
          <w:sz w:val="24"/>
        </w:rPr>
        <w:t>（供应商代表姓名）为供应商代表，参加贵单位组织的</w:t>
      </w:r>
      <w:r>
        <w:rPr>
          <w:rFonts w:hint="eastAsia" w:ascii="宋体" w:hAnsi="宋体"/>
          <w:sz w:val="24"/>
          <w:u w:val="single"/>
        </w:rPr>
        <w:t xml:space="preserve">                </w:t>
      </w:r>
      <w:r>
        <w:rPr>
          <w:rFonts w:hint="eastAsia" w:ascii="宋体" w:hAnsi="宋体"/>
          <w:sz w:val="24"/>
        </w:rPr>
        <w:t>（项目名称）项目（招标编号</w:t>
      </w:r>
      <w:r>
        <w:rPr>
          <w:rFonts w:hint="eastAsia" w:ascii="宋体" w:hAnsi="宋体"/>
          <w:sz w:val="24"/>
          <w:u w:val="single"/>
        </w:rPr>
        <w:t xml:space="preserve">            </w:t>
      </w:r>
      <w:r>
        <w:rPr>
          <w:rFonts w:hint="eastAsia" w:ascii="宋体" w:hAnsi="宋体"/>
          <w:sz w:val="24"/>
        </w:rPr>
        <w:t>）招标活动，全权代表我方处理招标活动的一切事宜。</w:t>
      </w:r>
    </w:p>
    <w:p w14:paraId="27367107">
      <w:pPr>
        <w:spacing w:line="460" w:lineRule="exact"/>
        <w:rPr>
          <w:rFonts w:ascii="宋体" w:hAnsi="宋体"/>
          <w:sz w:val="24"/>
        </w:rPr>
      </w:pPr>
    </w:p>
    <w:p w14:paraId="43BEE6FB">
      <w:pPr>
        <w:spacing w:line="460" w:lineRule="exact"/>
        <w:rPr>
          <w:rFonts w:ascii="宋体" w:hAnsi="宋体"/>
          <w:sz w:val="24"/>
        </w:rPr>
      </w:pPr>
    </w:p>
    <w:p w14:paraId="6F9AF16A">
      <w:pPr>
        <w:spacing w:line="460" w:lineRule="exact"/>
        <w:rPr>
          <w:rFonts w:ascii="宋体" w:hAnsi="宋体"/>
          <w:sz w:val="24"/>
        </w:rPr>
      </w:pPr>
      <w:r>
        <w:rPr>
          <w:rFonts w:hint="eastAsia" w:ascii="宋体" w:hAnsi="宋体"/>
          <w:sz w:val="24"/>
        </w:rPr>
        <w:t xml:space="preserve">                                 法定代表人（签字或盖章）：</w:t>
      </w:r>
    </w:p>
    <w:p w14:paraId="57E15AC4">
      <w:pPr>
        <w:spacing w:line="460" w:lineRule="exact"/>
        <w:rPr>
          <w:rFonts w:ascii="宋体" w:hAnsi="宋体"/>
          <w:sz w:val="24"/>
        </w:rPr>
      </w:pPr>
      <w:r>
        <w:rPr>
          <w:rFonts w:hint="eastAsia" w:ascii="宋体" w:hAnsi="宋体"/>
          <w:sz w:val="24"/>
        </w:rPr>
        <w:t xml:space="preserve">                                 供应商名称（公章）：</w:t>
      </w:r>
    </w:p>
    <w:p w14:paraId="63838863">
      <w:pPr>
        <w:spacing w:line="460" w:lineRule="exact"/>
      </w:pPr>
      <w:r>
        <w:rPr>
          <w:rFonts w:hint="eastAsia" w:ascii="宋体" w:hAnsi="宋体"/>
          <w:sz w:val="24"/>
        </w:rPr>
        <w:t xml:space="preserve">                                  日期：</w:t>
      </w:r>
    </w:p>
    <w:p w14:paraId="2D7E00BD">
      <w:pPr>
        <w:pStyle w:val="2"/>
        <w:rPr>
          <w:rFonts w:hAnsi="宋体"/>
          <w:spacing w:val="20"/>
          <w:sz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gridCol w:w="4794"/>
      </w:tblGrid>
      <w:tr w14:paraId="7166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4794" w:type="dxa"/>
            <w:vAlign w:val="center"/>
          </w:tcPr>
          <w:p w14:paraId="5982BD88">
            <w:pPr>
              <w:spacing w:before="48" w:beforeLines="20" w:after="48" w:afterLines="20" w:line="540" w:lineRule="exact"/>
              <w:jc w:val="center"/>
              <w:rPr>
                <w:rFonts w:ascii="宋体" w:hAnsi="宋体" w:cs="宋体"/>
              </w:rPr>
            </w:pPr>
            <w:r>
              <w:rPr>
                <w:rFonts w:hint="eastAsia" w:ascii="宋体" w:hAnsi="宋体" w:cs="宋体"/>
                <w:b/>
                <w:sz w:val="28"/>
                <w:szCs w:val="28"/>
              </w:rPr>
              <w:t>授权委托人身份证复印件</w:t>
            </w:r>
          </w:p>
        </w:tc>
        <w:tc>
          <w:tcPr>
            <w:tcW w:w="4794" w:type="dxa"/>
            <w:vAlign w:val="center"/>
          </w:tcPr>
          <w:p w14:paraId="219B3A1B">
            <w:pPr>
              <w:spacing w:before="48" w:beforeLines="20" w:after="48" w:afterLines="20" w:line="540" w:lineRule="exact"/>
              <w:jc w:val="center"/>
              <w:rPr>
                <w:rFonts w:ascii="宋体" w:hAnsi="宋体" w:cs="宋体"/>
              </w:rPr>
            </w:pPr>
            <w:r>
              <w:rPr>
                <w:rFonts w:hint="eastAsia" w:ascii="宋体" w:hAnsi="宋体" w:cs="宋体"/>
                <w:b/>
                <w:sz w:val="28"/>
                <w:szCs w:val="28"/>
              </w:rPr>
              <w:t>法定代表人身份证复印件</w:t>
            </w:r>
          </w:p>
        </w:tc>
      </w:tr>
    </w:tbl>
    <w:p w14:paraId="711C368C">
      <w:pPr>
        <w:spacing w:line="460" w:lineRule="exact"/>
        <w:rPr>
          <w:rFonts w:ascii="宋体" w:hAnsi="宋体"/>
          <w:spacing w:val="20"/>
          <w:sz w:val="24"/>
        </w:rPr>
      </w:pPr>
    </w:p>
    <w:p w14:paraId="3D527542">
      <w:pPr>
        <w:pStyle w:val="18"/>
      </w:pPr>
    </w:p>
    <w:p w14:paraId="57591AE6">
      <w:pPr>
        <w:spacing w:line="460" w:lineRule="exact"/>
        <w:rPr>
          <w:rFonts w:ascii="宋体" w:hAnsi="宋体"/>
          <w:sz w:val="24"/>
        </w:rPr>
      </w:pPr>
      <w:r>
        <w:rPr>
          <w:rFonts w:hint="eastAsia" w:ascii="宋体" w:hAnsi="宋体"/>
          <w:sz w:val="24"/>
        </w:rPr>
        <w:t>附：</w:t>
      </w:r>
    </w:p>
    <w:p w14:paraId="66875826">
      <w:pPr>
        <w:spacing w:line="560" w:lineRule="exact"/>
        <w:ind w:firstLine="482"/>
        <w:rPr>
          <w:rFonts w:ascii="宋体" w:hAnsi="宋体"/>
          <w:sz w:val="24"/>
        </w:rPr>
      </w:pPr>
      <w:r>
        <w:rPr>
          <w:rFonts w:hint="eastAsia" w:ascii="宋体" w:hAnsi="宋体"/>
          <w:sz w:val="24"/>
        </w:rPr>
        <w:t>委托代理人姓名：</w:t>
      </w:r>
      <w:r>
        <w:rPr>
          <w:rFonts w:hint="eastAsia" w:ascii="宋体" w:hAnsi="宋体"/>
          <w:sz w:val="24"/>
          <w:u w:val="single"/>
        </w:rPr>
        <w:t xml:space="preserve">                        </w:t>
      </w:r>
    </w:p>
    <w:p w14:paraId="118727FB">
      <w:pPr>
        <w:spacing w:line="560" w:lineRule="exact"/>
        <w:ind w:firstLine="482"/>
        <w:rPr>
          <w:rFonts w:ascii="宋体" w:hAnsi="宋体"/>
          <w:sz w:val="24"/>
        </w:rPr>
      </w:pPr>
      <w:r>
        <w:rPr>
          <w:rFonts w:hint="eastAsia" w:ascii="宋体" w:hAnsi="宋体"/>
          <w:sz w:val="24"/>
        </w:rPr>
        <w:t>职          务：</w:t>
      </w:r>
      <w:r>
        <w:rPr>
          <w:rFonts w:hint="eastAsia" w:ascii="宋体" w:hAnsi="宋体"/>
          <w:sz w:val="24"/>
          <w:u w:val="single"/>
        </w:rPr>
        <w:t xml:space="preserve">                       </w:t>
      </w:r>
    </w:p>
    <w:p w14:paraId="72A09AAF">
      <w:pPr>
        <w:spacing w:line="560" w:lineRule="exact"/>
        <w:ind w:firstLine="482"/>
        <w:rPr>
          <w:rFonts w:ascii="宋体" w:hAnsi="宋体"/>
          <w:sz w:val="24"/>
        </w:rPr>
      </w:pPr>
      <w:r>
        <w:rPr>
          <w:rFonts w:hint="eastAsia" w:ascii="宋体" w:hAnsi="宋体"/>
          <w:sz w:val="24"/>
        </w:rPr>
        <w:t xml:space="preserve">详细通讯地址：  </w:t>
      </w:r>
      <w:r>
        <w:rPr>
          <w:rFonts w:hint="eastAsia" w:ascii="宋体" w:hAnsi="宋体"/>
          <w:sz w:val="24"/>
          <w:u w:val="single"/>
        </w:rPr>
        <w:t xml:space="preserve">                       </w:t>
      </w:r>
    </w:p>
    <w:p w14:paraId="0840671C">
      <w:pPr>
        <w:spacing w:line="560" w:lineRule="exact"/>
        <w:ind w:firstLine="482"/>
        <w:rPr>
          <w:rFonts w:ascii="宋体" w:hAnsi="宋体"/>
          <w:sz w:val="24"/>
        </w:rPr>
      </w:pPr>
      <w:r>
        <w:rPr>
          <w:rFonts w:hint="eastAsia" w:ascii="宋体" w:hAnsi="宋体"/>
          <w:sz w:val="24"/>
        </w:rPr>
        <w:t>邮  政  编  码：</w:t>
      </w:r>
      <w:r>
        <w:rPr>
          <w:rFonts w:hint="eastAsia" w:ascii="宋体" w:hAnsi="宋体"/>
          <w:sz w:val="24"/>
          <w:u w:val="single"/>
        </w:rPr>
        <w:t xml:space="preserve">                       </w:t>
      </w:r>
    </w:p>
    <w:p w14:paraId="300060E6">
      <w:pPr>
        <w:spacing w:line="560" w:lineRule="exact"/>
        <w:ind w:firstLine="482"/>
        <w:rPr>
          <w:rFonts w:ascii="宋体" w:hAnsi="宋体"/>
          <w:sz w:val="24"/>
        </w:rPr>
      </w:pPr>
      <w:r>
        <w:rPr>
          <w:rFonts w:hint="eastAsia" w:ascii="宋体" w:hAnsi="宋体"/>
          <w:sz w:val="24"/>
        </w:rPr>
        <w:t>传          真：</w:t>
      </w:r>
      <w:r>
        <w:rPr>
          <w:rFonts w:hint="eastAsia" w:ascii="宋体" w:hAnsi="宋体"/>
          <w:sz w:val="24"/>
          <w:u w:val="single"/>
        </w:rPr>
        <w:t xml:space="preserve">                       </w:t>
      </w:r>
    </w:p>
    <w:p w14:paraId="39B7DF1D">
      <w:pPr>
        <w:spacing w:line="560" w:lineRule="exact"/>
        <w:ind w:firstLine="482"/>
        <w:rPr>
          <w:rFonts w:ascii="宋体" w:hAnsi="宋体"/>
          <w:sz w:val="24"/>
          <w:u w:val="single"/>
        </w:rPr>
      </w:pPr>
      <w:r>
        <w:rPr>
          <w:rFonts w:hint="eastAsia" w:ascii="宋体" w:hAnsi="宋体"/>
          <w:sz w:val="24"/>
        </w:rPr>
        <w:t>电          话：</w:t>
      </w:r>
      <w:r>
        <w:rPr>
          <w:rFonts w:hint="eastAsia" w:ascii="宋体" w:hAnsi="宋体"/>
          <w:sz w:val="24"/>
          <w:u w:val="single"/>
        </w:rPr>
        <w:t xml:space="preserve">                       </w:t>
      </w:r>
    </w:p>
    <w:p w14:paraId="3D5DACCF">
      <w:pPr>
        <w:spacing w:line="440" w:lineRule="exact"/>
        <w:ind w:firstLine="470" w:firstLineChars="196"/>
        <w:rPr>
          <w:rFonts w:ascii="宋体" w:hAnsi="宋体"/>
          <w:sz w:val="24"/>
          <w:u w:val="single"/>
        </w:rPr>
      </w:pPr>
      <w:r>
        <w:rPr>
          <w:rFonts w:hint="eastAsia" w:ascii="宋体" w:hAnsi="宋体"/>
          <w:sz w:val="24"/>
        </w:rPr>
        <w:t>电  子  信  箱：</w:t>
      </w:r>
      <w:r>
        <w:rPr>
          <w:rFonts w:hint="eastAsia" w:ascii="宋体" w:hAnsi="宋体"/>
          <w:sz w:val="24"/>
          <w:u w:val="single"/>
        </w:rPr>
        <w:t xml:space="preserve">                       </w:t>
      </w:r>
    </w:p>
    <w:p w14:paraId="5E022DD4">
      <w:pPr>
        <w:pStyle w:val="2"/>
      </w:pPr>
    </w:p>
    <w:p w14:paraId="015D881F">
      <w:pPr>
        <w:spacing w:line="460" w:lineRule="exact"/>
        <w:rPr>
          <w:rFonts w:ascii="宋体" w:hAnsi="宋体"/>
          <w:b/>
          <w:sz w:val="24"/>
        </w:rPr>
      </w:pPr>
      <w:r>
        <w:rPr>
          <w:rFonts w:hint="eastAsia" w:ascii="宋体" w:hAnsi="宋体"/>
          <w:b/>
          <w:sz w:val="24"/>
        </w:rPr>
        <w:t>附：法定代表人身份证明</w:t>
      </w:r>
    </w:p>
    <w:p w14:paraId="5110AC7E">
      <w:pPr>
        <w:spacing w:line="360" w:lineRule="auto"/>
        <w:jc w:val="center"/>
        <w:rPr>
          <w:rFonts w:ascii="宋体" w:hAnsi="宋体" w:cs="宋体"/>
          <w:b/>
        </w:rPr>
      </w:pPr>
    </w:p>
    <w:p w14:paraId="3B4E6292">
      <w:pPr>
        <w:spacing w:line="360" w:lineRule="auto"/>
        <w:jc w:val="center"/>
        <w:rPr>
          <w:rFonts w:ascii="宋体" w:hAnsi="宋体" w:cs="宋体"/>
          <w:b/>
        </w:rPr>
      </w:pPr>
      <w:r>
        <w:rPr>
          <w:rFonts w:hint="eastAsia" w:ascii="宋体" w:hAnsi="宋体" w:cs="宋体"/>
          <w:b/>
        </w:rPr>
        <w:t>法定代表人身份证明</w:t>
      </w:r>
    </w:p>
    <w:p w14:paraId="3F7F198E">
      <w:pPr>
        <w:spacing w:line="360" w:lineRule="auto"/>
        <w:jc w:val="center"/>
        <w:rPr>
          <w:rFonts w:eastAsia="黑体" w:cs="宋体"/>
        </w:rPr>
      </w:pPr>
    </w:p>
    <w:p w14:paraId="034A13ED">
      <w:pPr>
        <w:spacing w:line="360" w:lineRule="auto"/>
        <w:jc w:val="center"/>
        <w:rPr>
          <w:rFonts w:eastAsia="黑体" w:cs="宋体"/>
          <w:sz w:val="24"/>
        </w:rPr>
      </w:pPr>
    </w:p>
    <w:p w14:paraId="40536C00">
      <w:pPr>
        <w:spacing w:line="360" w:lineRule="auto"/>
        <w:ind w:firstLine="480" w:firstLineChars="200"/>
        <w:rPr>
          <w:rFonts w:ascii="宋体" w:hAnsi="宋体"/>
          <w:sz w:val="24"/>
          <w:u w:val="single"/>
        </w:rPr>
      </w:pPr>
      <w:r>
        <w:rPr>
          <w:rFonts w:hint="eastAsia" w:ascii="宋体" w:hAnsi="宋体"/>
          <w:sz w:val="24"/>
        </w:rPr>
        <w:t>单位名称：</w:t>
      </w:r>
      <w:r>
        <w:rPr>
          <w:rFonts w:hint="eastAsia" w:ascii="宋体" w:hAnsi="宋体"/>
          <w:sz w:val="24"/>
          <w:u w:val="single"/>
        </w:rPr>
        <w:t xml:space="preserve">                                           </w:t>
      </w:r>
    </w:p>
    <w:p w14:paraId="0F34F422">
      <w:pPr>
        <w:spacing w:line="360" w:lineRule="auto"/>
        <w:ind w:firstLine="480" w:firstLineChars="200"/>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14:paraId="40B4359D">
      <w:pPr>
        <w:spacing w:line="360" w:lineRule="auto"/>
        <w:ind w:firstLine="480" w:firstLineChars="200"/>
        <w:rPr>
          <w:rFonts w:ascii="宋体" w:hAnsi="宋体"/>
          <w:sz w:val="24"/>
          <w:u w:val="single"/>
        </w:rPr>
      </w:pPr>
      <w:r>
        <w:rPr>
          <w:rFonts w:hint="eastAsia" w:ascii="宋体" w:hAnsi="宋体"/>
          <w:sz w:val="24"/>
        </w:rPr>
        <w:t>地    址：</w:t>
      </w:r>
      <w:r>
        <w:rPr>
          <w:rFonts w:hint="eastAsia" w:ascii="宋体" w:hAnsi="宋体"/>
          <w:sz w:val="24"/>
          <w:u w:val="single"/>
        </w:rPr>
        <w:t xml:space="preserve">                                           </w:t>
      </w:r>
    </w:p>
    <w:p w14:paraId="610C9CCC">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 xml:space="preserve"> 月 </w:t>
      </w:r>
      <w:r>
        <w:rPr>
          <w:rFonts w:hint="eastAsia" w:ascii="宋体" w:hAnsi="宋体"/>
          <w:sz w:val="24"/>
          <w:u w:val="single"/>
        </w:rPr>
        <w:t xml:space="preserve">          </w:t>
      </w:r>
      <w:r>
        <w:rPr>
          <w:rFonts w:hint="eastAsia" w:ascii="宋体" w:hAnsi="宋体"/>
          <w:sz w:val="24"/>
        </w:rPr>
        <w:t xml:space="preserve">  日</w:t>
      </w:r>
    </w:p>
    <w:p w14:paraId="3B3EBB90">
      <w:pPr>
        <w:spacing w:line="360" w:lineRule="auto"/>
        <w:ind w:firstLine="480" w:firstLineChars="200"/>
        <w:rPr>
          <w:rFonts w:ascii="宋体" w:hAnsi="宋体"/>
          <w:sz w:val="24"/>
          <w:u w:val="single"/>
        </w:rPr>
      </w:pPr>
      <w:r>
        <w:rPr>
          <w:rFonts w:hint="eastAsia" w:ascii="宋体" w:hAnsi="宋体"/>
          <w:sz w:val="24"/>
        </w:rPr>
        <w:t>经营期限：</w:t>
      </w:r>
      <w:r>
        <w:rPr>
          <w:rFonts w:hint="eastAsia" w:ascii="宋体" w:hAnsi="宋体"/>
          <w:sz w:val="24"/>
          <w:u w:val="single"/>
        </w:rPr>
        <w:t xml:space="preserve">                                           </w:t>
      </w:r>
    </w:p>
    <w:p w14:paraId="180FE35F">
      <w:pPr>
        <w:spacing w:line="360" w:lineRule="auto"/>
        <w:ind w:firstLine="480" w:firstLineChars="200"/>
        <w:rPr>
          <w:rFonts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 </w:t>
      </w:r>
      <w:r>
        <w:rPr>
          <w:rFonts w:hint="eastAsia" w:ascii="宋体" w:hAnsi="宋体"/>
          <w:sz w:val="24"/>
          <w:u w:val="single"/>
        </w:rPr>
        <w:t xml:space="preserve">                   </w:t>
      </w:r>
    </w:p>
    <w:p w14:paraId="6B7E9425">
      <w:pPr>
        <w:spacing w:line="360" w:lineRule="auto"/>
        <w:ind w:firstLine="480" w:firstLineChars="200"/>
        <w:rPr>
          <w:rFonts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 </w:t>
      </w:r>
      <w:r>
        <w:rPr>
          <w:rFonts w:hint="eastAsia" w:ascii="宋体" w:hAnsi="宋体"/>
          <w:sz w:val="24"/>
          <w:u w:val="single"/>
        </w:rPr>
        <w:t xml:space="preserve">                   </w:t>
      </w:r>
    </w:p>
    <w:p w14:paraId="4C08D8BA">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（供应商单位名称）             </w:t>
      </w:r>
      <w:r>
        <w:rPr>
          <w:rFonts w:hint="eastAsia" w:ascii="宋体" w:hAnsi="宋体"/>
          <w:sz w:val="24"/>
        </w:rPr>
        <w:t>的法定代表人。</w:t>
      </w:r>
    </w:p>
    <w:p w14:paraId="2E505699">
      <w:pPr>
        <w:spacing w:line="360" w:lineRule="auto"/>
        <w:ind w:firstLine="480" w:firstLineChars="200"/>
        <w:rPr>
          <w:rFonts w:ascii="宋体" w:hAnsi="宋体"/>
          <w:sz w:val="24"/>
        </w:rPr>
      </w:pPr>
    </w:p>
    <w:p w14:paraId="73357577">
      <w:pPr>
        <w:spacing w:line="360" w:lineRule="auto"/>
        <w:ind w:firstLine="480" w:firstLineChars="200"/>
        <w:rPr>
          <w:rFonts w:ascii="宋体" w:hAnsi="宋体"/>
          <w:sz w:val="24"/>
        </w:rPr>
      </w:pPr>
      <w:r>
        <w:rPr>
          <w:rFonts w:hint="eastAsia" w:ascii="宋体" w:hAnsi="宋体"/>
          <w:sz w:val="24"/>
        </w:rPr>
        <w:t>特此证明。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14:paraId="5EBF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14:paraId="5E1848CB">
            <w:pPr>
              <w:pStyle w:val="18"/>
              <w:ind w:left="0"/>
              <w:jc w:val="center"/>
            </w:pPr>
          </w:p>
          <w:p w14:paraId="23339E16">
            <w:pPr>
              <w:pStyle w:val="18"/>
              <w:ind w:left="0"/>
              <w:jc w:val="center"/>
            </w:pPr>
          </w:p>
          <w:p w14:paraId="69049C65">
            <w:pPr>
              <w:pStyle w:val="18"/>
              <w:ind w:left="0"/>
              <w:jc w:val="center"/>
            </w:pPr>
          </w:p>
          <w:p w14:paraId="1AA163E9">
            <w:pPr>
              <w:jc w:val="center"/>
            </w:pPr>
            <w:r>
              <w:rPr>
                <w:rFonts w:hint="eastAsia" w:ascii="宋体" w:hAnsi="宋体" w:cs="宋体"/>
                <w:b/>
                <w:sz w:val="28"/>
                <w:szCs w:val="28"/>
              </w:rPr>
              <w:t>法定代表人身份证复印件</w:t>
            </w:r>
          </w:p>
          <w:p w14:paraId="0A146B26">
            <w:pPr>
              <w:pStyle w:val="2"/>
            </w:pPr>
          </w:p>
          <w:p w14:paraId="46863003">
            <w:pPr>
              <w:pStyle w:val="18"/>
              <w:ind w:left="0"/>
              <w:jc w:val="both"/>
            </w:pPr>
          </w:p>
          <w:p w14:paraId="0CD5C5B8"/>
          <w:p w14:paraId="03C1072C">
            <w:pPr>
              <w:pStyle w:val="2"/>
            </w:pPr>
          </w:p>
        </w:tc>
      </w:tr>
    </w:tbl>
    <w:p w14:paraId="19B9EAAA">
      <w:pPr>
        <w:spacing w:line="360" w:lineRule="auto"/>
        <w:rPr>
          <w:rFonts w:ascii="宋体" w:hAnsi="宋体"/>
          <w:sz w:val="24"/>
        </w:rPr>
      </w:pPr>
    </w:p>
    <w:p w14:paraId="086D813F">
      <w:pPr>
        <w:spacing w:line="360" w:lineRule="auto"/>
        <w:ind w:right="480"/>
        <w:jc w:val="center"/>
        <w:rPr>
          <w:rFonts w:ascii="宋体" w:hAnsi="宋体"/>
          <w:sz w:val="24"/>
        </w:rPr>
      </w:pPr>
      <w:r>
        <w:rPr>
          <w:rFonts w:hint="eastAsia" w:ascii="宋体" w:hAnsi="宋体"/>
          <w:sz w:val="24"/>
        </w:rPr>
        <w:t xml:space="preserve">               供应商：</w:t>
      </w:r>
      <w:r>
        <w:rPr>
          <w:rFonts w:hint="eastAsia" w:ascii="宋体" w:hAnsi="宋体"/>
          <w:sz w:val="24"/>
          <w:u w:val="single"/>
        </w:rPr>
        <w:t xml:space="preserve">             （盖公章）</w:t>
      </w:r>
    </w:p>
    <w:p w14:paraId="0EA0611F">
      <w:pPr>
        <w:spacing w:line="360" w:lineRule="auto"/>
        <w:jc w:val="center"/>
        <w:rPr>
          <w:rFonts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2B1C872">
      <w:pPr>
        <w:spacing w:line="440" w:lineRule="exact"/>
        <w:jc w:val="center"/>
        <w:rPr>
          <w:rFonts w:ascii="宋体" w:hAnsi="宋体"/>
          <w:b/>
          <w:bCs/>
          <w:sz w:val="24"/>
        </w:rPr>
      </w:pPr>
    </w:p>
    <w:p w14:paraId="7CB215A6">
      <w:pPr>
        <w:spacing w:line="440" w:lineRule="exact"/>
        <w:jc w:val="center"/>
        <w:rPr>
          <w:rFonts w:ascii="宋体" w:hAnsi="宋体"/>
          <w:b/>
          <w:bCs/>
          <w:sz w:val="24"/>
        </w:rPr>
      </w:pPr>
    </w:p>
    <w:p w14:paraId="02DD5EBA">
      <w:pPr>
        <w:spacing w:line="440" w:lineRule="exact"/>
        <w:jc w:val="center"/>
        <w:rPr>
          <w:rFonts w:ascii="宋体" w:hAnsi="宋体"/>
          <w:b/>
          <w:bCs/>
          <w:sz w:val="24"/>
        </w:rPr>
      </w:pPr>
    </w:p>
    <w:p w14:paraId="505BC7D1">
      <w:pPr>
        <w:spacing w:line="440" w:lineRule="exact"/>
        <w:jc w:val="center"/>
        <w:rPr>
          <w:rFonts w:ascii="宋体" w:hAnsi="宋体"/>
          <w:b/>
          <w:bCs/>
          <w:sz w:val="24"/>
        </w:rPr>
      </w:pPr>
    </w:p>
    <w:p w14:paraId="61BF9160">
      <w:pPr>
        <w:spacing w:line="440" w:lineRule="exact"/>
        <w:jc w:val="center"/>
        <w:rPr>
          <w:rFonts w:ascii="宋体" w:hAnsi="宋体"/>
          <w:b/>
          <w:bCs/>
          <w:sz w:val="24"/>
        </w:rPr>
      </w:pPr>
    </w:p>
    <w:p w14:paraId="69D19A7E">
      <w:pPr>
        <w:spacing w:line="440" w:lineRule="exact"/>
        <w:jc w:val="center"/>
        <w:rPr>
          <w:rFonts w:ascii="宋体" w:hAnsi="宋体"/>
          <w:b/>
          <w:bCs/>
          <w:sz w:val="24"/>
        </w:rPr>
      </w:pPr>
    </w:p>
    <w:p w14:paraId="00630521">
      <w:pPr>
        <w:pStyle w:val="2"/>
        <w:spacing w:before="113" w:line="350" w:lineRule="auto"/>
        <w:ind w:left="506" w:right="1400" w:firstLine="480"/>
        <w:jc w:val="center"/>
        <w:rPr>
          <w:b/>
          <w:bCs/>
        </w:rPr>
      </w:pPr>
      <w:r>
        <w:rPr>
          <w:rFonts w:hint="eastAsia"/>
          <w:b/>
          <w:bCs/>
        </w:rPr>
        <w:br w:type="page"/>
      </w:r>
      <w:r>
        <w:rPr>
          <w:rFonts w:hint="eastAsia"/>
          <w:b/>
          <w:bCs/>
        </w:rPr>
        <w:t>三、供应商资格证明及评审所需材料</w:t>
      </w:r>
    </w:p>
    <w:p w14:paraId="52DD3155">
      <w:pPr>
        <w:adjustRightInd w:val="0"/>
        <w:snapToGrid w:val="0"/>
        <w:spacing w:line="360" w:lineRule="auto"/>
        <w:rPr>
          <w:rFonts w:ascii="宋体" w:hAnsi="宋体" w:cs="宋体"/>
          <w:color w:val="000000"/>
          <w:kern w:val="0"/>
          <w:sz w:val="24"/>
          <w:szCs w:val="24"/>
        </w:rPr>
      </w:pPr>
    </w:p>
    <w:p w14:paraId="0095E008">
      <w:pPr>
        <w:adjustRightInd w:val="0"/>
        <w:snapToGrid w:val="0"/>
        <w:spacing w:line="360" w:lineRule="auto"/>
        <w:rPr>
          <w:rFonts w:ascii="宋体" w:hAnsi="宋体" w:cs="宋体"/>
          <w:color w:val="000000"/>
          <w:kern w:val="0"/>
          <w:sz w:val="24"/>
          <w:szCs w:val="24"/>
        </w:rPr>
      </w:pPr>
      <w:r>
        <w:rPr>
          <w:rFonts w:hint="eastAsia" w:ascii="宋体" w:hAnsi="宋体" w:cs="宋体"/>
          <w:color w:val="000000"/>
          <w:kern w:val="0"/>
          <w:sz w:val="24"/>
          <w:szCs w:val="24"/>
        </w:rPr>
        <w:t>投标人自行查阅招磋商件中须提供的资料，确保提供齐全。（复印件加盖公章）</w:t>
      </w:r>
    </w:p>
    <w:p w14:paraId="792727BB">
      <w:pPr>
        <w:adjustRightInd w:val="0"/>
        <w:snapToGrid w:val="0"/>
        <w:spacing w:line="360" w:lineRule="auto"/>
        <w:rPr>
          <w:rFonts w:ascii="宋体" w:hAnsi="宋体" w:cs="宋体"/>
          <w:b/>
          <w:color w:val="000000"/>
          <w:sz w:val="28"/>
          <w:szCs w:val="28"/>
        </w:rPr>
      </w:pPr>
    </w:p>
    <w:p w14:paraId="4E4BCB75">
      <w:pPr>
        <w:pStyle w:val="18"/>
      </w:pPr>
    </w:p>
    <w:p w14:paraId="6B0D6D1E"/>
    <w:p w14:paraId="054E6ED6">
      <w:pPr>
        <w:pStyle w:val="2"/>
      </w:pPr>
    </w:p>
    <w:p w14:paraId="115C6A6B">
      <w:pPr>
        <w:adjustRightInd w:val="0"/>
        <w:snapToGrid w:val="0"/>
        <w:spacing w:line="360" w:lineRule="auto"/>
        <w:jc w:val="center"/>
        <w:rPr>
          <w:rFonts w:ascii="宋体" w:hAnsi="宋体" w:cs="宋体"/>
          <w:b/>
          <w:color w:val="000000"/>
          <w:sz w:val="28"/>
          <w:szCs w:val="28"/>
        </w:rPr>
      </w:pPr>
    </w:p>
    <w:p w14:paraId="15974906">
      <w:pPr>
        <w:pStyle w:val="30"/>
        <w:snapToGrid w:val="0"/>
        <w:spacing w:line="360" w:lineRule="auto"/>
        <w:ind w:firstLine="480" w:firstLineChars="200"/>
        <w:rPr>
          <w:rFonts w:ascii="宋体" w:hAnsi="宋体" w:eastAsia="宋体" w:cs="宋体"/>
          <w:color w:val="000000"/>
        </w:rPr>
      </w:pPr>
      <w:r>
        <w:rPr>
          <w:rFonts w:hint="eastAsia" w:ascii="宋体" w:hAnsi="宋体" w:eastAsia="宋体" w:cs="宋体"/>
          <w:color w:val="000000"/>
        </w:rPr>
        <w:t xml:space="preserve">                                                年   月    日</w:t>
      </w:r>
    </w:p>
    <w:p w14:paraId="7E3738DE">
      <w:pPr>
        <w:pStyle w:val="2"/>
        <w:spacing w:before="113" w:line="350" w:lineRule="auto"/>
        <w:ind w:left="321" w:right="1400"/>
      </w:pPr>
    </w:p>
    <w:p w14:paraId="7DC106B4">
      <w:pPr>
        <w:pStyle w:val="3"/>
      </w:pPr>
    </w:p>
    <w:p w14:paraId="3D472B1F"/>
    <w:p w14:paraId="71803175">
      <w:pPr>
        <w:pStyle w:val="2"/>
      </w:pPr>
    </w:p>
    <w:p w14:paraId="22A6C111">
      <w:pPr>
        <w:pStyle w:val="3"/>
      </w:pPr>
    </w:p>
    <w:p w14:paraId="1EA3E74E"/>
    <w:p w14:paraId="7E3C562E">
      <w:pPr>
        <w:pStyle w:val="2"/>
      </w:pPr>
    </w:p>
    <w:p w14:paraId="1C2F0A1E">
      <w:pPr>
        <w:pStyle w:val="3"/>
      </w:pPr>
    </w:p>
    <w:p w14:paraId="4DDCC5B7"/>
    <w:p w14:paraId="512FC499">
      <w:pPr>
        <w:pStyle w:val="2"/>
      </w:pPr>
    </w:p>
    <w:p w14:paraId="3AA82496">
      <w:pPr>
        <w:pStyle w:val="3"/>
      </w:pPr>
    </w:p>
    <w:p w14:paraId="20B0B744"/>
    <w:p w14:paraId="160F143A">
      <w:pPr>
        <w:pStyle w:val="2"/>
      </w:pPr>
    </w:p>
    <w:p w14:paraId="42A40D88">
      <w:pPr>
        <w:pStyle w:val="3"/>
      </w:pPr>
    </w:p>
    <w:p w14:paraId="7DF5FE72"/>
    <w:p w14:paraId="6A427B92">
      <w:pPr>
        <w:pStyle w:val="2"/>
      </w:pPr>
    </w:p>
    <w:p w14:paraId="7B47BE34">
      <w:pPr>
        <w:pStyle w:val="3"/>
      </w:pPr>
    </w:p>
    <w:p w14:paraId="6CCDF2C5"/>
    <w:p w14:paraId="6109B029">
      <w:pPr>
        <w:pStyle w:val="2"/>
      </w:pPr>
    </w:p>
    <w:p w14:paraId="7BA14DEA">
      <w:pPr>
        <w:pStyle w:val="3"/>
      </w:pPr>
    </w:p>
    <w:p w14:paraId="1D39B531"/>
    <w:p w14:paraId="2B140862">
      <w:pPr>
        <w:pStyle w:val="2"/>
      </w:pPr>
    </w:p>
    <w:p w14:paraId="6848199A">
      <w:pPr>
        <w:pStyle w:val="3"/>
      </w:pPr>
    </w:p>
    <w:p w14:paraId="20263EFF"/>
    <w:p w14:paraId="16CB20DC">
      <w:pPr>
        <w:pStyle w:val="2"/>
      </w:pPr>
    </w:p>
    <w:p w14:paraId="0180962B">
      <w:pPr>
        <w:pStyle w:val="3"/>
      </w:pPr>
    </w:p>
    <w:p w14:paraId="304D6A5F">
      <w:pPr>
        <w:spacing w:line="320" w:lineRule="exact"/>
        <w:jc w:val="center"/>
        <w:rPr>
          <w:rFonts w:ascii="宋体" w:hAnsi="宋体"/>
          <w:b/>
          <w:sz w:val="28"/>
        </w:rPr>
      </w:pPr>
    </w:p>
    <w:p w14:paraId="17042743">
      <w:pPr>
        <w:pStyle w:val="2"/>
      </w:pPr>
    </w:p>
    <w:p w14:paraId="5560E81E">
      <w:pPr>
        <w:pStyle w:val="3"/>
      </w:pPr>
    </w:p>
    <w:p w14:paraId="26B9234C">
      <w:pPr>
        <w:pStyle w:val="2"/>
      </w:pPr>
    </w:p>
    <w:p w14:paraId="696A0881">
      <w:pPr>
        <w:pStyle w:val="2"/>
        <w:spacing w:before="113" w:line="350" w:lineRule="auto"/>
        <w:ind w:left="506" w:right="1400" w:firstLine="480"/>
        <w:jc w:val="center"/>
        <w:rPr>
          <w:b/>
          <w:bCs/>
        </w:rPr>
      </w:pPr>
      <w:r>
        <w:rPr>
          <w:rFonts w:hint="eastAsia"/>
          <w:b/>
          <w:bCs/>
        </w:rPr>
        <w:t>四、信用承诺</w:t>
      </w:r>
    </w:p>
    <w:p w14:paraId="315BD084">
      <w:pPr>
        <w:pStyle w:val="2"/>
        <w:ind w:left="97" w:leftChars="46" w:firstLine="2108" w:firstLineChars="750"/>
        <w:rPr>
          <w:rFonts w:cs="宋体"/>
          <w:b/>
          <w:bCs/>
          <w:color w:val="000000"/>
          <w:szCs w:val="24"/>
        </w:rPr>
      </w:pPr>
    </w:p>
    <w:p w14:paraId="315E768B">
      <w:pPr>
        <w:pStyle w:val="19"/>
      </w:pPr>
      <w:r>
        <w:t>致：</w:t>
      </w:r>
      <w:r>
        <w:rPr>
          <w:rFonts w:hint="eastAsia"/>
        </w:rPr>
        <w:t>（采购人）</w:t>
      </w:r>
    </w:p>
    <w:p w14:paraId="4C7EFEBA">
      <w:pPr>
        <w:spacing w:line="360" w:lineRule="auto"/>
        <w:ind w:firstLine="480" w:firstLineChars="200"/>
        <w:rPr>
          <w:rFonts w:ascii="宋体" w:hAnsi="宋体" w:cs="宋体"/>
          <w:b/>
          <w:sz w:val="24"/>
        </w:rPr>
      </w:pPr>
      <w:r>
        <w:rPr>
          <w:rFonts w:hint="eastAsia" w:ascii="宋体" w:hAnsi="宋体" w:cs="宋体"/>
          <w:sz w:val="24"/>
          <w:szCs w:val="24"/>
        </w:rPr>
        <w:t>本公司郑重声明，我公司无以下不良信用记录情形：</w:t>
      </w:r>
    </w:p>
    <w:p w14:paraId="54E68070">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①被最高人民法院在“信用中国”网站（www.creditchina.gov.cn）列入失信被执行人失信惩戒名单；</w:t>
      </w:r>
    </w:p>
    <w:p w14:paraId="4E18035E">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②被国家税务总局列入“重大税收违法案件当事人”名单。</w:t>
      </w:r>
    </w:p>
    <w:p w14:paraId="3148F9EE">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③被中国政府采购网（www.ccgp.gov.cn）列入“政府采购严重违法失信行为记录名单”；</w:t>
      </w:r>
    </w:p>
    <w:p w14:paraId="336C85A2">
      <w:pPr>
        <w:autoSpaceDE w:val="0"/>
        <w:autoSpaceDN w:val="0"/>
        <w:adjustRightInd w:val="0"/>
        <w:snapToGrid w:val="0"/>
        <w:spacing w:line="360" w:lineRule="auto"/>
        <w:ind w:firstLine="638" w:firstLineChars="266"/>
        <w:rPr>
          <w:rFonts w:ascii="宋体" w:hAnsi="宋体" w:cs="宋体"/>
          <w:bCs/>
          <w:sz w:val="24"/>
        </w:rPr>
      </w:pPr>
      <w:r>
        <w:rPr>
          <w:rFonts w:hint="eastAsia" w:ascii="宋体" w:hAnsi="宋体" w:cs="宋体"/>
          <w:bCs/>
          <w:sz w:val="24"/>
        </w:rPr>
        <w:t>④被国家市场监督管理部门在国家企业信用信息公示系统（www.gsxt.gov.cn）中列入严重违法失信企业名单。</w:t>
      </w:r>
    </w:p>
    <w:p w14:paraId="40FD655D">
      <w:pPr>
        <w:spacing w:line="360" w:lineRule="auto"/>
        <w:ind w:left="4200" w:leftChars="2000" w:firstLine="720" w:firstLineChars="300"/>
        <w:rPr>
          <w:rFonts w:ascii="宋体" w:hAnsi="宋体" w:cs="宋体"/>
          <w:sz w:val="24"/>
          <w:szCs w:val="24"/>
        </w:rPr>
      </w:pPr>
      <w:r>
        <w:rPr>
          <w:rFonts w:hint="eastAsia" w:ascii="宋体" w:hAnsi="宋体" w:cs="宋体"/>
          <w:sz w:val="24"/>
          <w:szCs w:val="24"/>
        </w:rPr>
        <w:t>投标供应商公章：</w:t>
      </w:r>
    </w:p>
    <w:p w14:paraId="7F4ED9AA">
      <w:pPr>
        <w:spacing w:line="360" w:lineRule="auto"/>
        <w:ind w:left="4200" w:leftChars="2000" w:firstLine="1200" w:firstLineChars="500"/>
        <w:rPr>
          <w:rFonts w:ascii="宋体" w:hAnsi="宋体" w:cs="宋体"/>
          <w:sz w:val="24"/>
          <w:szCs w:val="24"/>
        </w:rPr>
      </w:pPr>
      <w:r>
        <w:rPr>
          <w:rFonts w:hint="eastAsia" w:ascii="宋体" w:hAnsi="宋体" w:cs="宋体"/>
          <w:sz w:val="24"/>
          <w:szCs w:val="24"/>
        </w:rPr>
        <w:t>日期：</w:t>
      </w:r>
    </w:p>
    <w:p w14:paraId="1216859F">
      <w:pPr>
        <w:pStyle w:val="31"/>
        <w:widowControl/>
        <w:spacing w:line="480" w:lineRule="atLeast"/>
        <w:jc w:val="center"/>
        <w:outlineLvl w:val="0"/>
        <w:rPr>
          <w:rFonts w:hAnsi="Arial"/>
          <w:b/>
          <w:bCs/>
          <w:sz w:val="28"/>
          <w:szCs w:val="22"/>
        </w:rPr>
      </w:pPr>
    </w:p>
    <w:p w14:paraId="6D2DBEE2">
      <w:pPr>
        <w:pStyle w:val="31"/>
        <w:widowControl/>
        <w:spacing w:line="480" w:lineRule="atLeast"/>
        <w:jc w:val="center"/>
        <w:outlineLvl w:val="0"/>
        <w:rPr>
          <w:rFonts w:hAnsi="Arial"/>
          <w:b/>
          <w:bCs/>
          <w:sz w:val="28"/>
          <w:szCs w:val="22"/>
        </w:rPr>
      </w:pPr>
    </w:p>
    <w:p w14:paraId="30A66DCD">
      <w:pPr>
        <w:pStyle w:val="31"/>
        <w:widowControl/>
        <w:spacing w:line="480" w:lineRule="atLeast"/>
        <w:jc w:val="center"/>
        <w:outlineLvl w:val="0"/>
        <w:rPr>
          <w:rFonts w:hAnsi="Arial"/>
          <w:b/>
          <w:bCs/>
          <w:sz w:val="28"/>
          <w:szCs w:val="22"/>
        </w:rPr>
      </w:pPr>
    </w:p>
    <w:p w14:paraId="39346385">
      <w:pPr>
        <w:pStyle w:val="31"/>
        <w:widowControl/>
        <w:spacing w:line="480" w:lineRule="atLeast"/>
        <w:jc w:val="center"/>
        <w:outlineLvl w:val="0"/>
        <w:rPr>
          <w:rFonts w:hAnsi="Arial"/>
          <w:b/>
          <w:bCs/>
          <w:sz w:val="28"/>
          <w:szCs w:val="22"/>
        </w:rPr>
      </w:pPr>
    </w:p>
    <w:p w14:paraId="240FAE5F">
      <w:pPr>
        <w:pStyle w:val="31"/>
        <w:widowControl/>
        <w:spacing w:line="480" w:lineRule="atLeast"/>
        <w:jc w:val="center"/>
        <w:outlineLvl w:val="0"/>
        <w:rPr>
          <w:rFonts w:hAnsi="Arial"/>
          <w:b/>
          <w:bCs/>
          <w:sz w:val="28"/>
          <w:szCs w:val="22"/>
        </w:rPr>
      </w:pPr>
    </w:p>
    <w:p w14:paraId="1225CA06">
      <w:pPr>
        <w:pStyle w:val="31"/>
        <w:widowControl/>
        <w:spacing w:line="480" w:lineRule="atLeast"/>
        <w:jc w:val="center"/>
        <w:outlineLvl w:val="0"/>
        <w:rPr>
          <w:rFonts w:hAnsi="Arial"/>
          <w:b/>
          <w:bCs/>
          <w:sz w:val="28"/>
          <w:szCs w:val="22"/>
        </w:rPr>
      </w:pPr>
    </w:p>
    <w:p w14:paraId="6EBD2EB0">
      <w:pPr>
        <w:pStyle w:val="31"/>
        <w:widowControl/>
        <w:spacing w:line="480" w:lineRule="atLeast"/>
        <w:jc w:val="center"/>
        <w:outlineLvl w:val="0"/>
        <w:rPr>
          <w:rFonts w:hAnsi="Arial"/>
          <w:b/>
          <w:bCs/>
          <w:sz w:val="28"/>
          <w:szCs w:val="22"/>
        </w:rPr>
      </w:pPr>
    </w:p>
    <w:p w14:paraId="5BB17514">
      <w:pPr>
        <w:pStyle w:val="31"/>
        <w:widowControl/>
        <w:spacing w:line="480" w:lineRule="atLeast"/>
        <w:jc w:val="center"/>
        <w:outlineLvl w:val="0"/>
        <w:rPr>
          <w:rFonts w:hAnsi="Arial"/>
          <w:b/>
          <w:bCs/>
          <w:sz w:val="28"/>
          <w:szCs w:val="22"/>
        </w:rPr>
      </w:pPr>
    </w:p>
    <w:p w14:paraId="7F4BECA2">
      <w:pPr>
        <w:pStyle w:val="31"/>
        <w:widowControl/>
        <w:spacing w:line="480" w:lineRule="atLeast"/>
        <w:jc w:val="center"/>
        <w:outlineLvl w:val="0"/>
        <w:rPr>
          <w:rFonts w:hAnsi="Arial"/>
          <w:b/>
          <w:bCs/>
          <w:sz w:val="28"/>
          <w:szCs w:val="22"/>
        </w:rPr>
      </w:pPr>
    </w:p>
    <w:p w14:paraId="43BFDFAB">
      <w:pPr>
        <w:pStyle w:val="31"/>
        <w:widowControl/>
        <w:spacing w:line="480" w:lineRule="atLeast"/>
        <w:jc w:val="center"/>
        <w:outlineLvl w:val="0"/>
        <w:rPr>
          <w:rFonts w:hAnsi="Arial"/>
          <w:b/>
          <w:bCs/>
          <w:sz w:val="28"/>
          <w:szCs w:val="22"/>
        </w:rPr>
      </w:pPr>
    </w:p>
    <w:p w14:paraId="6D015C89">
      <w:pPr>
        <w:pStyle w:val="31"/>
        <w:widowControl/>
        <w:spacing w:line="480" w:lineRule="atLeast"/>
        <w:jc w:val="center"/>
        <w:outlineLvl w:val="0"/>
        <w:rPr>
          <w:rFonts w:hAnsi="Arial"/>
          <w:b/>
          <w:bCs/>
          <w:sz w:val="28"/>
          <w:szCs w:val="22"/>
        </w:rPr>
      </w:pPr>
    </w:p>
    <w:p w14:paraId="2033AA9C">
      <w:pPr>
        <w:pStyle w:val="31"/>
        <w:widowControl/>
        <w:spacing w:line="480" w:lineRule="atLeast"/>
        <w:jc w:val="center"/>
        <w:outlineLvl w:val="0"/>
        <w:rPr>
          <w:rFonts w:hAnsi="Arial"/>
          <w:b/>
          <w:bCs/>
          <w:sz w:val="28"/>
          <w:szCs w:val="22"/>
        </w:rPr>
      </w:pPr>
    </w:p>
    <w:p w14:paraId="52BC44ED">
      <w:pPr>
        <w:pStyle w:val="31"/>
        <w:widowControl/>
        <w:spacing w:line="480" w:lineRule="atLeast"/>
        <w:jc w:val="center"/>
        <w:outlineLvl w:val="0"/>
        <w:rPr>
          <w:rFonts w:hAnsi="Arial"/>
          <w:b/>
          <w:bCs/>
          <w:sz w:val="28"/>
          <w:szCs w:val="22"/>
        </w:rPr>
      </w:pPr>
    </w:p>
    <w:p w14:paraId="634015AA">
      <w:pPr>
        <w:pStyle w:val="31"/>
        <w:widowControl/>
        <w:spacing w:line="480" w:lineRule="atLeast"/>
        <w:outlineLvl w:val="0"/>
        <w:rPr>
          <w:rFonts w:hAnsi="Arial"/>
          <w:b/>
          <w:bCs/>
          <w:sz w:val="28"/>
          <w:szCs w:val="22"/>
        </w:rPr>
      </w:pPr>
    </w:p>
    <w:p w14:paraId="5AEDE70B">
      <w:pPr>
        <w:pStyle w:val="31"/>
        <w:widowControl/>
        <w:spacing w:line="480" w:lineRule="atLeast"/>
        <w:jc w:val="center"/>
        <w:outlineLvl w:val="0"/>
        <w:rPr>
          <w:rFonts w:hAnsi="Arial"/>
          <w:b/>
          <w:bCs/>
          <w:sz w:val="28"/>
          <w:szCs w:val="22"/>
        </w:rPr>
      </w:pPr>
      <w:r>
        <w:rPr>
          <w:rFonts w:hint="eastAsia" w:hAnsi="Arial"/>
          <w:b/>
          <w:bCs/>
          <w:sz w:val="28"/>
          <w:szCs w:val="22"/>
        </w:rPr>
        <w:t>五、拟派本项目人员一览表</w:t>
      </w:r>
    </w:p>
    <w:p w14:paraId="6C09EDC4">
      <w:pPr>
        <w:pStyle w:val="31"/>
        <w:widowControl/>
        <w:spacing w:line="480" w:lineRule="atLeast"/>
        <w:jc w:val="center"/>
        <w:outlineLvl w:val="0"/>
        <w:rPr>
          <w:rFonts w:hAnsi="Arial"/>
          <w:b/>
          <w:bCs/>
          <w:sz w:val="28"/>
          <w:szCs w:val="22"/>
        </w:rPr>
      </w:pPr>
    </w:p>
    <w:p w14:paraId="57BFD60C">
      <w:pPr>
        <w:pStyle w:val="2"/>
        <w:spacing w:before="113" w:line="350" w:lineRule="auto"/>
        <w:ind w:left="506" w:right="1400" w:firstLine="480"/>
        <w:jc w:val="center"/>
        <w:rPr>
          <w:rFonts w:hAnsi="宋体" w:cs="宋体"/>
          <w:b/>
          <w:sz w:val="24"/>
          <w:szCs w:val="24"/>
        </w:rPr>
      </w:pPr>
      <w:r>
        <w:rPr>
          <w:rFonts w:hint="eastAsia" w:hAnsi="宋体" w:cs="宋体"/>
          <w:b/>
          <w:sz w:val="24"/>
          <w:szCs w:val="24"/>
        </w:rPr>
        <w:t>一、拟派项目负责人简介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106"/>
        <w:gridCol w:w="229"/>
        <w:gridCol w:w="492"/>
        <w:gridCol w:w="560"/>
        <w:gridCol w:w="1121"/>
        <w:gridCol w:w="1121"/>
        <w:gridCol w:w="1402"/>
        <w:gridCol w:w="700"/>
        <w:gridCol w:w="1542"/>
      </w:tblGrid>
      <w:tr w14:paraId="382C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1223" w:type="dxa"/>
            <w:tcBorders>
              <w:top w:val="single" w:color="auto" w:sz="4" w:space="0"/>
              <w:left w:val="single" w:color="auto" w:sz="4" w:space="0"/>
              <w:bottom w:val="single" w:color="auto" w:sz="4" w:space="0"/>
              <w:right w:val="single" w:color="auto" w:sz="4" w:space="0"/>
            </w:tcBorders>
            <w:vAlign w:val="center"/>
          </w:tcPr>
          <w:p w14:paraId="47F1D816">
            <w:pPr>
              <w:spacing w:line="440" w:lineRule="exact"/>
              <w:rPr>
                <w:rFonts w:ascii="宋体" w:cs="楷体"/>
                <w:b/>
                <w:sz w:val="24"/>
              </w:rPr>
            </w:pPr>
            <w:r>
              <w:rPr>
                <w:rFonts w:hint="eastAsia" w:ascii="宋体" w:hAnsi="宋体" w:cs="楷体"/>
                <w:b/>
                <w:sz w:val="24"/>
              </w:rPr>
              <w:t>姓</w:t>
            </w:r>
            <w:r>
              <w:rPr>
                <w:rFonts w:ascii="宋体" w:hAnsi="宋体" w:cs="楷体"/>
                <w:b/>
                <w:sz w:val="24"/>
              </w:rPr>
              <w:t xml:space="preserve"> </w:t>
            </w:r>
            <w:r>
              <w:rPr>
                <w:rFonts w:hint="eastAsia" w:ascii="宋体" w:hAnsi="宋体" w:cs="楷体"/>
                <w:b/>
                <w:sz w:val="24"/>
              </w:rPr>
              <w:t>名</w:t>
            </w:r>
          </w:p>
        </w:tc>
        <w:tc>
          <w:tcPr>
            <w:tcW w:w="1827" w:type="dxa"/>
            <w:gridSpan w:val="3"/>
            <w:tcBorders>
              <w:top w:val="single" w:color="auto" w:sz="4" w:space="0"/>
              <w:left w:val="single" w:color="auto" w:sz="4" w:space="0"/>
              <w:bottom w:val="single" w:color="auto" w:sz="4" w:space="0"/>
              <w:right w:val="single" w:color="auto" w:sz="4" w:space="0"/>
            </w:tcBorders>
            <w:vAlign w:val="center"/>
          </w:tcPr>
          <w:p w14:paraId="06964BFA">
            <w:pPr>
              <w:spacing w:line="440" w:lineRule="exact"/>
              <w:rPr>
                <w:rFonts w:ascii="宋体" w:hAnsi="宋体" w:cs="楷体"/>
                <w:b/>
                <w:sz w:val="24"/>
              </w:rPr>
            </w:pPr>
          </w:p>
        </w:tc>
        <w:tc>
          <w:tcPr>
            <w:tcW w:w="560" w:type="dxa"/>
            <w:tcBorders>
              <w:top w:val="single" w:color="auto" w:sz="4" w:space="0"/>
              <w:left w:val="single" w:color="auto" w:sz="4" w:space="0"/>
              <w:bottom w:val="single" w:color="auto" w:sz="4" w:space="0"/>
              <w:right w:val="single" w:color="auto" w:sz="4" w:space="0"/>
            </w:tcBorders>
            <w:vAlign w:val="center"/>
          </w:tcPr>
          <w:p w14:paraId="2121FB99">
            <w:pPr>
              <w:spacing w:line="440" w:lineRule="exact"/>
              <w:rPr>
                <w:rFonts w:ascii="宋体" w:cs="楷体"/>
                <w:b/>
                <w:sz w:val="24"/>
              </w:rPr>
            </w:pPr>
            <w:r>
              <w:rPr>
                <w:rFonts w:hint="eastAsia" w:ascii="宋体" w:hAnsi="宋体" w:cs="楷体"/>
                <w:b/>
                <w:sz w:val="24"/>
              </w:rPr>
              <w:t>性别</w:t>
            </w:r>
          </w:p>
        </w:tc>
        <w:tc>
          <w:tcPr>
            <w:tcW w:w="1121" w:type="dxa"/>
            <w:tcBorders>
              <w:top w:val="single" w:color="auto" w:sz="4" w:space="0"/>
              <w:left w:val="single" w:color="auto" w:sz="4" w:space="0"/>
              <w:bottom w:val="single" w:color="auto" w:sz="4" w:space="0"/>
              <w:right w:val="single" w:color="auto" w:sz="4" w:space="0"/>
            </w:tcBorders>
            <w:vAlign w:val="center"/>
          </w:tcPr>
          <w:p w14:paraId="66B2D90F">
            <w:pPr>
              <w:spacing w:line="440" w:lineRule="exact"/>
              <w:rPr>
                <w:rFonts w:ascii="宋体" w:cs="楷体"/>
                <w:b/>
                <w:sz w:val="24"/>
              </w:rPr>
            </w:pPr>
          </w:p>
        </w:tc>
        <w:tc>
          <w:tcPr>
            <w:tcW w:w="1121" w:type="dxa"/>
            <w:tcBorders>
              <w:top w:val="single" w:color="auto" w:sz="4" w:space="0"/>
              <w:left w:val="single" w:color="auto" w:sz="4" w:space="0"/>
              <w:bottom w:val="single" w:color="auto" w:sz="4" w:space="0"/>
              <w:right w:val="single" w:color="auto" w:sz="4" w:space="0"/>
            </w:tcBorders>
            <w:vAlign w:val="center"/>
          </w:tcPr>
          <w:p w14:paraId="2A507535">
            <w:pPr>
              <w:spacing w:line="440" w:lineRule="exact"/>
              <w:rPr>
                <w:rFonts w:ascii="宋体" w:cs="楷体"/>
                <w:b/>
                <w:sz w:val="24"/>
              </w:rPr>
            </w:pPr>
            <w:r>
              <w:rPr>
                <w:rFonts w:hint="eastAsia" w:ascii="宋体" w:hAnsi="宋体" w:cs="楷体"/>
                <w:b/>
                <w:sz w:val="24"/>
              </w:rPr>
              <w:t>年龄</w:t>
            </w:r>
          </w:p>
        </w:tc>
        <w:tc>
          <w:tcPr>
            <w:tcW w:w="1402" w:type="dxa"/>
            <w:tcBorders>
              <w:top w:val="single" w:color="auto" w:sz="4" w:space="0"/>
              <w:left w:val="single" w:color="auto" w:sz="4" w:space="0"/>
              <w:bottom w:val="single" w:color="auto" w:sz="4" w:space="0"/>
              <w:right w:val="single" w:color="auto" w:sz="4" w:space="0"/>
            </w:tcBorders>
            <w:vAlign w:val="center"/>
          </w:tcPr>
          <w:p w14:paraId="7FA805C3">
            <w:pPr>
              <w:spacing w:line="440" w:lineRule="exact"/>
              <w:rPr>
                <w:rFonts w:ascii="宋体" w:cs="楷体"/>
                <w:b/>
                <w:sz w:val="24"/>
              </w:rPr>
            </w:pPr>
          </w:p>
        </w:tc>
        <w:tc>
          <w:tcPr>
            <w:tcW w:w="700" w:type="dxa"/>
            <w:tcBorders>
              <w:top w:val="single" w:color="auto" w:sz="4" w:space="0"/>
              <w:left w:val="single" w:color="auto" w:sz="4" w:space="0"/>
              <w:bottom w:val="single" w:color="auto" w:sz="4" w:space="0"/>
              <w:right w:val="single" w:color="auto" w:sz="4" w:space="0"/>
            </w:tcBorders>
            <w:vAlign w:val="center"/>
          </w:tcPr>
          <w:p w14:paraId="32636EAF">
            <w:pPr>
              <w:spacing w:line="440" w:lineRule="exact"/>
              <w:rPr>
                <w:rFonts w:ascii="宋体" w:cs="楷体"/>
                <w:b/>
                <w:sz w:val="24"/>
              </w:rPr>
            </w:pPr>
            <w:r>
              <w:rPr>
                <w:rFonts w:hint="eastAsia" w:ascii="宋体" w:hAnsi="宋体" w:cs="楷体"/>
                <w:b/>
                <w:sz w:val="24"/>
              </w:rPr>
              <w:t>专业</w:t>
            </w:r>
          </w:p>
        </w:tc>
        <w:tc>
          <w:tcPr>
            <w:tcW w:w="1542" w:type="dxa"/>
            <w:tcBorders>
              <w:top w:val="single" w:color="auto" w:sz="4" w:space="0"/>
              <w:left w:val="single" w:color="auto" w:sz="4" w:space="0"/>
              <w:bottom w:val="single" w:color="auto" w:sz="4" w:space="0"/>
              <w:right w:val="single" w:color="auto" w:sz="4" w:space="0"/>
            </w:tcBorders>
            <w:vAlign w:val="center"/>
          </w:tcPr>
          <w:p w14:paraId="0F3FD60D">
            <w:pPr>
              <w:spacing w:line="440" w:lineRule="exact"/>
              <w:rPr>
                <w:rFonts w:ascii="宋体" w:cs="楷体"/>
                <w:b/>
                <w:sz w:val="24"/>
              </w:rPr>
            </w:pPr>
          </w:p>
        </w:tc>
      </w:tr>
      <w:tr w14:paraId="6D00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1223" w:type="dxa"/>
            <w:tcBorders>
              <w:top w:val="single" w:color="auto" w:sz="4" w:space="0"/>
              <w:left w:val="single" w:color="auto" w:sz="4" w:space="0"/>
              <w:bottom w:val="single" w:color="auto" w:sz="4" w:space="0"/>
              <w:right w:val="single" w:color="auto" w:sz="4" w:space="0"/>
            </w:tcBorders>
            <w:vAlign w:val="center"/>
          </w:tcPr>
          <w:p w14:paraId="5BF19B33">
            <w:pPr>
              <w:spacing w:line="440" w:lineRule="exact"/>
              <w:rPr>
                <w:rFonts w:ascii="宋体" w:cs="楷体"/>
                <w:b/>
                <w:sz w:val="24"/>
              </w:rPr>
            </w:pPr>
            <w:r>
              <w:rPr>
                <w:rFonts w:hint="eastAsia" w:ascii="宋体" w:hAnsi="宋体" w:cs="楷体"/>
                <w:b/>
                <w:sz w:val="24"/>
              </w:rPr>
              <w:t>职称</w:t>
            </w:r>
          </w:p>
        </w:tc>
        <w:tc>
          <w:tcPr>
            <w:tcW w:w="1827" w:type="dxa"/>
            <w:gridSpan w:val="3"/>
            <w:tcBorders>
              <w:top w:val="single" w:color="auto" w:sz="4" w:space="0"/>
              <w:left w:val="single" w:color="auto" w:sz="4" w:space="0"/>
              <w:bottom w:val="single" w:color="auto" w:sz="4" w:space="0"/>
              <w:right w:val="single" w:color="auto" w:sz="4" w:space="0"/>
            </w:tcBorders>
            <w:vAlign w:val="center"/>
          </w:tcPr>
          <w:p w14:paraId="21AF0660">
            <w:pPr>
              <w:spacing w:line="440" w:lineRule="exact"/>
              <w:rPr>
                <w:rFonts w:ascii="宋体" w:hAnsi="宋体" w:cs="楷体"/>
                <w:b/>
                <w:sz w:val="24"/>
              </w:rPr>
            </w:pPr>
          </w:p>
        </w:tc>
        <w:tc>
          <w:tcPr>
            <w:tcW w:w="1681" w:type="dxa"/>
            <w:gridSpan w:val="2"/>
            <w:tcBorders>
              <w:top w:val="single" w:color="auto" w:sz="4" w:space="0"/>
              <w:left w:val="single" w:color="auto" w:sz="4" w:space="0"/>
              <w:bottom w:val="single" w:color="auto" w:sz="4" w:space="0"/>
              <w:right w:val="single" w:color="auto" w:sz="4" w:space="0"/>
            </w:tcBorders>
            <w:vAlign w:val="center"/>
          </w:tcPr>
          <w:p w14:paraId="581B6A9D">
            <w:pPr>
              <w:spacing w:line="440" w:lineRule="exact"/>
              <w:rPr>
                <w:rFonts w:ascii="宋体" w:cs="楷体"/>
                <w:b/>
                <w:sz w:val="24"/>
              </w:rPr>
            </w:pPr>
            <w:r>
              <w:rPr>
                <w:rFonts w:hint="eastAsia" w:ascii="宋体" w:hAnsi="宋体" w:cs="楷体"/>
                <w:b/>
                <w:sz w:val="24"/>
              </w:rPr>
              <w:t>学历</w:t>
            </w:r>
          </w:p>
        </w:tc>
        <w:tc>
          <w:tcPr>
            <w:tcW w:w="4765" w:type="dxa"/>
            <w:gridSpan w:val="4"/>
            <w:tcBorders>
              <w:top w:val="single" w:color="auto" w:sz="4" w:space="0"/>
              <w:left w:val="single" w:color="auto" w:sz="4" w:space="0"/>
              <w:bottom w:val="single" w:color="auto" w:sz="4" w:space="0"/>
              <w:right w:val="single" w:color="auto" w:sz="4" w:space="0"/>
            </w:tcBorders>
            <w:vAlign w:val="center"/>
          </w:tcPr>
          <w:p w14:paraId="672434B5">
            <w:pPr>
              <w:spacing w:line="440" w:lineRule="exact"/>
              <w:rPr>
                <w:rFonts w:ascii="宋体" w:cs="楷体"/>
                <w:b/>
                <w:sz w:val="24"/>
              </w:rPr>
            </w:pPr>
          </w:p>
        </w:tc>
      </w:tr>
      <w:tr w14:paraId="380D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6" w:hRule="atLeast"/>
        </w:trPr>
        <w:tc>
          <w:tcPr>
            <w:tcW w:w="2558" w:type="dxa"/>
            <w:gridSpan w:val="3"/>
            <w:tcBorders>
              <w:top w:val="single" w:color="auto" w:sz="4" w:space="0"/>
              <w:left w:val="single" w:color="auto" w:sz="4" w:space="0"/>
              <w:bottom w:val="single" w:color="auto" w:sz="4" w:space="0"/>
              <w:right w:val="single" w:color="auto" w:sz="4" w:space="0"/>
            </w:tcBorders>
            <w:vAlign w:val="center"/>
          </w:tcPr>
          <w:p w14:paraId="073C8768">
            <w:pPr>
              <w:spacing w:line="440" w:lineRule="exact"/>
              <w:rPr>
                <w:rFonts w:ascii="宋体" w:hAnsi="宋体" w:cs="楷体"/>
                <w:b/>
                <w:sz w:val="24"/>
              </w:rPr>
            </w:pPr>
            <w:r>
              <w:rPr>
                <w:rFonts w:hint="eastAsia" w:ascii="宋体" w:hAnsi="宋体" w:cs="楷体"/>
                <w:b/>
                <w:sz w:val="24"/>
              </w:rPr>
              <w:t>执业资格等级</w:t>
            </w:r>
          </w:p>
        </w:tc>
        <w:tc>
          <w:tcPr>
            <w:tcW w:w="2173" w:type="dxa"/>
            <w:gridSpan w:val="3"/>
            <w:tcBorders>
              <w:top w:val="single" w:color="auto" w:sz="4" w:space="0"/>
              <w:left w:val="single" w:color="auto" w:sz="4" w:space="0"/>
              <w:bottom w:val="single" w:color="auto" w:sz="4" w:space="0"/>
              <w:right w:val="single" w:color="auto" w:sz="4" w:space="0"/>
            </w:tcBorders>
            <w:vAlign w:val="center"/>
          </w:tcPr>
          <w:p w14:paraId="564B6A72">
            <w:pPr>
              <w:spacing w:line="440" w:lineRule="exact"/>
              <w:rPr>
                <w:rFonts w:ascii="宋体" w:hAnsi="宋体" w:cs="楷体"/>
                <w:b/>
                <w:sz w:val="24"/>
              </w:rPr>
            </w:pPr>
            <w:r>
              <w:rPr>
                <w:rFonts w:hint="eastAsia" w:ascii="宋体" w:hAnsi="宋体" w:cs="楷体"/>
                <w:b/>
                <w:sz w:val="24"/>
              </w:rPr>
              <w:t xml:space="preserve">             级</w:t>
            </w:r>
          </w:p>
        </w:tc>
        <w:tc>
          <w:tcPr>
            <w:tcW w:w="1121" w:type="dxa"/>
            <w:tcBorders>
              <w:top w:val="single" w:color="auto" w:sz="4" w:space="0"/>
              <w:left w:val="single" w:color="auto" w:sz="4" w:space="0"/>
              <w:bottom w:val="single" w:color="auto" w:sz="4" w:space="0"/>
              <w:right w:val="single" w:color="auto" w:sz="4" w:space="0"/>
            </w:tcBorders>
            <w:vAlign w:val="center"/>
          </w:tcPr>
          <w:p w14:paraId="2A0B20F1">
            <w:pPr>
              <w:spacing w:line="440" w:lineRule="exact"/>
              <w:rPr>
                <w:rFonts w:ascii="宋体" w:hAnsi="宋体" w:cs="楷体"/>
                <w:b/>
                <w:sz w:val="24"/>
              </w:rPr>
            </w:pPr>
            <w:r>
              <w:rPr>
                <w:rFonts w:hint="eastAsia" w:ascii="宋体" w:hAnsi="宋体" w:cs="楷体"/>
                <w:b/>
                <w:sz w:val="24"/>
              </w:rPr>
              <w:t>专业及证号</w:t>
            </w:r>
          </w:p>
        </w:tc>
        <w:tc>
          <w:tcPr>
            <w:tcW w:w="3644" w:type="dxa"/>
            <w:gridSpan w:val="3"/>
            <w:tcBorders>
              <w:top w:val="single" w:color="auto" w:sz="4" w:space="0"/>
              <w:left w:val="single" w:color="auto" w:sz="4" w:space="0"/>
              <w:bottom w:val="single" w:color="auto" w:sz="4" w:space="0"/>
              <w:right w:val="single" w:color="auto" w:sz="4" w:space="0"/>
            </w:tcBorders>
            <w:vAlign w:val="center"/>
          </w:tcPr>
          <w:p w14:paraId="725D348E">
            <w:pPr>
              <w:spacing w:line="440" w:lineRule="exact"/>
              <w:rPr>
                <w:b/>
                <w:bCs/>
              </w:rPr>
            </w:pPr>
            <w:r>
              <w:rPr>
                <w:rFonts w:hint="eastAsia"/>
                <w:b/>
                <w:bCs/>
              </w:rPr>
              <w:t>专业：</w:t>
            </w:r>
          </w:p>
          <w:p w14:paraId="5DAB0005">
            <w:pPr>
              <w:pStyle w:val="7"/>
            </w:pPr>
            <w:r>
              <w:rPr>
                <w:rFonts w:hint="eastAsia" w:ascii="宋体" w:cs="楷体"/>
                <w:sz w:val="24"/>
              </w:rPr>
              <w:t>证号：</w:t>
            </w:r>
          </w:p>
        </w:tc>
      </w:tr>
      <w:tr w14:paraId="0727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1223" w:type="dxa"/>
            <w:tcBorders>
              <w:top w:val="single" w:color="auto" w:sz="4" w:space="0"/>
              <w:left w:val="single" w:color="auto" w:sz="4" w:space="0"/>
              <w:bottom w:val="single" w:color="auto" w:sz="4" w:space="0"/>
              <w:right w:val="single" w:color="auto" w:sz="4" w:space="0"/>
            </w:tcBorders>
            <w:vAlign w:val="center"/>
          </w:tcPr>
          <w:p w14:paraId="0C990B85">
            <w:pPr>
              <w:spacing w:line="440" w:lineRule="exact"/>
              <w:rPr>
                <w:rFonts w:ascii="宋体" w:cs="楷体"/>
                <w:b/>
                <w:sz w:val="24"/>
              </w:rPr>
            </w:pPr>
            <w:r>
              <w:rPr>
                <w:rFonts w:hint="eastAsia" w:ascii="宋体" w:hAnsi="宋体" w:cs="楷体"/>
                <w:b/>
                <w:sz w:val="24"/>
              </w:rPr>
              <w:t>参加工作时间</w:t>
            </w:r>
          </w:p>
        </w:tc>
        <w:tc>
          <w:tcPr>
            <w:tcW w:w="1827" w:type="dxa"/>
            <w:gridSpan w:val="3"/>
            <w:tcBorders>
              <w:top w:val="single" w:color="auto" w:sz="4" w:space="0"/>
              <w:left w:val="single" w:color="auto" w:sz="4" w:space="0"/>
              <w:bottom w:val="single" w:color="auto" w:sz="4" w:space="0"/>
              <w:right w:val="single" w:color="auto" w:sz="4" w:space="0"/>
            </w:tcBorders>
            <w:vAlign w:val="center"/>
          </w:tcPr>
          <w:p w14:paraId="733A498C">
            <w:pPr>
              <w:spacing w:line="440" w:lineRule="exact"/>
              <w:rPr>
                <w:rFonts w:ascii="宋体" w:hAnsi="宋体" w:cs="楷体"/>
                <w:b/>
                <w:sz w:val="24"/>
              </w:rPr>
            </w:pPr>
          </w:p>
        </w:tc>
        <w:tc>
          <w:tcPr>
            <w:tcW w:w="1681" w:type="dxa"/>
            <w:gridSpan w:val="2"/>
            <w:tcBorders>
              <w:top w:val="single" w:color="auto" w:sz="4" w:space="0"/>
              <w:left w:val="single" w:color="auto" w:sz="4" w:space="0"/>
              <w:bottom w:val="single" w:color="auto" w:sz="4" w:space="0"/>
              <w:right w:val="single" w:color="auto" w:sz="4" w:space="0"/>
            </w:tcBorders>
            <w:vAlign w:val="center"/>
          </w:tcPr>
          <w:p w14:paraId="624CB959">
            <w:pPr>
              <w:spacing w:line="440" w:lineRule="exact"/>
              <w:rPr>
                <w:rFonts w:ascii="宋体" w:cs="楷体"/>
                <w:b/>
                <w:sz w:val="24"/>
              </w:rPr>
            </w:pPr>
            <w:r>
              <w:rPr>
                <w:rFonts w:hint="eastAsia" w:ascii="宋体" w:hAnsi="宋体" w:cs="楷体"/>
                <w:b/>
                <w:sz w:val="24"/>
              </w:rPr>
              <w:t>从事项目年限</w:t>
            </w:r>
          </w:p>
        </w:tc>
        <w:tc>
          <w:tcPr>
            <w:tcW w:w="1121" w:type="dxa"/>
            <w:tcBorders>
              <w:top w:val="single" w:color="auto" w:sz="4" w:space="0"/>
              <w:left w:val="single" w:color="auto" w:sz="4" w:space="0"/>
              <w:bottom w:val="single" w:color="auto" w:sz="4" w:space="0"/>
              <w:right w:val="single" w:color="auto" w:sz="4" w:space="0"/>
            </w:tcBorders>
            <w:vAlign w:val="center"/>
          </w:tcPr>
          <w:p w14:paraId="09556780">
            <w:pPr>
              <w:spacing w:line="440" w:lineRule="exact"/>
              <w:rPr>
                <w:rFonts w:ascii="宋体" w:cs="楷体"/>
                <w:b/>
                <w:sz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0FFE0BE8">
            <w:pPr>
              <w:spacing w:line="440" w:lineRule="exact"/>
              <w:rPr>
                <w:rFonts w:ascii="宋体" w:cs="楷体"/>
                <w:b/>
                <w:sz w:val="24"/>
              </w:rPr>
            </w:pPr>
            <w:r>
              <w:rPr>
                <w:rFonts w:hint="eastAsia" w:ascii="宋体" w:hAnsi="宋体" w:cs="楷体"/>
                <w:b/>
                <w:sz w:val="24"/>
              </w:rPr>
              <w:t>手机</w:t>
            </w:r>
          </w:p>
        </w:tc>
        <w:tc>
          <w:tcPr>
            <w:tcW w:w="2242" w:type="dxa"/>
            <w:gridSpan w:val="2"/>
            <w:tcBorders>
              <w:top w:val="single" w:color="auto" w:sz="4" w:space="0"/>
              <w:left w:val="single" w:color="auto" w:sz="4" w:space="0"/>
              <w:bottom w:val="single" w:color="auto" w:sz="4" w:space="0"/>
              <w:right w:val="single" w:color="auto" w:sz="4" w:space="0"/>
            </w:tcBorders>
            <w:vAlign w:val="center"/>
          </w:tcPr>
          <w:p w14:paraId="4DF1AB57">
            <w:pPr>
              <w:spacing w:line="440" w:lineRule="exact"/>
              <w:rPr>
                <w:rFonts w:ascii="宋体" w:cs="楷体"/>
                <w:b/>
                <w:sz w:val="24"/>
              </w:rPr>
            </w:pPr>
          </w:p>
        </w:tc>
      </w:tr>
      <w:tr w14:paraId="37D1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1223" w:type="dxa"/>
            <w:tcBorders>
              <w:top w:val="single" w:color="auto" w:sz="4" w:space="0"/>
              <w:left w:val="single" w:color="auto" w:sz="4" w:space="0"/>
              <w:bottom w:val="single" w:color="auto" w:sz="4" w:space="0"/>
              <w:right w:val="single" w:color="auto" w:sz="4" w:space="0"/>
            </w:tcBorders>
            <w:vAlign w:val="center"/>
          </w:tcPr>
          <w:p w14:paraId="28FB017C">
            <w:pPr>
              <w:spacing w:line="440" w:lineRule="exact"/>
              <w:rPr>
                <w:rFonts w:ascii="宋体" w:cs="楷体"/>
                <w:b/>
                <w:sz w:val="24"/>
              </w:rPr>
            </w:pPr>
            <w:r>
              <w:rPr>
                <w:rFonts w:hint="eastAsia" w:ascii="宋体" w:hAnsi="宋体" w:cs="楷体"/>
                <w:b/>
                <w:sz w:val="24"/>
              </w:rPr>
              <w:t>简</w:t>
            </w:r>
          </w:p>
          <w:p w14:paraId="07F18A39">
            <w:pPr>
              <w:spacing w:line="440" w:lineRule="exact"/>
              <w:rPr>
                <w:rFonts w:ascii="宋体" w:cs="楷体"/>
                <w:b/>
                <w:sz w:val="24"/>
              </w:rPr>
            </w:pPr>
          </w:p>
          <w:p w14:paraId="5520A509">
            <w:pPr>
              <w:spacing w:line="440" w:lineRule="exact"/>
              <w:rPr>
                <w:rFonts w:ascii="宋体" w:cs="楷体"/>
                <w:b/>
                <w:sz w:val="24"/>
              </w:rPr>
            </w:pPr>
            <w:r>
              <w:rPr>
                <w:rFonts w:hint="eastAsia" w:ascii="宋体" w:hAnsi="宋体" w:cs="楷体"/>
                <w:b/>
                <w:sz w:val="24"/>
              </w:rPr>
              <w:t>历</w:t>
            </w:r>
          </w:p>
        </w:tc>
        <w:tc>
          <w:tcPr>
            <w:tcW w:w="1106" w:type="dxa"/>
            <w:tcBorders>
              <w:top w:val="single" w:color="auto" w:sz="4" w:space="0"/>
              <w:left w:val="single" w:color="auto" w:sz="4" w:space="0"/>
              <w:bottom w:val="single" w:color="auto" w:sz="4" w:space="0"/>
              <w:right w:val="single" w:color="auto" w:sz="4" w:space="0"/>
            </w:tcBorders>
          </w:tcPr>
          <w:p w14:paraId="5AF37FBB">
            <w:pPr>
              <w:spacing w:line="440" w:lineRule="exact"/>
              <w:rPr>
                <w:rFonts w:ascii="宋体" w:cs="楷体"/>
                <w:b/>
                <w:sz w:val="24"/>
              </w:rPr>
            </w:pPr>
          </w:p>
        </w:tc>
        <w:tc>
          <w:tcPr>
            <w:tcW w:w="7167" w:type="dxa"/>
            <w:gridSpan w:val="8"/>
            <w:tcBorders>
              <w:top w:val="single" w:color="auto" w:sz="4" w:space="0"/>
              <w:left w:val="single" w:color="auto" w:sz="4" w:space="0"/>
              <w:bottom w:val="single" w:color="auto" w:sz="4" w:space="0"/>
              <w:right w:val="single" w:color="auto" w:sz="4" w:space="0"/>
            </w:tcBorders>
            <w:vAlign w:val="center"/>
          </w:tcPr>
          <w:p w14:paraId="7C90353F">
            <w:pPr>
              <w:spacing w:line="440" w:lineRule="exact"/>
              <w:rPr>
                <w:rFonts w:ascii="宋体" w:cs="楷体"/>
                <w:b/>
                <w:sz w:val="24"/>
              </w:rPr>
            </w:pPr>
          </w:p>
        </w:tc>
      </w:tr>
    </w:tbl>
    <w:p w14:paraId="77DDE3FA">
      <w:pPr>
        <w:snapToGrid w:val="0"/>
        <w:jc w:val="left"/>
        <w:rPr>
          <w:rFonts w:ascii="宋体" w:hAnsi="宋体" w:cs="宋体"/>
          <w:bCs/>
          <w:snapToGrid w:val="0"/>
          <w:kern w:val="0"/>
          <w:szCs w:val="21"/>
        </w:rPr>
      </w:pPr>
      <w:r>
        <w:rPr>
          <w:rFonts w:hint="eastAsia" w:ascii="宋体" w:hAnsi="宋体" w:cs="楷体"/>
          <w:b/>
          <w:sz w:val="24"/>
          <w:highlight w:val="yellow"/>
        </w:rPr>
        <w:t>注：须提供投标人为拟委任的项目负责人开标之日前半年内连续三个月交纳的社保证明或承诺材料和职称证书扫描件或复印件。</w:t>
      </w:r>
    </w:p>
    <w:p w14:paraId="08DCD02A">
      <w:pPr>
        <w:spacing w:line="440" w:lineRule="exact"/>
        <w:rPr>
          <w:rFonts w:ascii="宋体" w:hAnsi="宋体" w:cs="楷体"/>
          <w:b/>
          <w:sz w:val="24"/>
        </w:rPr>
      </w:pPr>
    </w:p>
    <w:p w14:paraId="3210C393">
      <w:pPr>
        <w:spacing w:line="440" w:lineRule="exact"/>
        <w:rPr>
          <w:rFonts w:ascii="宋体" w:cs="楷体"/>
          <w:sz w:val="24"/>
        </w:rPr>
      </w:pPr>
    </w:p>
    <w:p w14:paraId="028DEF77">
      <w:pPr>
        <w:pStyle w:val="31"/>
        <w:widowControl/>
        <w:spacing w:line="480" w:lineRule="atLeast"/>
        <w:jc w:val="center"/>
        <w:outlineLvl w:val="0"/>
        <w:rPr>
          <w:rFonts w:hAnsi="宋体" w:cs="宋体"/>
          <w:b/>
          <w:sz w:val="24"/>
          <w:szCs w:val="24"/>
        </w:rPr>
      </w:pPr>
    </w:p>
    <w:p w14:paraId="5739A27E">
      <w:pPr>
        <w:pStyle w:val="31"/>
        <w:widowControl/>
        <w:spacing w:line="480" w:lineRule="atLeast"/>
        <w:jc w:val="center"/>
        <w:outlineLvl w:val="0"/>
        <w:rPr>
          <w:rFonts w:hAnsi="宋体" w:cs="宋体"/>
          <w:b/>
          <w:sz w:val="24"/>
          <w:szCs w:val="24"/>
        </w:rPr>
      </w:pPr>
    </w:p>
    <w:p w14:paraId="0883173C">
      <w:pPr>
        <w:pStyle w:val="31"/>
        <w:widowControl/>
        <w:spacing w:line="480" w:lineRule="atLeast"/>
        <w:jc w:val="center"/>
        <w:outlineLvl w:val="0"/>
        <w:rPr>
          <w:rFonts w:hAnsi="宋体" w:cs="宋体"/>
          <w:b/>
          <w:sz w:val="24"/>
          <w:szCs w:val="24"/>
        </w:rPr>
      </w:pPr>
    </w:p>
    <w:p w14:paraId="11B1C31E">
      <w:pPr>
        <w:pStyle w:val="31"/>
        <w:widowControl/>
        <w:spacing w:line="480" w:lineRule="atLeast"/>
        <w:jc w:val="center"/>
        <w:outlineLvl w:val="0"/>
        <w:rPr>
          <w:rFonts w:hAnsi="宋体" w:cs="宋体"/>
          <w:b/>
          <w:sz w:val="24"/>
          <w:szCs w:val="24"/>
        </w:rPr>
      </w:pPr>
    </w:p>
    <w:p w14:paraId="4B4DB1BA">
      <w:pPr>
        <w:pStyle w:val="31"/>
        <w:widowControl/>
        <w:spacing w:line="480" w:lineRule="atLeast"/>
        <w:jc w:val="center"/>
        <w:outlineLvl w:val="0"/>
        <w:rPr>
          <w:rFonts w:hAnsi="宋体" w:cs="宋体"/>
          <w:b/>
          <w:sz w:val="24"/>
          <w:szCs w:val="24"/>
        </w:rPr>
      </w:pPr>
    </w:p>
    <w:p w14:paraId="1F2CCD0E">
      <w:pPr>
        <w:pStyle w:val="31"/>
        <w:widowControl/>
        <w:spacing w:line="480" w:lineRule="atLeast"/>
        <w:jc w:val="center"/>
        <w:outlineLvl w:val="0"/>
        <w:rPr>
          <w:rFonts w:hAnsi="宋体" w:cs="宋体"/>
          <w:b/>
          <w:sz w:val="24"/>
          <w:szCs w:val="24"/>
        </w:rPr>
      </w:pPr>
    </w:p>
    <w:p w14:paraId="04942C8F">
      <w:pPr>
        <w:pStyle w:val="31"/>
        <w:widowControl/>
        <w:spacing w:line="480" w:lineRule="atLeast"/>
        <w:outlineLvl w:val="0"/>
        <w:rPr>
          <w:rFonts w:hAnsi="宋体" w:cs="宋体"/>
          <w:b/>
          <w:sz w:val="24"/>
          <w:szCs w:val="24"/>
        </w:rPr>
      </w:pPr>
    </w:p>
    <w:p w14:paraId="3061D79A">
      <w:pPr>
        <w:pStyle w:val="31"/>
        <w:widowControl/>
        <w:spacing w:line="480" w:lineRule="atLeast"/>
        <w:jc w:val="center"/>
        <w:outlineLvl w:val="0"/>
        <w:rPr>
          <w:rFonts w:hAnsi="宋体" w:cs="宋体"/>
          <w:b/>
          <w:sz w:val="24"/>
          <w:szCs w:val="24"/>
        </w:rPr>
      </w:pPr>
      <w:r>
        <w:rPr>
          <w:rFonts w:hint="eastAsia" w:hAnsi="宋体" w:cs="宋体"/>
          <w:b/>
          <w:sz w:val="24"/>
          <w:szCs w:val="24"/>
        </w:rPr>
        <w:t>二、项目组成人员</w:t>
      </w:r>
    </w:p>
    <w:tbl>
      <w:tblPr>
        <w:tblStyle w:val="2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5"/>
        <w:gridCol w:w="885"/>
        <w:gridCol w:w="2222"/>
        <w:gridCol w:w="2462"/>
        <w:gridCol w:w="1061"/>
        <w:gridCol w:w="984"/>
        <w:gridCol w:w="1041"/>
      </w:tblGrid>
      <w:tr w14:paraId="04E5D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43149ECD">
            <w:pPr>
              <w:pStyle w:val="31"/>
              <w:widowControl/>
              <w:spacing w:line="360" w:lineRule="atLeast"/>
              <w:jc w:val="center"/>
              <w:rPr>
                <w:rStyle w:val="28"/>
                <w:rFonts w:ascii="宋体" w:hAnsi="宋体"/>
                <w:szCs w:val="21"/>
              </w:rPr>
            </w:pPr>
            <w:r>
              <w:rPr>
                <w:rStyle w:val="28"/>
                <w:rFonts w:ascii="宋体" w:hAnsi="宋体"/>
                <w:szCs w:val="21"/>
              </w:rPr>
              <w:t>序号</w:t>
            </w:r>
          </w:p>
        </w:tc>
        <w:tc>
          <w:tcPr>
            <w:tcW w:w="885" w:type="dxa"/>
            <w:tcBorders>
              <w:top w:val="single" w:color="000000" w:sz="4" w:space="0"/>
              <w:left w:val="single" w:color="000000" w:sz="4" w:space="0"/>
              <w:bottom w:val="single" w:color="000000" w:sz="4" w:space="0"/>
              <w:right w:val="single" w:color="000000" w:sz="4" w:space="0"/>
            </w:tcBorders>
            <w:vAlign w:val="center"/>
          </w:tcPr>
          <w:p w14:paraId="2ADF4FB0">
            <w:pPr>
              <w:pStyle w:val="31"/>
              <w:widowControl/>
              <w:spacing w:line="360" w:lineRule="atLeast"/>
              <w:jc w:val="center"/>
              <w:rPr>
                <w:rStyle w:val="28"/>
                <w:rFonts w:ascii="宋体" w:hAnsi="宋体"/>
                <w:szCs w:val="21"/>
              </w:rPr>
            </w:pPr>
            <w:r>
              <w:rPr>
                <w:rStyle w:val="28"/>
                <w:rFonts w:ascii="宋体" w:hAnsi="宋体"/>
                <w:szCs w:val="21"/>
              </w:rPr>
              <w:t>姓名</w:t>
            </w:r>
          </w:p>
        </w:tc>
        <w:tc>
          <w:tcPr>
            <w:tcW w:w="2222" w:type="dxa"/>
            <w:tcBorders>
              <w:top w:val="single" w:color="000000" w:sz="4" w:space="0"/>
              <w:left w:val="single" w:color="000000" w:sz="4" w:space="0"/>
              <w:bottom w:val="single" w:color="000000" w:sz="4" w:space="0"/>
              <w:right w:val="single" w:color="000000" w:sz="4" w:space="0"/>
            </w:tcBorders>
            <w:vAlign w:val="center"/>
          </w:tcPr>
          <w:p w14:paraId="052607ED">
            <w:pPr>
              <w:pStyle w:val="31"/>
              <w:widowControl/>
              <w:spacing w:line="360" w:lineRule="atLeast"/>
              <w:jc w:val="center"/>
              <w:rPr>
                <w:rStyle w:val="28"/>
                <w:rFonts w:ascii="宋体" w:hAnsi="宋体"/>
                <w:szCs w:val="21"/>
              </w:rPr>
            </w:pPr>
            <w:r>
              <w:rPr>
                <w:rStyle w:val="28"/>
                <w:rFonts w:ascii="宋体" w:hAnsi="宋体"/>
                <w:szCs w:val="21"/>
              </w:rPr>
              <w:t>身份证号</w:t>
            </w:r>
          </w:p>
        </w:tc>
        <w:tc>
          <w:tcPr>
            <w:tcW w:w="2462" w:type="dxa"/>
            <w:tcBorders>
              <w:top w:val="single" w:color="000000" w:sz="4" w:space="0"/>
              <w:left w:val="single" w:color="000000" w:sz="4" w:space="0"/>
              <w:bottom w:val="single" w:color="000000" w:sz="4" w:space="0"/>
              <w:right w:val="single" w:color="000000" w:sz="4" w:space="0"/>
            </w:tcBorders>
            <w:vAlign w:val="center"/>
          </w:tcPr>
          <w:p w14:paraId="739A059D">
            <w:pPr>
              <w:pStyle w:val="31"/>
              <w:widowControl/>
              <w:spacing w:line="360" w:lineRule="atLeast"/>
              <w:jc w:val="center"/>
              <w:rPr>
                <w:rStyle w:val="28"/>
                <w:rFonts w:ascii="宋体" w:hAnsi="宋体"/>
                <w:szCs w:val="21"/>
              </w:rPr>
            </w:pPr>
            <w:r>
              <w:rPr>
                <w:rStyle w:val="28"/>
                <w:rFonts w:ascii="宋体" w:hAnsi="宋体"/>
                <w:szCs w:val="21"/>
              </w:rPr>
              <w:t>拟在本项目中担任的职务</w:t>
            </w:r>
          </w:p>
        </w:tc>
        <w:tc>
          <w:tcPr>
            <w:tcW w:w="1061" w:type="dxa"/>
            <w:tcBorders>
              <w:top w:val="single" w:color="000000" w:sz="4" w:space="0"/>
              <w:left w:val="single" w:color="000000" w:sz="4" w:space="0"/>
              <w:bottom w:val="single" w:color="000000" w:sz="4" w:space="0"/>
              <w:right w:val="single" w:color="auto" w:sz="4" w:space="0"/>
            </w:tcBorders>
            <w:vAlign w:val="center"/>
          </w:tcPr>
          <w:p w14:paraId="7BBBEB08">
            <w:pPr>
              <w:pStyle w:val="31"/>
              <w:widowControl/>
              <w:spacing w:line="360" w:lineRule="atLeast"/>
              <w:jc w:val="center"/>
              <w:rPr>
                <w:rStyle w:val="28"/>
                <w:rFonts w:ascii="宋体" w:hAnsi="宋体"/>
                <w:szCs w:val="21"/>
              </w:rPr>
            </w:pPr>
            <w:r>
              <w:rPr>
                <w:rStyle w:val="28"/>
                <w:rFonts w:ascii="宋体" w:hAnsi="宋体"/>
                <w:szCs w:val="21"/>
              </w:rPr>
              <w:t>资格证书</w:t>
            </w:r>
          </w:p>
        </w:tc>
        <w:tc>
          <w:tcPr>
            <w:tcW w:w="984" w:type="dxa"/>
            <w:tcBorders>
              <w:top w:val="single" w:color="000000" w:sz="4" w:space="0"/>
              <w:left w:val="single" w:color="auto" w:sz="4" w:space="0"/>
              <w:bottom w:val="single" w:color="000000" w:sz="4" w:space="0"/>
              <w:right w:val="single" w:color="000000" w:sz="4" w:space="0"/>
            </w:tcBorders>
            <w:vAlign w:val="center"/>
          </w:tcPr>
          <w:p w14:paraId="436B8D1C">
            <w:pPr>
              <w:pStyle w:val="31"/>
              <w:widowControl/>
              <w:spacing w:line="360" w:lineRule="atLeast"/>
              <w:jc w:val="center"/>
              <w:rPr>
                <w:rStyle w:val="28"/>
                <w:rFonts w:ascii="宋体" w:hAnsi="宋体"/>
                <w:szCs w:val="21"/>
              </w:rPr>
            </w:pPr>
            <w:r>
              <w:rPr>
                <w:rStyle w:val="28"/>
                <w:rFonts w:hint="eastAsia" w:hAnsi="宋体"/>
                <w:szCs w:val="21"/>
              </w:rPr>
              <w:t>职称证书</w:t>
            </w:r>
          </w:p>
        </w:tc>
        <w:tc>
          <w:tcPr>
            <w:tcW w:w="1041" w:type="dxa"/>
            <w:tcBorders>
              <w:top w:val="single" w:color="000000" w:sz="4" w:space="0"/>
              <w:left w:val="single" w:color="000000" w:sz="4" w:space="0"/>
              <w:bottom w:val="single" w:color="000000" w:sz="4" w:space="0"/>
              <w:right w:val="single" w:color="000000" w:sz="4" w:space="0"/>
            </w:tcBorders>
            <w:vAlign w:val="center"/>
          </w:tcPr>
          <w:p w14:paraId="7838BAF8">
            <w:pPr>
              <w:pStyle w:val="31"/>
              <w:widowControl/>
              <w:spacing w:line="360" w:lineRule="atLeast"/>
              <w:jc w:val="center"/>
              <w:rPr>
                <w:rStyle w:val="28"/>
                <w:rFonts w:ascii="宋体" w:hAnsi="宋体"/>
                <w:szCs w:val="21"/>
              </w:rPr>
            </w:pPr>
            <w:r>
              <w:rPr>
                <w:rStyle w:val="28"/>
                <w:rFonts w:ascii="宋体" w:hAnsi="宋体"/>
                <w:szCs w:val="21"/>
              </w:rPr>
              <w:t>备注</w:t>
            </w:r>
          </w:p>
        </w:tc>
      </w:tr>
      <w:tr w14:paraId="60465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1BD93322">
            <w:pPr>
              <w:pStyle w:val="31"/>
              <w:widowControl/>
              <w:spacing w:line="360" w:lineRule="atLeast"/>
              <w:jc w:val="center"/>
              <w:rPr>
                <w:rStyle w:val="28"/>
                <w:rFonts w:ascii="宋体" w:hAnsi="宋体"/>
                <w:szCs w:val="21"/>
              </w:rPr>
            </w:pPr>
            <w:r>
              <w:rPr>
                <w:rStyle w:val="28"/>
                <w:rFonts w:ascii="宋体" w:hAnsi="宋体"/>
                <w:szCs w:val="21"/>
              </w:rPr>
              <w:t>1</w:t>
            </w:r>
          </w:p>
        </w:tc>
        <w:tc>
          <w:tcPr>
            <w:tcW w:w="885" w:type="dxa"/>
            <w:tcBorders>
              <w:top w:val="single" w:color="000000" w:sz="4" w:space="0"/>
              <w:left w:val="single" w:color="000000" w:sz="4" w:space="0"/>
              <w:bottom w:val="single" w:color="000000" w:sz="4" w:space="0"/>
              <w:right w:val="single" w:color="000000" w:sz="4" w:space="0"/>
            </w:tcBorders>
            <w:vAlign w:val="center"/>
          </w:tcPr>
          <w:p w14:paraId="5E271268">
            <w:pPr>
              <w:pStyle w:val="31"/>
              <w:widowControl/>
              <w:spacing w:line="360" w:lineRule="atLeast"/>
              <w:jc w:val="center"/>
              <w:rPr>
                <w:rStyle w:val="28"/>
                <w:rFonts w:ascii="宋体" w:hAnsi="宋体"/>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14:paraId="19CD372F">
            <w:pPr>
              <w:pStyle w:val="31"/>
              <w:widowControl/>
              <w:spacing w:line="360" w:lineRule="atLeast"/>
              <w:jc w:val="center"/>
              <w:rPr>
                <w:rStyle w:val="28"/>
                <w:rFonts w:ascii="宋体" w:hAnsi="宋体"/>
                <w:szCs w:val="21"/>
              </w:rPr>
            </w:pPr>
          </w:p>
        </w:tc>
        <w:tc>
          <w:tcPr>
            <w:tcW w:w="2462" w:type="dxa"/>
            <w:tcBorders>
              <w:top w:val="single" w:color="000000" w:sz="4" w:space="0"/>
              <w:left w:val="single" w:color="000000" w:sz="4" w:space="0"/>
              <w:bottom w:val="single" w:color="000000" w:sz="4" w:space="0"/>
              <w:right w:val="single" w:color="000000" w:sz="4" w:space="0"/>
            </w:tcBorders>
            <w:vAlign w:val="center"/>
          </w:tcPr>
          <w:p w14:paraId="66C510A7">
            <w:pPr>
              <w:pStyle w:val="31"/>
              <w:widowControl/>
              <w:spacing w:line="360" w:lineRule="atLeast"/>
              <w:jc w:val="center"/>
              <w:rPr>
                <w:rStyle w:val="28"/>
                <w:rFonts w:ascii="宋体" w:hAnsi="宋体"/>
                <w:szCs w:val="21"/>
              </w:rPr>
            </w:pPr>
          </w:p>
        </w:tc>
        <w:tc>
          <w:tcPr>
            <w:tcW w:w="1061" w:type="dxa"/>
            <w:tcBorders>
              <w:top w:val="single" w:color="000000" w:sz="4" w:space="0"/>
              <w:left w:val="single" w:color="000000" w:sz="4" w:space="0"/>
              <w:bottom w:val="single" w:color="000000" w:sz="4" w:space="0"/>
              <w:right w:val="single" w:color="auto" w:sz="4" w:space="0"/>
            </w:tcBorders>
            <w:vAlign w:val="center"/>
          </w:tcPr>
          <w:p w14:paraId="14C49C66">
            <w:pPr>
              <w:pStyle w:val="31"/>
              <w:widowControl/>
              <w:spacing w:line="360" w:lineRule="atLeast"/>
              <w:jc w:val="center"/>
              <w:rPr>
                <w:rStyle w:val="28"/>
                <w:rFonts w:ascii="宋体" w:hAnsi="宋体"/>
                <w:szCs w:val="21"/>
              </w:rPr>
            </w:pPr>
          </w:p>
        </w:tc>
        <w:tc>
          <w:tcPr>
            <w:tcW w:w="984" w:type="dxa"/>
            <w:tcBorders>
              <w:top w:val="single" w:color="000000" w:sz="4" w:space="0"/>
              <w:left w:val="single" w:color="auto" w:sz="4" w:space="0"/>
              <w:bottom w:val="single" w:color="000000" w:sz="4" w:space="0"/>
              <w:right w:val="single" w:color="000000" w:sz="4" w:space="0"/>
            </w:tcBorders>
            <w:vAlign w:val="center"/>
          </w:tcPr>
          <w:p w14:paraId="7B440DBB">
            <w:pPr>
              <w:pStyle w:val="31"/>
              <w:widowControl/>
              <w:spacing w:line="360" w:lineRule="atLeast"/>
              <w:jc w:val="center"/>
              <w:rPr>
                <w:rStyle w:val="28"/>
                <w:rFonts w:ascii="宋体" w:hAnsi="宋体"/>
                <w:szCs w:val="21"/>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17A94626">
            <w:pPr>
              <w:pStyle w:val="31"/>
              <w:widowControl/>
              <w:spacing w:line="360" w:lineRule="atLeast"/>
              <w:jc w:val="center"/>
              <w:rPr>
                <w:rStyle w:val="28"/>
                <w:rFonts w:ascii="宋体" w:hAnsi="宋体"/>
                <w:szCs w:val="21"/>
              </w:rPr>
            </w:pPr>
          </w:p>
        </w:tc>
      </w:tr>
      <w:tr w14:paraId="7C367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31C6875E">
            <w:pPr>
              <w:pStyle w:val="31"/>
              <w:widowControl/>
              <w:spacing w:line="360" w:lineRule="atLeast"/>
              <w:jc w:val="center"/>
              <w:rPr>
                <w:rStyle w:val="28"/>
                <w:rFonts w:ascii="宋体" w:hAnsi="宋体"/>
                <w:szCs w:val="21"/>
              </w:rPr>
            </w:pPr>
            <w:r>
              <w:rPr>
                <w:rStyle w:val="28"/>
                <w:rFonts w:ascii="宋体" w:hAnsi="宋体"/>
                <w:szCs w:val="21"/>
              </w:rPr>
              <w:t>2</w:t>
            </w:r>
          </w:p>
        </w:tc>
        <w:tc>
          <w:tcPr>
            <w:tcW w:w="885" w:type="dxa"/>
            <w:tcBorders>
              <w:top w:val="single" w:color="000000" w:sz="4" w:space="0"/>
              <w:left w:val="single" w:color="000000" w:sz="4" w:space="0"/>
              <w:bottom w:val="single" w:color="000000" w:sz="4" w:space="0"/>
              <w:right w:val="single" w:color="000000" w:sz="4" w:space="0"/>
            </w:tcBorders>
            <w:vAlign w:val="center"/>
          </w:tcPr>
          <w:p w14:paraId="60C5E74A">
            <w:pPr>
              <w:pStyle w:val="31"/>
              <w:widowControl/>
              <w:spacing w:line="360" w:lineRule="atLeast"/>
              <w:jc w:val="center"/>
              <w:rPr>
                <w:rStyle w:val="28"/>
                <w:rFonts w:ascii="宋体" w:hAnsi="宋体"/>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14:paraId="6B58093B">
            <w:pPr>
              <w:pStyle w:val="31"/>
              <w:widowControl/>
              <w:spacing w:line="360" w:lineRule="atLeast"/>
              <w:jc w:val="center"/>
              <w:rPr>
                <w:rStyle w:val="28"/>
                <w:rFonts w:ascii="宋体" w:hAnsi="宋体"/>
                <w:szCs w:val="21"/>
              </w:rPr>
            </w:pPr>
          </w:p>
        </w:tc>
        <w:tc>
          <w:tcPr>
            <w:tcW w:w="2462" w:type="dxa"/>
            <w:tcBorders>
              <w:top w:val="single" w:color="000000" w:sz="4" w:space="0"/>
              <w:left w:val="single" w:color="000000" w:sz="4" w:space="0"/>
              <w:bottom w:val="single" w:color="000000" w:sz="4" w:space="0"/>
              <w:right w:val="single" w:color="000000" w:sz="4" w:space="0"/>
            </w:tcBorders>
            <w:vAlign w:val="center"/>
          </w:tcPr>
          <w:p w14:paraId="2776A242">
            <w:pPr>
              <w:pStyle w:val="31"/>
              <w:widowControl/>
              <w:spacing w:line="360" w:lineRule="atLeast"/>
              <w:jc w:val="center"/>
              <w:rPr>
                <w:rStyle w:val="28"/>
                <w:rFonts w:ascii="宋体" w:hAnsi="宋体"/>
                <w:szCs w:val="21"/>
              </w:rPr>
            </w:pPr>
          </w:p>
        </w:tc>
        <w:tc>
          <w:tcPr>
            <w:tcW w:w="1061" w:type="dxa"/>
            <w:tcBorders>
              <w:top w:val="single" w:color="000000" w:sz="4" w:space="0"/>
              <w:left w:val="single" w:color="000000" w:sz="4" w:space="0"/>
              <w:bottom w:val="single" w:color="000000" w:sz="4" w:space="0"/>
              <w:right w:val="single" w:color="auto" w:sz="4" w:space="0"/>
            </w:tcBorders>
            <w:vAlign w:val="center"/>
          </w:tcPr>
          <w:p w14:paraId="151B970C">
            <w:pPr>
              <w:pStyle w:val="31"/>
              <w:widowControl/>
              <w:spacing w:line="360" w:lineRule="atLeast"/>
              <w:jc w:val="center"/>
              <w:rPr>
                <w:rStyle w:val="28"/>
                <w:rFonts w:ascii="宋体" w:hAnsi="宋体"/>
                <w:szCs w:val="21"/>
              </w:rPr>
            </w:pPr>
          </w:p>
        </w:tc>
        <w:tc>
          <w:tcPr>
            <w:tcW w:w="984" w:type="dxa"/>
            <w:tcBorders>
              <w:top w:val="single" w:color="000000" w:sz="4" w:space="0"/>
              <w:left w:val="single" w:color="auto" w:sz="4" w:space="0"/>
              <w:bottom w:val="single" w:color="000000" w:sz="4" w:space="0"/>
              <w:right w:val="single" w:color="000000" w:sz="4" w:space="0"/>
            </w:tcBorders>
            <w:vAlign w:val="center"/>
          </w:tcPr>
          <w:p w14:paraId="37FAB41E">
            <w:pPr>
              <w:pStyle w:val="31"/>
              <w:widowControl/>
              <w:spacing w:line="360" w:lineRule="atLeast"/>
              <w:jc w:val="center"/>
              <w:rPr>
                <w:rStyle w:val="28"/>
                <w:rFonts w:ascii="宋体" w:hAnsi="宋体"/>
                <w:szCs w:val="21"/>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7FC466A8">
            <w:pPr>
              <w:pStyle w:val="31"/>
              <w:widowControl/>
              <w:spacing w:line="360" w:lineRule="atLeast"/>
              <w:jc w:val="center"/>
              <w:rPr>
                <w:rStyle w:val="28"/>
                <w:rFonts w:ascii="宋体" w:hAnsi="宋体"/>
                <w:szCs w:val="21"/>
              </w:rPr>
            </w:pPr>
          </w:p>
        </w:tc>
      </w:tr>
      <w:tr w14:paraId="5F076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7A752E78">
            <w:pPr>
              <w:pStyle w:val="31"/>
              <w:widowControl/>
              <w:spacing w:line="360" w:lineRule="atLeast"/>
              <w:jc w:val="center"/>
              <w:rPr>
                <w:rStyle w:val="28"/>
                <w:rFonts w:ascii="宋体" w:hAnsi="宋体"/>
                <w:szCs w:val="21"/>
              </w:rPr>
            </w:pPr>
            <w:r>
              <w:rPr>
                <w:rStyle w:val="28"/>
                <w:rFonts w:ascii="宋体" w:hAnsi="宋体"/>
                <w:szCs w:val="21"/>
              </w:rPr>
              <w:t>3</w:t>
            </w:r>
          </w:p>
        </w:tc>
        <w:tc>
          <w:tcPr>
            <w:tcW w:w="885" w:type="dxa"/>
            <w:tcBorders>
              <w:top w:val="single" w:color="000000" w:sz="4" w:space="0"/>
              <w:left w:val="single" w:color="000000" w:sz="4" w:space="0"/>
              <w:bottom w:val="single" w:color="000000" w:sz="4" w:space="0"/>
              <w:right w:val="single" w:color="000000" w:sz="4" w:space="0"/>
            </w:tcBorders>
            <w:vAlign w:val="center"/>
          </w:tcPr>
          <w:p w14:paraId="435CA805">
            <w:pPr>
              <w:pStyle w:val="31"/>
              <w:widowControl/>
              <w:spacing w:line="360" w:lineRule="atLeast"/>
              <w:jc w:val="center"/>
              <w:rPr>
                <w:rStyle w:val="28"/>
                <w:rFonts w:ascii="宋体" w:hAnsi="宋体"/>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14:paraId="3FAD90A9">
            <w:pPr>
              <w:pStyle w:val="31"/>
              <w:widowControl/>
              <w:spacing w:line="360" w:lineRule="atLeast"/>
              <w:jc w:val="center"/>
              <w:rPr>
                <w:rStyle w:val="28"/>
                <w:rFonts w:ascii="宋体" w:hAnsi="宋体"/>
                <w:szCs w:val="21"/>
              </w:rPr>
            </w:pPr>
          </w:p>
        </w:tc>
        <w:tc>
          <w:tcPr>
            <w:tcW w:w="2462" w:type="dxa"/>
            <w:tcBorders>
              <w:top w:val="single" w:color="000000" w:sz="4" w:space="0"/>
              <w:left w:val="single" w:color="000000" w:sz="4" w:space="0"/>
              <w:bottom w:val="single" w:color="000000" w:sz="4" w:space="0"/>
              <w:right w:val="single" w:color="000000" w:sz="4" w:space="0"/>
            </w:tcBorders>
            <w:vAlign w:val="center"/>
          </w:tcPr>
          <w:p w14:paraId="7E46E190">
            <w:pPr>
              <w:pStyle w:val="31"/>
              <w:widowControl/>
              <w:spacing w:line="360" w:lineRule="atLeast"/>
              <w:jc w:val="center"/>
              <w:rPr>
                <w:rStyle w:val="28"/>
                <w:rFonts w:ascii="宋体" w:hAnsi="宋体"/>
                <w:szCs w:val="21"/>
              </w:rPr>
            </w:pPr>
          </w:p>
        </w:tc>
        <w:tc>
          <w:tcPr>
            <w:tcW w:w="1061" w:type="dxa"/>
            <w:tcBorders>
              <w:top w:val="single" w:color="000000" w:sz="4" w:space="0"/>
              <w:left w:val="single" w:color="000000" w:sz="4" w:space="0"/>
              <w:bottom w:val="single" w:color="000000" w:sz="4" w:space="0"/>
              <w:right w:val="single" w:color="auto" w:sz="4" w:space="0"/>
            </w:tcBorders>
            <w:vAlign w:val="center"/>
          </w:tcPr>
          <w:p w14:paraId="4B61C4CE">
            <w:pPr>
              <w:pStyle w:val="31"/>
              <w:widowControl/>
              <w:spacing w:line="360" w:lineRule="atLeast"/>
              <w:jc w:val="center"/>
              <w:rPr>
                <w:rStyle w:val="28"/>
                <w:rFonts w:ascii="宋体" w:hAnsi="宋体"/>
                <w:szCs w:val="21"/>
              </w:rPr>
            </w:pPr>
          </w:p>
        </w:tc>
        <w:tc>
          <w:tcPr>
            <w:tcW w:w="984" w:type="dxa"/>
            <w:tcBorders>
              <w:top w:val="single" w:color="000000" w:sz="4" w:space="0"/>
              <w:left w:val="single" w:color="auto" w:sz="4" w:space="0"/>
              <w:bottom w:val="single" w:color="000000" w:sz="4" w:space="0"/>
              <w:right w:val="single" w:color="000000" w:sz="4" w:space="0"/>
            </w:tcBorders>
            <w:vAlign w:val="center"/>
          </w:tcPr>
          <w:p w14:paraId="2B07EC79">
            <w:pPr>
              <w:pStyle w:val="31"/>
              <w:widowControl/>
              <w:spacing w:line="360" w:lineRule="atLeast"/>
              <w:jc w:val="center"/>
              <w:rPr>
                <w:rStyle w:val="28"/>
                <w:rFonts w:ascii="宋体" w:hAnsi="宋体"/>
                <w:szCs w:val="21"/>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38CD6811">
            <w:pPr>
              <w:pStyle w:val="31"/>
              <w:widowControl/>
              <w:spacing w:line="360" w:lineRule="atLeast"/>
              <w:jc w:val="center"/>
              <w:rPr>
                <w:rStyle w:val="28"/>
                <w:rFonts w:ascii="宋体" w:hAnsi="宋体"/>
                <w:szCs w:val="21"/>
              </w:rPr>
            </w:pPr>
          </w:p>
        </w:tc>
      </w:tr>
      <w:tr w14:paraId="1A786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293573A8">
            <w:pPr>
              <w:pStyle w:val="31"/>
              <w:widowControl/>
              <w:spacing w:line="360" w:lineRule="atLeast"/>
              <w:jc w:val="center"/>
              <w:rPr>
                <w:rStyle w:val="28"/>
                <w:rFonts w:ascii="宋体" w:hAnsi="宋体"/>
                <w:szCs w:val="21"/>
              </w:rPr>
            </w:pPr>
            <w:r>
              <w:rPr>
                <w:rStyle w:val="28"/>
                <w:rFonts w:ascii="宋体" w:hAnsi="宋体"/>
                <w:szCs w:val="21"/>
              </w:rPr>
              <w:t>4</w:t>
            </w:r>
          </w:p>
        </w:tc>
        <w:tc>
          <w:tcPr>
            <w:tcW w:w="885" w:type="dxa"/>
            <w:tcBorders>
              <w:top w:val="single" w:color="000000" w:sz="4" w:space="0"/>
              <w:left w:val="single" w:color="000000" w:sz="4" w:space="0"/>
              <w:bottom w:val="single" w:color="000000" w:sz="4" w:space="0"/>
              <w:right w:val="single" w:color="000000" w:sz="4" w:space="0"/>
            </w:tcBorders>
            <w:vAlign w:val="center"/>
          </w:tcPr>
          <w:p w14:paraId="52CFA446">
            <w:pPr>
              <w:pStyle w:val="31"/>
              <w:widowControl/>
              <w:spacing w:line="360" w:lineRule="atLeast"/>
              <w:jc w:val="center"/>
              <w:rPr>
                <w:rStyle w:val="28"/>
                <w:rFonts w:ascii="宋体" w:hAnsi="宋体"/>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14:paraId="27EFF4CB">
            <w:pPr>
              <w:pStyle w:val="31"/>
              <w:widowControl/>
              <w:spacing w:line="360" w:lineRule="atLeast"/>
              <w:jc w:val="center"/>
              <w:rPr>
                <w:rStyle w:val="28"/>
                <w:rFonts w:ascii="宋体" w:hAnsi="宋体"/>
                <w:szCs w:val="21"/>
              </w:rPr>
            </w:pPr>
          </w:p>
        </w:tc>
        <w:tc>
          <w:tcPr>
            <w:tcW w:w="2462" w:type="dxa"/>
            <w:tcBorders>
              <w:top w:val="single" w:color="000000" w:sz="4" w:space="0"/>
              <w:left w:val="single" w:color="000000" w:sz="4" w:space="0"/>
              <w:bottom w:val="single" w:color="000000" w:sz="4" w:space="0"/>
              <w:right w:val="single" w:color="000000" w:sz="4" w:space="0"/>
            </w:tcBorders>
            <w:vAlign w:val="center"/>
          </w:tcPr>
          <w:p w14:paraId="40EAA2FB">
            <w:pPr>
              <w:pStyle w:val="31"/>
              <w:widowControl/>
              <w:spacing w:line="360" w:lineRule="atLeast"/>
              <w:jc w:val="center"/>
              <w:rPr>
                <w:rStyle w:val="28"/>
                <w:rFonts w:ascii="宋体" w:hAnsi="宋体"/>
                <w:szCs w:val="21"/>
              </w:rPr>
            </w:pPr>
          </w:p>
        </w:tc>
        <w:tc>
          <w:tcPr>
            <w:tcW w:w="1061" w:type="dxa"/>
            <w:tcBorders>
              <w:top w:val="single" w:color="000000" w:sz="4" w:space="0"/>
              <w:left w:val="single" w:color="000000" w:sz="4" w:space="0"/>
              <w:bottom w:val="single" w:color="000000" w:sz="4" w:space="0"/>
              <w:right w:val="single" w:color="auto" w:sz="4" w:space="0"/>
            </w:tcBorders>
            <w:vAlign w:val="center"/>
          </w:tcPr>
          <w:p w14:paraId="7F065C6D">
            <w:pPr>
              <w:pStyle w:val="31"/>
              <w:widowControl/>
              <w:spacing w:line="360" w:lineRule="atLeast"/>
              <w:jc w:val="center"/>
              <w:rPr>
                <w:rStyle w:val="28"/>
                <w:rFonts w:ascii="宋体" w:hAnsi="宋体"/>
                <w:szCs w:val="21"/>
              </w:rPr>
            </w:pPr>
          </w:p>
        </w:tc>
        <w:tc>
          <w:tcPr>
            <w:tcW w:w="984" w:type="dxa"/>
            <w:tcBorders>
              <w:top w:val="single" w:color="000000" w:sz="4" w:space="0"/>
              <w:left w:val="single" w:color="auto" w:sz="4" w:space="0"/>
              <w:bottom w:val="single" w:color="000000" w:sz="4" w:space="0"/>
              <w:right w:val="single" w:color="000000" w:sz="4" w:space="0"/>
            </w:tcBorders>
            <w:vAlign w:val="center"/>
          </w:tcPr>
          <w:p w14:paraId="377494B9">
            <w:pPr>
              <w:pStyle w:val="31"/>
              <w:widowControl/>
              <w:spacing w:line="360" w:lineRule="atLeast"/>
              <w:jc w:val="center"/>
              <w:rPr>
                <w:rStyle w:val="28"/>
                <w:rFonts w:ascii="宋体" w:hAnsi="宋体"/>
                <w:szCs w:val="21"/>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2F6CAAC0">
            <w:pPr>
              <w:pStyle w:val="31"/>
              <w:widowControl/>
              <w:spacing w:line="360" w:lineRule="atLeast"/>
              <w:jc w:val="center"/>
              <w:rPr>
                <w:rStyle w:val="28"/>
                <w:rFonts w:ascii="宋体" w:hAnsi="宋体"/>
                <w:szCs w:val="21"/>
              </w:rPr>
            </w:pPr>
          </w:p>
        </w:tc>
      </w:tr>
      <w:tr w14:paraId="71A1C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187FF68B">
            <w:pPr>
              <w:pStyle w:val="31"/>
              <w:widowControl/>
              <w:spacing w:line="360" w:lineRule="atLeast"/>
              <w:jc w:val="center"/>
              <w:rPr>
                <w:rStyle w:val="28"/>
                <w:rFonts w:ascii="宋体" w:hAnsi="宋体"/>
                <w:szCs w:val="21"/>
              </w:rPr>
            </w:pPr>
            <w:r>
              <w:rPr>
                <w:rStyle w:val="28"/>
                <w:rFonts w:ascii="宋体" w:hAnsi="宋体"/>
                <w:szCs w:val="21"/>
              </w:rPr>
              <w:t>5</w:t>
            </w:r>
          </w:p>
        </w:tc>
        <w:tc>
          <w:tcPr>
            <w:tcW w:w="885" w:type="dxa"/>
            <w:tcBorders>
              <w:top w:val="single" w:color="000000" w:sz="4" w:space="0"/>
              <w:left w:val="single" w:color="000000" w:sz="4" w:space="0"/>
              <w:bottom w:val="single" w:color="000000" w:sz="4" w:space="0"/>
              <w:right w:val="single" w:color="000000" w:sz="4" w:space="0"/>
            </w:tcBorders>
            <w:vAlign w:val="center"/>
          </w:tcPr>
          <w:p w14:paraId="3421254F">
            <w:pPr>
              <w:pStyle w:val="31"/>
              <w:widowControl/>
              <w:spacing w:line="360" w:lineRule="atLeast"/>
              <w:jc w:val="center"/>
              <w:rPr>
                <w:rStyle w:val="28"/>
                <w:rFonts w:ascii="宋体" w:hAnsi="宋体"/>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14:paraId="34D5E3FB">
            <w:pPr>
              <w:pStyle w:val="31"/>
              <w:widowControl/>
              <w:spacing w:line="360" w:lineRule="atLeast"/>
              <w:jc w:val="center"/>
              <w:rPr>
                <w:rStyle w:val="28"/>
                <w:rFonts w:ascii="宋体" w:hAnsi="宋体"/>
                <w:szCs w:val="21"/>
              </w:rPr>
            </w:pPr>
          </w:p>
        </w:tc>
        <w:tc>
          <w:tcPr>
            <w:tcW w:w="2462" w:type="dxa"/>
            <w:tcBorders>
              <w:top w:val="single" w:color="000000" w:sz="4" w:space="0"/>
              <w:left w:val="single" w:color="000000" w:sz="4" w:space="0"/>
              <w:bottom w:val="single" w:color="000000" w:sz="4" w:space="0"/>
              <w:right w:val="single" w:color="000000" w:sz="4" w:space="0"/>
            </w:tcBorders>
            <w:vAlign w:val="center"/>
          </w:tcPr>
          <w:p w14:paraId="570A47CC">
            <w:pPr>
              <w:pStyle w:val="31"/>
              <w:widowControl/>
              <w:spacing w:line="360" w:lineRule="atLeast"/>
              <w:jc w:val="center"/>
              <w:rPr>
                <w:rStyle w:val="28"/>
                <w:rFonts w:ascii="宋体" w:hAnsi="宋体"/>
                <w:szCs w:val="21"/>
              </w:rPr>
            </w:pPr>
          </w:p>
        </w:tc>
        <w:tc>
          <w:tcPr>
            <w:tcW w:w="1061" w:type="dxa"/>
            <w:tcBorders>
              <w:top w:val="single" w:color="000000" w:sz="4" w:space="0"/>
              <w:left w:val="single" w:color="000000" w:sz="4" w:space="0"/>
              <w:bottom w:val="single" w:color="000000" w:sz="4" w:space="0"/>
              <w:right w:val="single" w:color="auto" w:sz="4" w:space="0"/>
            </w:tcBorders>
            <w:vAlign w:val="center"/>
          </w:tcPr>
          <w:p w14:paraId="7E3C4221">
            <w:pPr>
              <w:pStyle w:val="31"/>
              <w:widowControl/>
              <w:spacing w:line="360" w:lineRule="atLeast"/>
              <w:jc w:val="center"/>
              <w:rPr>
                <w:rStyle w:val="28"/>
                <w:rFonts w:ascii="宋体" w:hAnsi="宋体"/>
                <w:szCs w:val="21"/>
              </w:rPr>
            </w:pPr>
          </w:p>
        </w:tc>
        <w:tc>
          <w:tcPr>
            <w:tcW w:w="984" w:type="dxa"/>
            <w:tcBorders>
              <w:top w:val="single" w:color="000000" w:sz="4" w:space="0"/>
              <w:left w:val="single" w:color="auto" w:sz="4" w:space="0"/>
              <w:bottom w:val="single" w:color="000000" w:sz="4" w:space="0"/>
              <w:right w:val="single" w:color="000000" w:sz="4" w:space="0"/>
            </w:tcBorders>
            <w:vAlign w:val="center"/>
          </w:tcPr>
          <w:p w14:paraId="21F61CB3">
            <w:pPr>
              <w:pStyle w:val="31"/>
              <w:widowControl/>
              <w:spacing w:line="360" w:lineRule="atLeast"/>
              <w:jc w:val="center"/>
              <w:rPr>
                <w:rStyle w:val="28"/>
                <w:rFonts w:ascii="宋体" w:hAnsi="宋体"/>
                <w:szCs w:val="21"/>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7A201E8A">
            <w:pPr>
              <w:pStyle w:val="31"/>
              <w:widowControl/>
              <w:spacing w:line="360" w:lineRule="atLeast"/>
              <w:jc w:val="center"/>
              <w:rPr>
                <w:rStyle w:val="28"/>
                <w:rFonts w:ascii="宋体" w:hAnsi="宋体"/>
                <w:szCs w:val="21"/>
              </w:rPr>
            </w:pPr>
          </w:p>
        </w:tc>
      </w:tr>
      <w:tr w14:paraId="10288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5A468B38">
            <w:pPr>
              <w:pStyle w:val="31"/>
              <w:widowControl/>
              <w:spacing w:line="360" w:lineRule="atLeast"/>
              <w:jc w:val="center"/>
              <w:rPr>
                <w:rStyle w:val="28"/>
                <w:rFonts w:ascii="宋体" w:hAnsi="宋体"/>
                <w:szCs w:val="21"/>
              </w:rPr>
            </w:pPr>
            <w:r>
              <w:rPr>
                <w:rStyle w:val="28"/>
                <w:rFonts w:ascii="宋体" w:hAnsi="宋体"/>
                <w:szCs w:val="21"/>
              </w:rPr>
              <w:t>6</w:t>
            </w:r>
          </w:p>
        </w:tc>
        <w:tc>
          <w:tcPr>
            <w:tcW w:w="885" w:type="dxa"/>
            <w:tcBorders>
              <w:top w:val="single" w:color="000000" w:sz="4" w:space="0"/>
              <w:left w:val="single" w:color="000000" w:sz="4" w:space="0"/>
              <w:bottom w:val="single" w:color="000000" w:sz="4" w:space="0"/>
              <w:right w:val="single" w:color="000000" w:sz="4" w:space="0"/>
            </w:tcBorders>
            <w:vAlign w:val="center"/>
          </w:tcPr>
          <w:p w14:paraId="1830BEA0">
            <w:pPr>
              <w:pStyle w:val="31"/>
              <w:widowControl/>
              <w:spacing w:line="360" w:lineRule="atLeast"/>
              <w:jc w:val="center"/>
              <w:rPr>
                <w:rStyle w:val="28"/>
                <w:rFonts w:ascii="宋体" w:hAnsi="宋体"/>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14:paraId="5DB4EE6D">
            <w:pPr>
              <w:pStyle w:val="31"/>
              <w:widowControl/>
              <w:spacing w:line="360" w:lineRule="atLeast"/>
              <w:jc w:val="center"/>
              <w:rPr>
                <w:rStyle w:val="28"/>
                <w:rFonts w:ascii="宋体" w:hAnsi="宋体"/>
                <w:szCs w:val="21"/>
              </w:rPr>
            </w:pPr>
          </w:p>
        </w:tc>
        <w:tc>
          <w:tcPr>
            <w:tcW w:w="2462" w:type="dxa"/>
            <w:tcBorders>
              <w:top w:val="single" w:color="000000" w:sz="4" w:space="0"/>
              <w:left w:val="single" w:color="000000" w:sz="4" w:space="0"/>
              <w:bottom w:val="single" w:color="000000" w:sz="4" w:space="0"/>
              <w:right w:val="single" w:color="000000" w:sz="4" w:space="0"/>
            </w:tcBorders>
            <w:vAlign w:val="center"/>
          </w:tcPr>
          <w:p w14:paraId="7DDCE778">
            <w:pPr>
              <w:pStyle w:val="31"/>
              <w:widowControl/>
              <w:spacing w:line="360" w:lineRule="atLeast"/>
              <w:jc w:val="center"/>
              <w:rPr>
                <w:rStyle w:val="28"/>
                <w:rFonts w:ascii="宋体" w:hAnsi="宋体"/>
                <w:szCs w:val="21"/>
              </w:rPr>
            </w:pPr>
          </w:p>
        </w:tc>
        <w:tc>
          <w:tcPr>
            <w:tcW w:w="1061" w:type="dxa"/>
            <w:tcBorders>
              <w:top w:val="single" w:color="000000" w:sz="4" w:space="0"/>
              <w:left w:val="single" w:color="000000" w:sz="4" w:space="0"/>
              <w:bottom w:val="single" w:color="000000" w:sz="4" w:space="0"/>
              <w:right w:val="single" w:color="auto" w:sz="4" w:space="0"/>
            </w:tcBorders>
            <w:vAlign w:val="center"/>
          </w:tcPr>
          <w:p w14:paraId="2F6B93ED">
            <w:pPr>
              <w:pStyle w:val="31"/>
              <w:widowControl/>
              <w:spacing w:line="360" w:lineRule="atLeast"/>
              <w:jc w:val="center"/>
              <w:rPr>
                <w:rStyle w:val="28"/>
                <w:rFonts w:ascii="宋体" w:hAnsi="宋体"/>
                <w:szCs w:val="21"/>
              </w:rPr>
            </w:pPr>
          </w:p>
        </w:tc>
        <w:tc>
          <w:tcPr>
            <w:tcW w:w="984" w:type="dxa"/>
            <w:tcBorders>
              <w:top w:val="single" w:color="000000" w:sz="4" w:space="0"/>
              <w:left w:val="single" w:color="auto" w:sz="4" w:space="0"/>
              <w:bottom w:val="single" w:color="000000" w:sz="4" w:space="0"/>
              <w:right w:val="single" w:color="000000" w:sz="4" w:space="0"/>
            </w:tcBorders>
            <w:vAlign w:val="center"/>
          </w:tcPr>
          <w:p w14:paraId="007F1EA6">
            <w:pPr>
              <w:pStyle w:val="31"/>
              <w:widowControl/>
              <w:spacing w:line="360" w:lineRule="atLeast"/>
              <w:jc w:val="center"/>
              <w:rPr>
                <w:rStyle w:val="28"/>
                <w:rFonts w:ascii="宋体" w:hAnsi="宋体"/>
                <w:szCs w:val="21"/>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37F5D473">
            <w:pPr>
              <w:pStyle w:val="31"/>
              <w:widowControl/>
              <w:spacing w:line="360" w:lineRule="atLeast"/>
              <w:jc w:val="center"/>
              <w:rPr>
                <w:rStyle w:val="28"/>
                <w:rFonts w:ascii="宋体" w:hAnsi="宋体"/>
                <w:szCs w:val="21"/>
              </w:rPr>
            </w:pPr>
          </w:p>
        </w:tc>
      </w:tr>
      <w:tr w14:paraId="69DF2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34081595">
            <w:pPr>
              <w:pStyle w:val="31"/>
              <w:widowControl/>
              <w:spacing w:line="360" w:lineRule="atLeast"/>
              <w:jc w:val="center"/>
              <w:rPr>
                <w:rStyle w:val="28"/>
                <w:rFonts w:ascii="宋体" w:hAnsi="宋体"/>
                <w:szCs w:val="21"/>
              </w:rPr>
            </w:pPr>
            <w:r>
              <w:rPr>
                <w:rStyle w:val="28"/>
                <w:rFonts w:hint="eastAsia" w:hAnsi="宋体"/>
                <w:szCs w:val="21"/>
              </w:rPr>
              <w:t>……</w:t>
            </w:r>
          </w:p>
        </w:tc>
        <w:tc>
          <w:tcPr>
            <w:tcW w:w="885" w:type="dxa"/>
            <w:tcBorders>
              <w:top w:val="single" w:color="000000" w:sz="4" w:space="0"/>
              <w:left w:val="single" w:color="000000" w:sz="4" w:space="0"/>
              <w:bottom w:val="single" w:color="000000" w:sz="4" w:space="0"/>
              <w:right w:val="single" w:color="000000" w:sz="4" w:space="0"/>
            </w:tcBorders>
            <w:vAlign w:val="center"/>
          </w:tcPr>
          <w:p w14:paraId="1B4A3646">
            <w:pPr>
              <w:pStyle w:val="31"/>
              <w:widowControl/>
              <w:spacing w:line="360" w:lineRule="atLeast"/>
              <w:jc w:val="center"/>
              <w:rPr>
                <w:rStyle w:val="28"/>
                <w:rFonts w:ascii="宋体" w:hAnsi="宋体"/>
                <w:szCs w:val="21"/>
              </w:rPr>
            </w:pPr>
          </w:p>
        </w:tc>
        <w:tc>
          <w:tcPr>
            <w:tcW w:w="2222" w:type="dxa"/>
            <w:tcBorders>
              <w:top w:val="single" w:color="000000" w:sz="4" w:space="0"/>
              <w:left w:val="single" w:color="000000" w:sz="4" w:space="0"/>
              <w:bottom w:val="single" w:color="000000" w:sz="4" w:space="0"/>
              <w:right w:val="single" w:color="000000" w:sz="4" w:space="0"/>
            </w:tcBorders>
            <w:vAlign w:val="center"/>
          </w:tcPr>
          <w:p w14:paraId="79C26B15">
            <w:pPr>
              <w:pStyle w:val="31"/>
              <w:widowControl/>
              <w:spacing w:line="360" w:lineRule="atLeast"/>
              <w:jc w:val="center"/>
              <w:rPr>
                <w:rStyle w:val="28"/>
                <w:rFonts w:ascii="宋体" w:hAnsi="宋体"/>
                <w:szCs w:val="21"/>
              </w:rPr>
            </w:pPr>
          </w:p>
        </w:tc>
        <w:tc>
          <w:tcPr>
            <w:tcW w:w="2462" w:type="dxa"/>
            <w:tcBorders>
              <w:top w:val="single" w:color="000000" w:sz="4" w:space="0"/>
              <w:left w:val="single" w:color="000000" w:sz="4" w:space="0"/>
              <w:bottom w:val="single" w:color="000000" w:sz="4" w:space="0"/>
              <w:right w:val="single" w:color="000000" w:sz="4" w:space="0"/>
            </w:tcBorders>
            <w:vAlign w:val="center"/>
          </w:tcPr>
          <w:p w14:paraId="55CF8CCE">
            <w:pPr>
              <w:pStyle w:val="31"/>
              <w:widowControl/>
              <w:spacing w:line="360" w:lineRule="atLeast"/>
              <w:jc w:val="center"/>
              <w:rPr>
                <w:rStyle w:val="28"/>
                <w:rFonts w:ascii="宋体" w:hAnsi="宋体"/>
                <w:szCs w:val="21"/>
              </w:rPr>
            </w:pPr>
          </w:p>
        </w:tc>
        <w:tc>
          <w:tcPr>
            <w:tcW w:w="1061" w:type="dxa"/>
            <w:tcBorders>
              <w:top w:val="single" w:color="000000" w:sz="4" w:space="0"/>
              <w:left w:val="single" w:color="000000" w:sz="4" w:space="0"/>
              <w:bottom w:val="single" w:color="000000" w:sz="4" w:space="0"/>
              <w:right w:val="single" w:color="auto" w:sz="4" w:space="0"/>
            </w:tcBorders>
            <w:vAlign w:val="center"/>
          </w:tcPr>
          <w:p w14:paraId="1C2DBEFA">
            <w:pPr>
              <w:pStyle w:val="31"/>
              <w:widowControl/>
              <w:spacing w:line="360" w:lineRule="atLeast"/>
              <w:jc w:val="center"/>
              <w:rPr>
                <w:rStyle w:val="28"/>
                <w:rFonts w:ascii="宋体" w:hAnsi="宋体"/>
                <w:szCs w:val="21"/>
              </w:rPr>
            </w:pPr>
          </w:p>
        </w:tc>
        <w:tc>
          <w:tcPr>
            <w:tcW w:w="984" w:type="dxa"/>
            <w:tcBorders>
              <w:top w:val="single" w:color="000000" w:sz="4" w:space="0"/>
              <w:left w:val="single" w:color="auto" w:sz="4" w:space="0"/>
              <w:bottom w:val="single" w:color="000000" w:sz="4" w:space="0"/>
              <w:right w:val="single" w:color="000000" w:sz="4" w:space="0"/>
            </w:tcBorders>
            <w:vAlign w:val="center"/>
          </w:tcPr>
          <w:p w14:paraId="39E953AD">
            <w:pPr>
              <w:pStyle w:val="31"/>
              <w:widowControl/>
              <w:spacing w:line="360" w:lineRule="atLeast"/>
              <w:jc w:val="center"/>
              <w:rPr>
                <w:rStyle w:val="28"/>
                <w:rFonts w:ascii="宋体" w:hAnsi="宋体"/>
                <w:szCs w:val="21"/>
              </w:rPr>
            </w:pPr>
          </w:p>
        </w:tc>
        <w:tc>
          <w:tcPr>
            <w:tcW w:w="1041" w:type="dxa"/>
            <w:tcBorders>
              <w:top w:val="single" w:color="000000" w:sz="4" w:space="0"/>
              <w:left w:val="single" w:color="000000" w:sz="4" w:space="0"/>
              <w:bottom w:val="single" w:color="000000" w:sz="4" w:space="0"/>
              <w:right w:val="single" w:color="000000" w:sz="4" w:space="0"/>
            </w:tcBorders>
            <w:vAlign w:val="center"/>
          </w:tcPr>
          <w:p w14:paraId="4779E1E2">
            <w:pPr>
              <w:pStyle w:val="31"/>
              <w:widowControl/>
              <w:spacing w:line="360" w:lineRule="atLeast"/>
              <w:jc w:val="center"/>
              <w:rPr>
                <w:rStyle w:val="28"/>
                <w:rFonts w:ascii="宋体" w:hAnsi="宋体"/>
                <w:szCs w:val="21"/>
              </w:rPr>
            </w:pPr>
          </w:p>
        </w:tc>
      </w:tr>
    </w:tbl>
    <w:p w14:paraId="1E9BFD4D">
      <w:pPr>
        <w:spacing w:line="320" w:lineRule="exact"/>
        <w:rPr>
          <w:rFonts w:ascii="宋体" w:hAnsi="宋体"/>
          <w:b/>
          <w:sz w:val="28"/>
        </w:rPr>
      </w:pPr>
    </w:p>
    <w:p w14:paraId="20BDF180">
      <w:pPr>
        <w:pStyle w:val="31"/>
        <w:widowControl/>
        <w:spacing w:line="480" w:lineRule="atLeast"/>
        <w:outlineLvl w:val="0"/>
        <w:rPr>
          <w:rFonts w:hAnsi="Arial"/>
          <w:b/>
          <w:bCs/>
          <w:sz w:val="28"/>
          <w:szCs w:val="22"/>
        </w:rPr>
      </w:pPr>
      <w:r>
        <w:rPr>
          <w:rFonts w:hint="eastAsia" w:cs="楷体"/>
          <w:sz w:val="24"/>
        </w:rPr>
        <w:t>注：1.本表可自行扩展。</w:t>
      </w:r>
    </w:p>
    <w:p w14:paraId="35269EA2">
      <w:pPr>
        <w:pStyle w:val="2"/>
        <w:rPr>
          <w:rFonts w:hAnsi="宋体"/>
          <w:b/>
        </w:rPr>
      </w:pPr>
      <w:r>
        <w:rPr>
          <w:rFonts w:hint="eastAsia" w:hAnsi="宋体"/>
          <w:b/>
          <w:highlight w:val="yellow"/>
        </w:rPr>
        <w:t>2.</w:t>
      </w:r>
      <w:r>
        <w:rPr>
          <w:rFonts w:hint="eastAsia" w:hAnsi="宋体" w:cs="楷体"/>
          <w:b/>
          <w:sz w:val="24"/>
          <w:highlight w:val="yellow"/>
        </w:rPr>
        <w:t>须提供投标人为拟委任的人员开标之日前半年内连续三个月交纳的社保证明或承诺材料和职称证书扫描件或复印件。</w:t>
      </w:r>
    </w:p>
    <w:p w14:paraId="1DECF9C9">
      <w:pPr>
        <w:pStyle w:val="31"/>
        <w:widowControl/>
        <w:spacing w:line="480" w:lineRule="atLeast"/>
        <w:ind w:firstLine="4554" w:firstLineChars="1890"/>
        <w:jc w:val="right"/>
        <w:rPr>
          <w:rStyle w:val="28"/>
          <w:rFonts w:ascii="宋体" w:hAnsi="宋体"/>
          <w:b/>
          <w:sz w:val="24"/>
          <w:szCs w:val="21"/>
        </w:rPr>
      </w:pPr>
    </w:p>
    <w:p w14:paraId="778387ED">
      <w:pPr>
        <w:pStyle w:val="31"/>
        <w:widowControl/>
        <w:spacing w:line="480" w:lineRule="atLeast"/>
        <w:ind w:firstLine="4554" w:firstLineChars="1890"/>
        <w:jc w:val="right"/>
        <w:rPr>
          <w:rStyle w:val="28"/>
          <w:rFonts w:ascii="宋体" w:hAnsi="宋体"/>
          <w:b/>
          <w:sz w:val="24"/>
          <w:szCs w:val="21"/>
        </w:rPr>
      </w:pPr>
    </w:p>
    <w:p w14:paraId="7BA59E19">
      <w:pPr>
        <w:pStyle w:val="31"/>
        <w:widowControl/>
        <w:spacing w:line="480" w:lineRule="atLeast"/>
        <w:ind w:firstLine="4554" w:firstLineChars="1890"/>
        <w:jc w:val="right"/>
        <w:rPr>
          <w:rStyle w:val="28"/>
          <w:rFonts w:ascii="宋体" w:hAnsi="宋体"/>
          <w:b/>
          <w:sz w:val="24"/>
          <w:szCs w:val="21"/>
        </w:rPr>
      </w:pPr>
    </w:p>
    <w:p w14:paraId="6ED6ABCA">
      <w:pPr>
        <w:pStyle w:val="31"/>
        <w:widowControl/>
        <w:spacing w:line="480" w:lineRule="atLeast"/>
        <w:ind w:firstLine="4554" w:firstLineChars="1890"/>
        <w:jc w:val="right"/>
        <w:rPr>
          <w:rStyle w:val="28"/>
          <w:rFonts w:ascii="宋体" w:hAnsi="Courier New"/>
          <w:b/>
          <w:bCs/>
          <w:sz w:val="24"/>
        </w:rPr>
      </w:pPr>
      <w:r>
        <w:rPr>
          <w:rStyle w:val="28"/>
          <w:rFonts w:ascii="宋体" w:hAnsi="宋体"/>
          <w:b/>
          <w:sz w:val="24"/>
          <w:szCs w:val="21"/>
        </w:rPr>
        <w:t>供应商名称</w:t>
      </w:r>
      <w:r>
        <w:rPr>
          <w:rStyle w:val="28"/>
          <w:rFonts w:ascii="宋体" w:hAnsi="Courier New"/>
          <w:b/>
          <w:bCs/>
          <w:sz w:val="24"/>
        </w:rPr>
        <w:t>：（公章）</w:t>
      </w:r>
    </w:p>
    <w:p w14:paraId="7436A94D">
      <w:pPr>
        <w:pStyle w:val="31"/>
        <w:widowControl/>
        <w:tabs>
          <w:tab w:val="left" w:pos="3780"/>
        </w:tabs>
        <w:spacing w:line="480" w:lineRule="atLeast"/>
        <w:ind w:firstLine="4554" w:firstLineChars="1890"/>
        <w:jc w:val="right"/>
        <w:rPr>
          <w:rStyle w:val="28"/>
          <w:rFonts w:ascii="宋体" w:hAnsi="Courier New"/>
          <w:b/>
          <w:bCs/>
          <w:sz w:val="24"/>
        </w:rPr>
      </w:pPr>
      <w:r>
        <w:rPr>
          <w:rStyle w:val="28"/>
          <w:rFonts w:ascii="宋体" w:hAnsi="Courier New"/>
          <w:b/>
          <w:bCs/>
          <w:sz w:val="24"/>
        </w:rPr>
        <w:t>日期：  年   月  日</w:t>
      </w:r>
    </w:p>
    <w:p w14:paraId="1901F6CE">
      <w:pPr>
        <w:pStyle w:val="32"/>
        <w:widowControl/>
        <w:ind w:firstLine="422"/>
        <w:jc w:val="right"/>
        <w:rPr>
          <w:rStyle w:val="28"/>
        </w:rPr>
      </w:pPr>
    </w:p>
    <w:p w14:paraId="15EEAE20">
      <w:pPr>
        <w:pStyle w:val="3"/>
        <w:rPr>
          <w:rFonts w:ascii="宋体" w:hAnsi="宋体"/>
          <w:b w:val="0"/>
        </w:rPr>
      </w:pPr>
    </w:p>
    <w:p w14:paraId="6F93C4CF">
      <w:pPr>
        <w:rPr>
          <w:rFonts w:ascii="宋体" w:hAnsi="宋体"/>
          <w:b/>
          <w:sz w:val="28"/>
        </w:rPr>
      </w:pPr>
    </w:p>
    <w:p w14:paraId="41A6A493">
      <w:pPr>
        <w:pStyle w:val="2"/>
        <w:rPr>
          <w:rFonts w:hAnsi="宋体"/>
          <w:b/>
        </w:rPr>
      </w:pPr>
    </w:p>
    <w:p w14:paraId="70A8BDBE">
      <w:pPr>
        <w:pStyle w:val="3"/>
        <w:rPr>
          <w:rFonts w:ascii="宋体" w:hAnsi="宋体"/>
          <w:b w:val="0"/>
        </w:rPr>
      </w:pPr>
    </w:p>
    <w:p w14:paraId="107BABF7"/>
    <w:p w14:paraId="795E6D2D">
      <w:pPr>
        <w:spacing w:line="320" w:lineRule="exact"/>
        <w:jc w:val="center"/>
        <w:rPr>
          <w:rFonts w:ascii="宋体" w:hAnsi="宋体"/>
          <w:b/>
          <w:sz w:val="28"/>
        </w:rPr>
      </w:pPr>
      <w:r>
        <w:rPr>
          <w:rFonts w:hint="eastAsia" w:ascii="宋体" w:hAnsi="宋体"/>
          <w:b/>
          <w:sz w:val="28"/>
        </w:rPr>
        <w:br w:type="page"/>
      </w:r>
      <w:r>
        <w:rPr>
          <w:rFonts w:hint="eastAsia" w:ascii="宋体" w:hAnsi="宋体"/>
          <w:b/>
          <w:sz w:val="28"/>
        </w:rPr>
        <w:t>六、类似业绩</w:t>
      </w:r>
    </w:p>
    <w:p w14:paraId="235FD298">
      <w:pPr>
        <w:pStyle w:val="2"/>
      </w:pPr>
    </w:p>
    <w:p w14:paraId="2D6E23B1">
      <w:pPr>
        <w:spacing w:line="320" w:lineRule="exact"/>
        <w:jc w:val="center"/>
        <w:rPr>
          <w:rFonts w:ascii="宋体" w:hAnsi="宋体"/>
          <w:bCs/>
          <w:sz w:val="24"/>
          <w:szCs w:val="21"/>
        </w:rPr>
      </w:pPr>
      <w:bookmarkStart w:id="153" w:name="_Toc2469_WPSOffice_Level1"/>
      <w:r>
        <w:rPr>
          <w:rFonts w:hint="eastAsia" w:ascii="宋体" w:hAnsi="宋体"/>
          <w:bCs/>
          <w:sz w:val="24"/>
          <w:szCs w:val="21"/>
        </w:rPr>
        <w:t>格式自拟</w:t>
      </w:r>
      <w:bookmarkEnd w:id="153"/>
    </w:p>
    <w:p w14:paraId="0A594E7A">
      <w:pPr>
        <w:spacing w:line="320" w:lineRule="exact"/>
        <w:jc w:val="center"/>
        <w:rPr>
          <w:rFonts w:ascii="宋体" w:hAnsi="宋体"/>
          <w:b/>
          <w:sz w:val="28"/>
        </w:rPr>
      </w:pPr>
    </w:p>
    <w:p w14:paraId="79D0D2E1">
      <w:pPr>
        <w:spacing w:line="320" w:lineRule="exact"/>
        <w:jc w:val="center"/>
        <w:rPr>
          <w:rFonts w:ascii="宋体" w:hAnsi="宋体"/>
          <w:b/>
          <w:sz w:val="28"/>
        </w:rPr>
      </w:pPr>
    </w:p>
    <w:p w14:paraId="301C0880">
      <w:pPr>
        <w:spacing w:line="320" w:lineRule="exact"/>
        <w:jc w:val="center"/>
        <w:rPr>
          <w:rFonts w:ascii="宋体" w:hAnsi="宋体"/>
          <w:b/>
          <w:sz w:val="28"/>
        </w:rPr>
      </w:pPr>
    </w:p>
    <w:p w14:paraId="1ADDE33D">
      <w:pPr>
        <w:spacing w:line="320" w:lineRule="exact"/>
        <w:jc w:val="center"/>
        <w:rPr>
          <w:rFonts w:ascii="宋体" w:hAnsi="宋体"/>
          <w:b/>
          <w:sz w:val="28"/>
        </w:rPr>
      </w:pPr>
    </w:p>
    <w:p w14:paraId="1F62F76D">
      <w:pPr>
        <w:pStyle w:val="2"/>
        <w:rPr>
          <w:rFonts w:hAnsi="宋体"/>
          <w:b/>
        </w:rPr>
      </w:pPr>
    </w:p>
    <w:p w14:paraId="37385E50">
      <w:pPr>
        <w:pStyle w:val="3"/>
      </w:pPr>
    </w:p>
    <w:p w14:paraId="2630FA12">
      <w:pPr>
        <w:spacing w:line="320" w:lineRule="exact"/>
        <w:jc w:val="center"/>
        <w:rPr>
          <w:rFonts w:ascii="宋体" w:hAnsi="宋体"/>
          <w:b/>
          <w:sz w:val="28"/>
        </w:rPr>
      </w:pPr>
    </w:p>
    <w:p w14:paraId="6F9D21DF">
      <w:pPr>
        <w:spacing w:line="320" w:lineRule="exact"/>
        <w:jc w:val="center"/>
        <w:rPr>
          <w:rFonts w:ascii="宋体" w:hAnsi="宋体"/>
          <w:b/>
          <w:sz w:val="28"/>
        </w:rPr>
      </w:pPr>
    </w:p>
    <w:p w14:paraId="6F687C43">
      <w:pPr>
        <w:spacing w:line="320" w:lineRule="exact"/>
        <w:jc w:val="center"/>
        <w:rPr>
          <w:rFonts w:ascii="宋体" w:hAnsi="宋体"/>
          <w:b/>
          <w:sz w:val="28"/>
        </w:rPr>
      </w:pPr>
      <w:r>
        <w:rPr>
          <w:rFonts w:hint="eastAsia" w:ascii="宋体" w:hAnsi="宋体"/>
          <w:b/>
          <w:sz w:val="28"/>
        </w:rPr>
        <w:t>七、服务方案</w:t>
      </w:r>
    </w:p>
    <w:p w14:paraId="4953A298">
      <w:pPr>
        <w:pStyle w:val="2"/>
      </w:pPr>
    </w:p>
    <w:p w14:paraId="6DF0BBBC">
      <w:pPr>
        <w:spacing w:line="320" w:lineRule="exact"/>
        <w:jc w:val="center"/>
        <w:rPr>
          <w:rFonts w:ascii="宋体" w:hAnsi="宋体"/>
          <w:bCs/>
          <w:sz w:val="24"/>
          <w:szCs w:val="21"/>
        </w:rPr>
      </w:pPr>
      <w:r>
        <w:rPr>
          <w:rFonts w:hint="eastAsia" w:ascii="宋体" w:hAnsi="宋体"/>
          <w:bCs/>
          <w:sz w:val="24"/>
          <w:szCs w:val="21"/>
        </w:rPr>
        <w:t>格式自拟</w:t>
      </w:r>
    </w:p>
    <w:p w14:paraId="07B9D032">
      <w:pPr>
        <w:pStyle w:val="2"/>
        <w:spacing w:before="13"/>
        <w:rPr>
          <w:rFonts w:ascii="Microsoft JhengHei"/>
          <w:b/>
          <w:sz w:val="14"/>
        </w:rPr>
      </w:pPr>
    </w:p>
    <w:p w14:paraId="28ED7111">
      <w:pPr>
        <w:spacing w:line="320" w:lineRule="exact"/>
        <w:jc w:val="center"/>
        <w:rPr>
          <w:rFonts w:ascii="宋体" w:hAnsi="宋体"/>
          <w:b/>
          <w:sz w:val="28"/>
        </w:rPr>
      </w:pPr>
      <w:bookmarkStart w:id="154" w:name="十、竞争性磋商文件要求的其他资料"/>
      <w:bookmarkEnd w:id="154"/>
      <w:bookmarkStart w:id="155" w:name="九、资格证明资料"/>
      <w:bookmarkEnd w:id="155"/>
    </w:p>
    <w:p w14:paraId="162EBCFC">
      <w:pPr>
        <w:pStyle w:val="2"/>
      </w:pPr>
    </w:p>
    <w:p w14:paraId="3FDD4D70">
      <w:pPr>
        <w:pStyle w:val="3"/>
      </w:pPr>
    </w:p>
    <w:p w14:paraId="408890D0"/>
    <w:p w14:paraId="12D345C9">
      <w:pPr>
        <w:pStyle w:val="2"/>
      </w:pPr>
    </w:p>
    <w:p w14:paraId="6F770925">
      <w:pPr>
        <w:pStyle w:val="3"/>
      </w:pPr>
    </w:p>
    <w:p w14:paraId="3D584DA0"/>
    <w:p w14:paraId="24D5FA33">
      <w:pPr>
        <w:pStyle w:val="8"/>
        <w:spacing w:line="487" w:lineRule="exact"/>
        <w:jc w:val="center"/>
        <w:rPr>
          <w:b/>
          <w:bCs w:val="0"/>
        </w:rPr>
      </w:pPr>
      <w:r>
        <w:rPr>
          <w:rFonts w:hint="eastAsia" w:hAnsi="宋体"/>
          <w:b/>
        </w:rPr>
        <w:t>八、</w:t>
      </w:r>
      <w:r>
        <w:rPr>
          <w:rFonts w:hint="eastAsia"/>
          <w:b/>
          <w:bCs w:val="0"/>
        </w:rPr>
        <w:t>招标文件要求的其他资料</w:t>
      </w:r>
    </w:p>
    <w:p w14:paraId="31D61714">
      <w:pPr>
        <w:pStyle w:val="2"/>
        <w:spacing w:before="10"/>
        <w:rPr>
          <w:rFonts w:ascii="Microsoft JhengHei"/>
          <w:b/>
          <w:sz w:val="22"/>
        </w:rPr>
      </w:pPr>
    </w:p>
    <w:p w14:paraId="6D6E53FA">
      <w:pPr>
        <w:jc w:val="center"/>
        <w:rPr>
          <w:sz w:val="24"/>
          <w:szCs w:val="24"/>
        </w:rPr>
      </w:pPr>
      <w:r>
        <w:rPr>
          <w:rFonts w:hint="eastAsia" w:ascii="宋体" w:hAnsi="Arial"/>
          <w:bCs/>
          <w:sz w:val="24"/>
          <w:szCs w:val="21"/>
        </w:rPr>
        <w:t>投标人认为有必要提供的其他资料</w:t>
      </w:r>
      <w:bookmarkStart w:id="156" w:name="_Toc519091044"/>
    </w:p>
    <w:p w14:paraId="66591CAC">
      <w:pPr>
        <w:pStyle w:val="35"/>
        <w:shd w:val="clear" w:color="auto" w:fill="FFFFFF"/>
        <w:spacing w:before="0" w:after="0"/>
        <w:jc w:val="center"/>
        <w:outlineLvl w:val="0"/>
        <w:rPr>
          <w:sz w:val="28"/>
          <w:szCs w:val="28"/>
        </w:rPr>
      </w:pPr>
    </w:p>
    <w:p w14:paraId="050B82CA">
      <w:pPr>
        <w:rPr>
          <w:sz w:val="28"/>
          <w:szCs w:val="28"/>
        </w:rPr>
      </w:pPr>
    </w:p>
    <w:p w14:paraId="5302FD5F">
      <w:pPr>
        <w:rPr>
          <w:sz w:val="28"/>
          <w:szCs w:val="28"/>
        </w:rPr>
      </w:pPr>
    </w:p>
    <w:p w14:paraId="05934055">
      <w:pPr>
        <w:rPr>
          <w:sz w:val="28"/>
          <w:szCs w:val="28"/>
        </w:rPr>
      </w:pPr>
    </w:p>
    <w:p w14:paraId="288308A3">
      <w:pPr>
        <w:rPr>
          <w:sz w:val="28"/>
          <w:szCs w:val="28"/>
        </w:rPr>
      </w:pPr>
    </w:p>
    <w:p w14:paraId="2E363CE4">
      <w:pPr>
        <w:rPr>
          <w:sz w:val="28"/>
          <w:szCs w:val="28"/>
        </w:rPr>
      </w:pPr>
    </w:p>
    <w:p w14:paraId="64D656FC">
      <w:pPr>
        <w:ind w:firstLine="3092" w:firstLineChars="1100"/>
        <w:jc w:val="left"/>
        <w:rPr>
          <w:highlight w:val="none"/>
        </w:rPr>
      </w:pPr>
      <w:r>
        <w:rPr>
          <w:rFonts w:hint="eastAsia" w:ascii="宋体" w:hAnsi="Arial"/>
          <w:b/>
          <w:bCs/>
          <w:sz w:val="28"/>
        </w:rPr>
        <w:br w:type="page"/>
      </w:r>
      <w:r>
        <w:rPr>
          <w:rFonts w:hint="eastAsia" w:ascii="宋体" w:hAnsi="Arial"/>
          <w:b/>
          <w:bCs/>
          <w:sz w:val="28"/>
          <w:highlight w:val="none"/>
        </w:rPr>
        <w:t>九、中小企业声明函（服务）</w:t>
      </w:r>
    </w:p>
    <w:p w14:paraId="7703E7F9">
      <w:pPr>
        <w:autoSpaceDE w:val="0"/>
        <w:autoSpaceDN w:val="0"/>
        <w:snapToGrid w:val="0"/>
        <w:spacing w:line="360" w:lineRule="auto"/>
        <w:ind w:left="80" w:leftChars="38" w:right="40" w:firstLine="420" w:firstLineChars="200"/>
        <w:rPr>
          <w:rFonts w:ascii="宋体" w:hAnsi="宋体" w:cs="宋体"/>
          <w:szCs w:val="24"/>
          <w:highlight w:val="none"/>
          <w:lang w:val="zh-CN"/>
        </w:rPr>
      </w:pPr>
    </w:p>
    <w:p w14:paraId="7031A87E">
      <w:pPr>
        <w:autoSpaceDE w:val="0"/>
        <w:autoSpaceDN w:val="0"/>
        <w:snapToGrid w:val="0"/>
        <w:spacing w:line="360" w:lineRule="auto"/>
        <w:ind w:left="80" w:leftChars="38" w:right="40" w:firstLine="420" w:firstLineChars="200"/>
        <w:rPr>
          <w:rFonts w:ascii="宋体" w:hAnsi="宋体" w:cs="宋体"/>
          <w:szCs w:val="24"/>
          <w:highlight w:val="none"/>
        </w:rPr>
      </w:pPr>
      <w:r>
        <w:rPr>
          <w:rFonts w:hint="eastAsia" w:ascii="宋体" w:hAnsi="宋体" w:cs="宋体"/>
          <w:szCs w:val="24"/>
          <w:highlight w:val="none"/>
          <w:lang w:val="zh-CN"/>
        </w:rPr>
        <w:t>本公司郑重声明，根据《政府采购促进中小企业发展</w:t>
      </w:r>
      <w:r>
        <w:rPr>
          <w:rFonts w:hint="eastAsia" w:ascii="宋体" w:hAnsi="宋体" w:cs="宋体"/>
          <w:szCs w:val="24"/>
          <w:highlight w:val="none"/>
        </w:rPr>
        <w:t>管理</w:t>
      </w:r>
      <w:r>
        <w:rPr>
          <w:rFonts w:hint="eastAsia" w:ascii="宋体" w:hAnsi="宋体" w:cs="宋体"/>
          <w:szCs w:val="24"/>
          <w:highlight w:val="none"/>
          <w:lang w:val="zh-CN"/>
        </w:rPr>
        <w:t>办法》（财库〔20</w:t>
      </w:r>
      <w:r>
        <w:rPr>
          <w:rFonts w:hint="eastAsia" w:ascii="宋体" w:hAnsi="宋体" w:cs="宋体"/>
          <w:szCs w:val="24"/>
          <w:highlight w:val="none"/>
        </w:rPr>
        <w:t>20</w:t>
      </w:r>
      <w:r>
        <w:rPr>
          <w:rFonts w:hint="eastAsia" w:ascii="宋体" w:hAnsi="宋体" w:cs="宋体"/>
          <w:szCs w:val="24"/>
          <w:highlight w:val="none"/>
          <w:lang w:val="zh-CN"/>
        </w:rPr>
        <w:t>〕</w:t>
      </w:r>
      <w:r>
        <w:rPr>
          <w:rFonts w:hint="eastAsia" w:ascii="宋体" w:hAnsi="宋体" w:cs="宋体"/>
          <w:szCs w:val="24"/>
          <w:highlight w:val="none"/>
        </w:rPr>
        <w:t>46</w:t>
      </w:r>
      <w:r>
        <w:rPr>
          <w:rFonts w:hint="eastAsia" w:ascii="宋体" w:hAnsi="宋体" w:cs="宋体"/>
          <w:szCs w:val="24"/>
          <w:highlight w:val="none"/>
          <w:lang w:val="zh-CN"/>
        </w:rPr>
        <w:t>号）的规定，本公司</w:t>
      </w:r>
      <w:r>
        <w:rPr>
          <w:rFonts w:hint="eastAsia" w:ascii="宋体" w:hAnsi="宋体" w:cs="宋体"/>
          <w:szCs w:val="24"/>
          <w:highlight w:val="none"/>
        </w:rPr>
        <w:t xml:space="preserve">参加 </w:t>
      </w:r>
      <w:r>
        <w:rPr>
          <w:rFonts w:hint="eastAsia" w:ascii="宋体" w:hAnsi="宋体" w:cs="宋体"/>
          <w:szCs w:val="24"/>
          <w:highlight w:val="none"/>
          <w:u w:val="single"/>
        </w:rPr>
        <w:t xml:space="preserve">     （单位名称）     的   （项目名称）</w:t>
      </w:r>
      <w:r>
        <w:rPr>
          <w:rFonts w:hint="eastAsia" w:ascii="宋体" w:hAnsi="宋体" w:cs="宋体"/>
          <w:szCs w:val="24"/>
          <w:highlight w:val="none"/>
        </w:rPr>
        <w:t>采购活动，服务全部由符合政策要求的中小企业承接。具体情况如下：</w:t>
      </w:r>
    </w:p>
    <w:p w14:paraId="6C34BA0B">
      <w:pPr>
        <w:autoSpaceDE w:val="0"/>
        <w:autoSpaceDN w:val="0"/>
        <w:snapToGrid w:val="0"/>
        <w:spacing w:line="360" w:lineRule="auto"/>
        <w:ind w:left="80" w:leftChars="38" w:right="40" w:firstLine="420" w:firstLineChars="200"/>
        <w:rPr>
          <w:rFonts w:ascii="宋体" w:hAnsi="宋体" w:cs="宋体"/>
          <w:szCs w:val="24"/>
          <w:highlight w:val="none"/>
        </w:rPr>
      </w:pPr>
      <w:r>
        <w:rPr>
          <w:rFonts w:hint="eastAsia" w:ascii="宋体" w:hAnsi="宋体" w:cs="宋体"/>
          <w:szCs w:val="24"/>
          <w:highlight w:val="none"/>
        </w:rPr>
        <w:t>1.</w:t>
      </w:r>
      <w:r>
        <w:rPr>
          <w:rFonts w:hint="eastAsia" w:ascii="宋体" w:hAnsi="宋体" w:cs="宋体"/>
          <w:szCs w:val="24"/>
          <w:highlight w:val="none"/>
          <w:u w:val="single"/>
        </w:rPr>
        <w:t xml:space="preserve">     （标的名称）     </w:t>
      </w:r>
      <w:r>
        <w:rPr>
          <w:rFonts w:hint="eastAsia" w:ascii="宋体" w:hAnsi="宋体" w:cs="宋体"/>
          <w:szCs w:val="24"/>
          <w:highlight w:val="none"/>
        </w:rPr>
        <w:t>，属于</w:t>
      </w:r>
      <w:r>
        <w:rPr>
          <w:rFonts w:hint="eastAsia" w:ascii="宋体" w:hAnsi="宋体" w:cs="宋体"/>
          <w:szCs w:val="24"/>
          <w:highlight w:val="none"/>
          <w:u w:val="single"/>
        </w:rPr>
        <w:t xml:space="preserve">    （采购文件中明确的所属行业)    </w:t>
      </w:r>
      <w:r>
        <w:rPr>
          <w:rFonts w:hint="eastAsia" w:ascii="宋体" w:hAnsi="宋体" w:cs="宋体"/>
          <w:szCs w:val="24"/>
          <w:highlight w:val="none"/>
        </w:rPr>
        <w:t>；承建（承接）企业为</w:t>
      </w:r>
      <w:r>
        <w:rPr>
          <w:rFonts w:hint="eastAsia" w:ascii="宋体" w:hAnsi="宋体" w:cs="宋体"/>
          <w:szCs w:val="24"/>
          <w:highlight w:val="none"/>
          <w:u w:val="single"/>
        </w:rPr>
        <w:t xml:space="preserve">     (企业名称)     </w:t>
      </w:r>
      <w:r>
        <w:rPr>
          <w:rFonts w:hint="eastAsia" w:ascii="宋体" w:hAnsi="宋体" w:cs="宋体"/>
          <w:szCs w:val="24"/>
          <w:highlight w:val="none"/>
        </w:rPr>
        <w:t>，从业人员</w:t>
      </w:r>
      <w:r>
        <w:rPr>
          <w:rFonts w:hint="eastAsia" w:ascii="宋体" w:hAnsi="宋体" w:cs="宋体"/>
          <w:szCs w:val="24"/>
          <w:highlight w:val="none"/>
          <w:u w:val="single"/>
        </w:rPr>
        <w:t xml:space="preserve">       </w:t>
      </w:r>
      <w:r>
        <w:rPr>
          <w:rFonts w:hint="eastAsia" w:ascii="宋体" w:hAnsi="宋体" w:cs="宋体"/>
          <w:szCs w:val="24"/>
          <w:highlight w:val="none"/>
        </w:rPr>
        <w:t>人，营业收入为</w:t>
      </w:r>
      <w:r>
        <w:rPr>
          <w:rFonts w:hint="eastAsia" w:ascii="宋体" w:hAnsi="宋体" w:cs="宋体"/>
          <w:szCs w:val="24"/>
          <w:highlight w:val="none"/>
          <w:u w:val="single"/>
        </w:rPr>
        <w:t xml:space="preserve">      </w:t>
      </w:r>
      <w:r>
        <w:rPr>
          <w:rFonts w:hint="eastAsia" w:ascii="宋体" w:hAnsi="宋体" w:cs="宋体"/>
          <w:szCs w:val="24"/>
          <w:highlight w:val="none"/>
        </w:rPr>
        <w:t>万元，资产总额为</w:t>
      </w:r>
      <w:r>
        <w:rPr>
          <w:rFonts w:hint="eastAsia" w:ascii="宋体" w:hAnsi="宋体" w:cs="宋体"/>
          <w:szCs w:val="24"/>
          <w:highlight w:val="none"/>
          <w:u w:val="single"/>
        </w:rPr>
        <w:t xml:space="preserve">      </w:t>
      </w:r>
      <w:r>
        <w:rPr>
          <w:rFonts w:hint="eastAsia" w:ascii="宋体" w:hAnsi="宋体" w:cs="宋体"/>
          <w:szCs w:val="24"/>
          <w:highlight w:val="none"/>
        </w:rPr>
        <w:t>万元，属于</w:t>
      </w:r>
      <w:r>
        <w:rPr>
          <w:rFonts w:hint="eastAsia" w:ascii="宋体" w:hAnsi="宋体" w:cs="宋体"/>
          <w:szCs w:val="24"/>
          <w:highlight w:val="none"/>
          <w:u w:val="single"/>
        </w:rPr>
        <w:t>（中型企业、小型企业、微型企业)</w:t>
      </w:r>
      <w:r>
        <w:rPr>
          <w:rFonts w:hint="eastAsia" w:ascii="宋体" w:hAnsi="宋体" w:cs="宋体"/>
          <w:szCs w:val="24"/>
          <w:highlight w:val="none"/>
        </w:rPr>
        <w:t>；</w:t>
      </w:r>
    </w:p>
    <w:p w14:paraId="7BACB2B2">
      <w:pPr>
        <w:autoSpaceDE w:val="0"/>
        <w:autoSpaceDN w:val="0"/>
        <w:snapToGrid w:val="0"/>
        <w:spacing w:line="360" w:lineRule="auto"/>
        <w:ind w:left="80" w:leftChars="38" w:right="40" w:firstLine="420" w:firstLineChars="200"/>
        <w:rPr>
          <w:rFonts w:ascii="宋体" w:hAnsi="宋体" w:cs="宋体"/>
          <w:szCs w:val="24"/>
          <w:highlight w:val="none"/>
        </w:rPr>
      </w:pPr>
      <w:r>
        <w:rPr>
          <w:rFonts w:hint="eastAsia" w:ascii="宋体" w:hAnsi="宋体" w:cs="宋体"/>
          <w:szCs w:val="24"/>
          <w:highlight w:val="none"/>
        </w:rPr>
        <w:t>以上企业，不属于大企业的分支机构，不存在控股股东为大企业的情形，也不存在与大企业的负责人为同一人的情形。</w:t>
      </w:r>
    </w:p>
    <w:p w14:paraId="253221BE">
      <w:pPr>
        <w:tabs>
          <w:tab w:val="left" w:pos="4620"/>
        </w:tabs>
        <w:spacing w:line="360" w:lineRule="auto"/>
        <w:ind w:firstLine="420" w:firstLineChars="200"/>
        <w:rPr>
          <w:rFonts w:ascii="宋体" w:hAnsi="宋体" w:cs="宋体"/>
          <w:szCs w:val="21"/>
          <w:highlight w:val="none"/>
        </w:rPr>
      </w:pPr>
      <w:r>
        <w:rPr>
          <w:rFonts w:hint="eastAsia" w:ascii="宋体" w:hAnsi="宋体" w:cs="宋体"/>
          <w:szCs w:val="24"/>
          <w:highlight w:val="none"/>
        </w:rPr>
        <w:t>本企业对上述声明内容的真实性负责。如有虚假，将依法承担相应责任</w:t>
      </w:r>
      <w:r>
        <w:rPr>
          <w:rFonts w:hint="eastAsia" w:ascii="宋体" w:hAnsi="宋体" w:cs="宋体"/>
          <w:szCs w:val="21"/>
          <w:highlight w:val="none"/>
        </w:rPr>
        <w:t>。</w:t>
      </w:r>
    </w:p>
    <w:p w14:paraId="75F2DB61">
      <w:pPr>
        <w:spacing w:line="360" w:lineRule="auto"/>
        <w:ind w:firstLine="420" w:firstLineChars="200"/>
        <w:rPr>
          <w:rFonts w:ascii="宋体" w:hAnsi="宋体" w:cs="宋体"/>
          <w:szCs w:val="24"/>
        </w:rPr>
      </w:pPr>
    </w:p>
    <w:p w14:paraId="1F3DD197">
      <w:pPr>
        <w:spacing w:line="360" w:lineRule="auto"/>
        <w:ind w:firstLine="420" w:firstLineChars="200"/>
        <w:rPr>
          <w:rFonts w:ascii="宋体" w:hAnsi="宋体" w:cs="宋体"/>
          <w:szCs w:val="24"/>
        </w:rPr>
      </w:pPr>
    </w:p>
    <w:p w14:paraId="79282B0A">
      <w:pPr>
        <w:spacing w:line="360" w:lineRule="auto"/>
        <w:ind w:firstLine="420" w:firstLineChars="200"/>
        <w:jc w:val="right"/>
        <w:rPr>
          <w:rFonts w:ascii="宋体" w:hAnsi="宋体" w:cs="宋体"/>
          <w:szCs w:val="24"/>
          <w:u w:val="single"/>
        </w:rPr>
      </w:pPr>
      <w:r>
        <w:rPr>
          <w:rFonts w:hint="eastAsia" w:ascii="宋体" w:hAnsi="宋体" w:cs="宋体"/>
          <w:szCs w:val="24"/>
        </w:rPr>
        <w:t>单位名称：</w:t>
      </w:r>
      <w:r>
        <w:rPr>
          <w:rFonts w:hint="eastAsia" w:ascii="宋体" w:hAnsi="宋体" w:cs="宋体"/>
          <w:szCs w:val="24"/>
          <w:u w:val="single"/>
        </w:rPr>
        <w:t xml:space="preserve">           </w:t>
      </w:r>
      <w:r>
        <w:rPr>
          <w:rFonts w:hint="eastAsia" w:ascii="宋体" w:hAnsi="宋体" w:cs="宋体"/>
          <w:szCs w:val="24"/>
        </w:rPr>
        <w:t>（盖单位章）</w:t>
      </w:r>
    </w:p>
    <w:p w14:paraId="1075D2FB">
      <w:pPr>
        <w:tabs>
          <w:tab w:val="left" w:pos="4620"/>
        </w:tabs>
        <w:spacing w:line="360" w:lineRule="auto"/>
        <w:ind w:firstLine="420" w:firstLineChars="200"/>
        <w:jc w:val="righ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spacing w:val="42"/>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spacing w:val="42"/>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14:paraId="05568766">
      <w:pPr>
        <w:spacing w:line="440" w:lineRule="exact"/>
        <w:rPr>
          <w:rFonts w:ascii="宋体" w:hAnsi="Arial"/>
          <w:b/>
          <w:bCs/>
          <w:sz w:val="28"/>
        </w:rPr>
      </w:pPr>
    </w:p>
    <w:p w14:paraId="7ABCADFC">
      <w:pPr>
        <w:widowControl/>
        <w:jc w:val="left"/>
        <w:rPr>
          <w:rStyle w:val="28"/>
          <w:rFonts w:ascii="Times New Roman" w:hAnsi="Times New Roman"/>
          <w:b/>
          <w:sz w:val="32"/>
          <w:szCs w:val="32"/>
        </w:rPr>
      </w:pPr>
      <w:r>
        <w:rPr>
          <w:rStyle w:val="28"/>
          <w:rFonts w:ascii="Times New Roman" w:hAnsi="Times New Roman"/>
          <w:bCs/>
          <w:sz w:val="32"/>
          <w:szCs w:val="32"/>
        </w:rPr>
        <w:br w:type="page"/>
      </w:r>
    </w:p>
    <w:p w14:paraId="72FF135D">
      <w:pPr>
        <w:pStyle w:val="36"/>
        <w:jc w:val="center"/>
        <w:outlineLvl w:val="0"/>
        <w:rPr>
          <w:rStyle w:val="28"/>
          <w:rFonts w:ascii="Arial Unicode MS" w:hAnsi="宋体" w:eastAsia="Arial Unicode MS" w:cs="Arial Unicode MS"/>
          <w:kern w:val="0"/>
          <w:sz w:val="28"/>
          <w:szCs w:val="28"/>
        </w:rPr>
      </w:pPr>
      <w:r>
        <w:rPr>
          <w:rStyle w:val="28"/>
          <w:rFonts w:hint="eastAsia" w:ascii="Times New Roman" w:hAnsi="Times New Roman"/>
          <w:bCs w:val="0"/>
          <w:sz w:val="32"/>
          <w:szCs w:val="32"/>
        </w:rPr>
        <w:t>十、</w:t>
      </w:r>
      <w:bookmarkEnd w:id="156"/>
      <w:bookmarkStart w:id="157" w:name="_Toc26604"/>
      <w:r>
        <w:rPr>
          <w:rStyle w:val="28"/>
          <w:rFonts w:hint="eastAsia" w:ascii="Times New Roman" w:hAnsi="Times New Roman"/>
          <w:bCs w:val="0"/>
          <w:sz w:val="32"/>
          <w:szCs w:val="32"/>
        </w:rPr>
        <w:t xml:space="preserve"> </w:t>
      </w:r>
      <w:r>
        <w:rPr>
          <w:rStyle w:val="28"/>
          <w:rFonts w:ascii="Times New Roman" w:hAnsi="Times New Roman"/>
          <w:bCs w:val="0"/>
          <w:sz w:val="32"/>
          <w:szCs w:val="32"/>
        </w:rPr>
        <w:t>最终报价或第二次报价表</w:t>
      </w:r>
      <w:bookmarkEnd w:id="157"/>
    </w:p>
    <w:tbl>
      <w:tblPr>
        <w:tblStyle w:val="22"/>
        <w:tblpPr w:leftFromText="180" w:rightFromText="180" w:vertAnchor="text" w:horzAnchor="page" w:tblpXSpec="center" w:tblpY="391"/>
        <w:tblOverlap w:val="never"/>
        <w:tblW w:w="0" w:type="auto"/>
        <w:jc w:val="center"/>
        <w:tblLayout w:type="fixed"/>
        <w:tblCellMar>
          <w:top w:w="0" w:type="dxa"/>
          <w:left w:w="0" w:type="dxa"/>
          <w:bottom w:w="0" w:type="dxa"/>
          <w:right w:w="0" w:type="dxa"/>
        </w:tblCellMar>
      </w:tblPr>
      <w:tblGrid>
        <w:gridCol w:w="2730"/>
        <w:gridCol w:w="6730"/>
      </w:tblGrid>
      <w:tr w14:paraId="30E7EA17">
        <w:tblPrEx>
          <w:tblCellMar>
            <w:top w:w="0" w:type="dxa"/>
            <w:left w:w="0" w:type="dxa"/>
            <w:bottom w:w="0" w:type="dxa"/>
            <w:right w:w="0" w:type="dxa"/>
          </w:tblCellMar>
        </w:tblPrEx>
        <w:trPr>
          <w:trHeight w:val="608" w:hRule="atLeast"/>
          <w:jc w:val="center"/>
        </w:trPr>
        <w:tc>
          <w:tcPr>
            <w:tcW w:w="2730" w:type="dxa"/>
            <w:tcBorders>
              <w:top w:val="single" w:color="000000" w:sz="6" w:space="0"/>
              <w:left w:val="single" w:color="000000" w:sz="6" w:space="0"/>
              <w:bottom w:val="single" w:color="000000" w:sz="6" w:space="0"/>
              <w:right w:val="single" w:color="000000" w:sz="6" w:space="0"/>
            </w:tcBorders>
            <w:vAlign w:val="center"/>
          </w:tcPr>
          <w:p w14:paraId="22BC0291">
            <w:pPr>
              <w:spacing w:line="360" w:lineRule="auto"/>
              <w:jc w:val="center"/>
              <w:textAlignment w:val="baseline"/>
              <w:rPr>
                <w:rStyle w:val="28"/>
                <w:rFonts w:ascii="宋体" w:hAnsi="宋体" w:cs="宋体"/>
                <w:b/>
                <w:bCs/>
                <w:color w:val="0C0C0C"/>
                <w:sz w:val="24"/>
                <w:lang w:val="zh-CN"/>
              </w:rPr>
            </w:pPr>
            <w:r>
              <w:rPr>
                <w:rStyle w:val="28"/>
                <w:rFonts w:ascii="宋体" w:hAnsi="宋体" w:cs="宋体"/>
                <w:b/>
                <w:bCs/>
                <w:color w:val="0C0C0C"/>
                <w:sz w:val="24"/>
                <w:lang w:val="zh-CN"/>
              </w:rPr>
              <w:t>投标人名称</w:t>
            </w:r>
          </w:p>
        </w:tc>
        <w:tc>
          <w:tcPr>
            <w:tcW w:w="6730" w:type="dxa"/>
            <w:tcBorders>
              <w:top w:val="single" w:color="000000" w:sz="6" w:space="0"/>
              <w:left w:val="single" w:color="000000" w:sz="6" w:space="0"/>
              <w:bottom w:val="single" w:color="000000" w:sz="6" w:space="0"/>
              <w:right w:val="single" w:color="000000" w:sz="6" w:space="0"/>
            </w:tcBorders>
            <w:vAlign w:val="center"/>
          </w:tcPr>
          <w:p w14:paraId="10DC9B21">
            <w:pPr>
              <w:spacing w:line="360" w:lineRule="auto"/>
              <w:textAlignment w:val="baseline"/>
              <w:rPr>
                <w:rStyle w:val="28"/>
                <w:rFonts w:ascii="宋体" w:hAnsi="宋体" w:cs="宋体"/>
                <w:b/>
                <w:bCs/>
                <w:color w:val="0C0C0C"/>
                <w:sz w:val="24"/>
                <w:lang w:val="zh-CN"/>
              </w:rPr>
            </w:pPr>
          </w:p>
        </w:tc>
      </w:tr>
      <w:tr w14:paraId="4615BA37">
        <w:tblPrEx>
          <w:tblCellMar>
            <w:top w:w="0" w:type="dxa"/>
            <w:left w:w="0" w:type="dxa"/>
            <w:bottom w:w="0" w:type="dxa"/>
            <w:right w:w="0" w:type="dxa"/>
          </w:tblCellMar>
        </w:tblPrEx>
        <w:trPr>
          <w:trHeight w:val="1549" w:hRule="atLeast"/>
          <w:jc w:val="center"/>
        </w:trPr>
        <w:tc>
          <w:tcPr>
            <w:tcW w:w="2730" w:type="dxa"/>
            <w:tcBorders>
              <w:top w:val="single" w:color="000000" w:sz="6" w:space="0"/>
              <w:left w:val="single" w:color="000000" w:sz="6" w:space="0"/>
              <w:bottom w:val="single" w:color="000000" w:sz="6" w:space="0"/>
              <w:right w:val="single" w:color="000000" w:sz="6" w:space="0"/>
            </w:tcBorders>
            <w:vAlign w:val="center"/>
          </w:tcPr>
          <w:p w14:paraId="64D83E79">
            <w:pPr>
              <w:spacing w:line="360" w:lineRule="auto"/>
              <w:jc w:val="center"/>
              <w:textAlignment w:val="baseline"/>
              <w:rPr>
                <w:rStyle w:val="28"/>
                <w:rFonts w:ascii="宋体" w:hAnsi="宋体" w:cs="宋体"/>
                <w:b/>
                <w:bCs/>
                <w:color w:val="0C0C0C"/>
                <w:sz w:val="24"/>
              </w:rPr>
            </w:pPr>
            <w:r>
              <w:rPr>
                <w:rStyle w:val="28"/>
                <w:rFonts w:ascii="宋体" w:hAnsi="宋体" w:cs="宋体"/>
                <w:b/>
                <w:bCs/>
                <w:color w:val="0C0C0C"/>
                <w:sz w:val="24"/>
                <w:lang w:val="zh-CN"/>
              </w:rPr>
              <w:t>最终投标总价</w:t>
            </w:r>
          </w:p>
          <w:p w14:paraId="4AF74555">
            <w:pPr>
              <w:spacing w:line="360" w:lineRule="auto"/>
              <w:jc w:val="center"/>
              <w:textAlignment w:val="baseline"/>
              <w:rPr>
                <w:rStyle w:val="28"/>
                <w:rFonts w:ascii="宋体" w:hAnsi="宋体" w:cs="宋体"/>
                <w:b/>
                <w:bCs/>
                <w:color w:val="0C0C0C"/>
                <w:sz w:val="24"/>
              </w:rPr>
            </w:pPr>
            <w:r>
              <w:rPr>
                <w:rStyle w:val="28"/>
                <w:rFonts w:ascii="宋体" w:hAnsi="宋体" w:cs="宋体"/>
                <w:b/>
                <w:bCs/>
                <w:color w:val="0C0C0C"/>
                <w:sz w:val="24"/>
                <w:lang w:val="zh-CN"/>
              </w:rPr>
              <w:t>（详见备注说明）</w:t>
            </w:r>
          </w:p>
        </w:tc>
        <w:tc>
          <w:tcPr>
            <w:tcW w:w="6730" w:type="dxa"/>
            <w:tcBorders>
              <w:top w:val="single" w:color="000000" w:sz="6" w:space="0"/>
              <w:left w:val="single" w:color="000000" w:sz="6" w:space="0"/>
              <w:bottom w:val="single" w:color="000000" w:sz="6" w:space="0"/>
              <w:right w:val="single" w:color="000000" w:sz="6" w:space="0"/>
            </w:tcBorders>
            <w:vAlign w:val="center"/>
          </w:tcPr>
          <w:p w14:paraId="07735131">
            <w:pPr>
              <w:spacing w:line="360" w:lineRule="auto"/>
              <w:textAlignment w:val="baseline"/>
              <w:rPr>
                <w:rStyle w:val="28"/>
                <w:rFonts w:ascii="宋体" w:hAnsi="宋体"/>
                <w:color w:val="0C0C0C"/>
                <w:sz w:val="24"/>
                <w:u w:val="single"/>
                <w:lang w:val="zh-CN"/>
              </w:rPr>
            </w:pPr>
            <w:r>
              <w:rPr>
                <w:rStyle w:val="28"/>
                <w:rFonts w:ascii="宋体" w:hAnsi="宋体"/>
                <w:color w:val="0C0C0C"/>
                <w:sz w:val="24"/>
                <w:lang w:val="zh-CN"/>
              </w:rPr>
              <w:t>人民币小写：</w:t>
            </w:r>
          </w:p>
          <w:p w14:paraId="045B5A84">
            <w:pPr>
              <w:spacing w:line="360" w:lineRule="auto"/>
              <w:textAlignment w:val="baseline"/>
              <w:rPr>
                <w:rStyle w:val="28"/>
                <w:rFonts w:ascii="宋体" w:hAnsi="宋体" w:cs="宋体"/>
                <w:b/>
                <w:bCs/>
                <w:color w:val="0C0C0C"/>
                <w:sz w:val="24"/>
                <w:lang w:val="zh-CN"/>
              </w:rPr>
            </w:pPr>
            <w:r>
              <w:rPr>
                <w:rStyle w:val="28"/>
                <w:rFonts w:ascii="宋体" w:hAnsi="宋体"/>
                <w:color w:val="0C0C0C"/>
                <w:sz w:val="24"/>
                <w:lang w:val="zh-CN"/>
              </w:rPr>
              <w:t>人民币大写：</w:t>
            </w:r>
          </w:p>
        </w:tc>
      </w:tr>
      <w:tr w14:paraId="2A0301A0">
        <w:tblPrEx>
          <w:tblCellMar>
            <w:top w:w="0" w:type="dxa"/>
            <w:left w:w="0" w:type="dxa"/>
            <w:bottom w:w="0" w:type="dxa"/>
            <w:right w:w="0" w:type="dxa"/>
          </w:tblCellMar>
        </w:tblPrEx>
        <w:trPr>
          <w:trHeight w:val="1209" w:hRule="atLeast"/>
          <w:jc w:val="center"/>
        </w:trPr>
        <w:tc>
          <w:tcPr>
            <w:tcW w:w="2730" w:type="dxa"/>
            <w:tcBorders>
              <w:top w:val="single" w:color="000000" w:sz="6" w:space="0"/>
              <w:left w:val="single" w:color="000000" w:sz="6" w:space="0"/>
              <w:bottom w:val="single" w:color="000000" w:sz="6" w:space="0"/>
              <w:right w:val="single" w:color="000000" w:sz="6" w:space="0"/>
            </w:tcBorders>
            <w:vAlign w:val="center"/>
          </w:tcPr>
          <w:p w14:paraId="456A3115">
            <w:pPr>
              <w:spacing w:line="360" w:lineRule="auto"/>
              <w:jc w:val="center"/>
              <w:textAlignment w:val="baseline"/>
              <w:rPr>
                <w:rStyle w:val="28"/>
                <w:rFonts w:ascii="宋体" w:hAnsi="宋体" w:cs="宋体"/>
                <w:b/>
                <w:bCs/>
                <w:color w:val="0C0C0C"/>
                <w:sz w:val="24"/>
                <w:lang w:val="zh-CN"/>
              </w:rPr>
            </w:pPr>
            <w:r>
              <w:rPr>
                <w:rStyle w:val="28"/>
                <w:rFonts w:ascii="宋体" w:hAnsi="宋体" w:cs="宋体"/>
                <w:b/>
                <w:bCs/>
                <w:color w:val="0C0C0C"/>
                <w:sz w:val="24"/>
                <w:lang w:val="zh-CN"/>
              </w:rPr>
              <w:t>付款方式是否响应</w:t>
            </w:r>
          </w:p>
          <w:p w14:paraId="533EA495">
            <w:pPr>
              <w:spacing w:line="360" w:lineRule="auto"/>
              <w:jc w:val="center"/>
              <w:textAlignment w:val="baseline"/>
              <w:rPr>
                <w:rStyle w:val="28"/>
                <w:rFonts w:ascii="宋体" w:hAnsi="宋体" w:cs="宋体"/>
                <w:b/>
                <w:bCs/>
                <w:color w:val="0C0C0C"/>
                <w:sz w:val="24"/>
                <w:lang w:val="zh-CN"/>
              </w:rPr>
            </w:pPr>
            <w:r>
              <w:rPr>
                <w:rStyle w:val="28"/>
                <w:rFonts w:ascii="宋体" w:hAnsi="宋体" w:cs="宋体"/>
                <w:b/>
                <w:bCs/>
                <w:color w:val="0C0C0C"/>
                <w:sz w:val="24"/>
                <w:lang w:val="zh-CN"/>
              </w:rPr>
              <w:t>招标文件要求</w:t>
            </w:r>
          </w:p>
        </w:tc>
        <w:tc>
          <w:tcPr>
            <w:tcW w:w="6730" w:type="dxa"/>
            <w:tcBorders>
              <w:top w:val="single" w:color="000000" w:sz="6" w:space="0"/>
              <w:left w:val="single" w:color="000000" w:sz="6" w:space="0"/>
              <w:bottom w:val="single" w:color="000000" w:sz="6" w:space="0"/>
              <w:right w:val="single" w:color="000000" w:sz="6" w:space="0"/>
            </w:tcBorders>
            <w:vAlign w:val="center"/>
          </w:tcPr>
          <w:p w14:paraId="7E787CDD">
            <w:pPr>
              <w:spacing w:line="360" w:lineRule="auto"/>
              <w:textAlignment w:val="baseline"/>
              <w:rPr>
                <w:rStyle w:val="28"/>
                <w:rFonts w:ascii="宋体" w:hAnsi="宋体"/>
                <w:color w:val="0C0C0C"/>
                <w:sz w:val="24"/>
                <w:lang w:val="zh-CN"/>
              </w:rPr>
            </w:pPr>
            <w:r>
              <w:rPr>
                <w:rStyle w:val="28"/>
                <w:rFonts w:ascii="宋体" w:hAnsi="宋体"/>
                <w:color w:val="0C0C0C"/>
                <w:sz w:val="24"/>
                <w:lang w:val="zh-CN"/>
              </w:rPr>
              <w:t>是□    否□   （划√）</w:t>
            </w:r>
          </w:p>
        </w:tc>
      </w:tr>
      <w:tr w14:paraId="6825809E">
        <w:tblPrEx>
          <w:tblCellMar>
            <w:top w:w="0" w:type="dxa"/>
            <w:left w:w="0" w:type="dxa"/>
            <w:bottom w:w="0" w:type="dxa"/>
            <w:right w:w="0" w:type="dxa"/>
          </w:tblCellMar>
        </w:tblPrEx>
        <w:trPr>
          <w:trHeight w:val="1237" w:hRule="atLeast"/>
          <w:jc w:val="center"/>
        </w:trPr>
        <w:tc>
          <w:tcPr>
            <w:tcW w:w="2730" w:type="dxa"/>
            <w:tcBorders>
              <w:top w:val="single" w:color="000000" w:sz="6" w:space="0"/>
              <w:left w:val="single" w:color="000000" w:sz="6" w:space="0"/>
              <w:bottom w:val="single" w:color="000000" w:sz="6" w:space="0"/>
              <w:right w:val="single" w:color="000000" w:sz="6" w:space="0"/>
            </w:tcBorders>
            <w:vAlign w:val="center"/>
          </w:tcPr>
          <w:p w14:paraId="6C045519">
            <w:pPr>
              <w:spacing w:line="360" w:lineRule="auto"/>
              <w:jc w:val="center"/>
              <w:textAlignment w:val="baseline"/>
              <w:rPr>
                <w:rStyle w:val="28"/>
                <w:rFonts w:ascii="宋体" w:hAnsi="宋体" w:cs="宋体"/>
                <w:b/>
                <w:bCs/>
                <w:color w:val="0C0C0C"/>
                <w:sz w:val="24"/>
                <w:lang w:val="zh-CN"/>
              </w:rPr>
            </w:pPr>
            <w:r>
              <w:rPr>
                <w:rStyle w:val="28"/>
                <w:rFonts w:hint="eastAsia" w:ascii="宋体" w:hAnsi="宋体" w:cs="宋体"/>
                <w:b/>
                <w:bCs/>
                <w:color w:val="0C0C0C"/>
                <w:sz w:val="24"/>
                <w:lang w:val="zh-CN"/>
              </w:rPr>
              <w:t>设计周</w:t>
            </w:r>
            <w:r>
              <w:rPr>
                <w:rStyle w:val="28"/>
                <w:rFonts w:ascii="宋体" w:hAnsi="宋体" w:cs="宋体"/>
                <w:b/>
                <w:bCs/>
                <w:color w:val="0C0C0C"/>
                <w:sz w:val="24"/>
                <w:lang w:val="zh-CN"/>
              </w:rPr>
              <w:t>期是否响应</w:t>
            </w:r>
          </w:p>
          <w:p w14:paraId="1A63EB8B">
            <w:pPr>
              <w:spacing w:line="360" w:lineRule="auto"/>
              <w:jc w:val="center"/>
              <w:textAlignment w:val="baseline"/>
              <w:rPr>
                <w:rStyle w:val="28"/>
                <w:rFonts w:ascii="宋体" w:hAnsi="宋体" w:cs="宋体"/>
                <w:b/>
                <w:bCs/>
                <w:color w:val="0C0C0C"/>
                <w:sz w:val="24"/>
                <w:lang w:val="zh-CN"/>
              </w:rPr>
            </w:pPr>
            <w:r>
              <w:rPr>
                <w:rStyle w:val="28"/>
                <w:rFonts w:ascii="宋体" w:hAnsi="宋体" w:cs="宋体"/>
                <w:b/>
                <w:bCs/>
                <w:color w:val="0C0C0C"/>
                <w:sz w:val="24"/>
                <w:lang w:val="zh-CN"/>
              </w:rPr>
              <w:t>招标文件要求</w:t>
            </w:r>
          </w:p>
        </w:tc>
        <w:tc>
          <w:tcPr>
            <w:tcW w:w="6730" w:type="dxa"/>
            <w:tcBorders>
              <w:top w:val="single" w:color="000000" w:sz="6" w:space="0"/>
              <w:left w:val="single" w:color="000000" w:sz="6" w:space="0"/>
              <w:bottom w:val="single" w:color="000000" w:sz="6" w:space="0"/>
              <w:right w:val="single" w:color="000000" w:sz="6" w:space="0"/>
            </w:tcBorders>
            <w:vAlign w:val="center"/>
          </w:tcPr>
          <w:p w14:paraId="3883C547">
            <w:pPr>
              <w:spacing w:line="360" w:lineRule="auto"/>
              <w:textAlignment w:val="baseline"/>
              <w:rPr>
                <w:rStyle w:val="28"/>
                <w:rFonts w:ascii="宋体" w:hAnsi="宋体" w:cs="宋体"/>
                <w:b/>
                <w:bCs/>
                <w:color w:val="0C0C0C"/>
                <w:sz w:val="24"/>
                <w:lang w:val="zh-CN"/>
              </w:rPr>
            </w:pPr>
            <w:r>
              <w:rPr>
                <w:rStyle w:val="28"/>
                <w:rFonts w:ascii="宋体" w:hAnsi="宋体"/>
                <w:color w:val="0C0C0C"/>
                <w:sz w:val="24"/>
                <w:lang w:val="zh-CN"/>
              </w:rPr>
              <w:t>是□    否□   （划√）</w:t>
            </w:r>
          </w:p>
        </w:tc>
      </w:tr>
      <w:tr w14:paraId="4DD2147F">
        <w:tblPrEx>
          <w:tblCellMar>
            <w:top w:w="0" w:type="dxa"/>
            <w:left w:w="0" w:type="dxa"/>
            <w:bottom w:w="0" w:type="dxa"/>
            <w:right w:w="0" w:type="dxa"/>
          </w:tblCellMar>
        </w:tblPrEx>
        <w:trPr>
          <w:trHeight w:val="1680" w:hRule="atLeast"/>
          <w:jc w:val="center"/>
        </w:trPr>
        <w:tc>
          <w:tcPr>
            <w:tcW w:w="2730" w:type="dxa"/>
            <w:tcBorders>
              <w:top w:val="single" w:color="000000" w:sz="6" w:space="0"/>
              <w:left w:val="single" w:color="000000" w:sz="6" w:space="0"/>
              <w:bottom w:val="single" w:color="000000" w:sz="6" w:space="0"/>
              <w:right w:val="single" w:color="000000" w:sz="6" w:space="0"/>
            </w:tcBorders>
            <w:vAlign w:val="center"/>
          </w:tcPr>
          <w:p w14:paraId="10DA7BBD">
            <w:pPr>
              <w:spacing w:line="360" w:lineRule="auto"/>
              <w:jc w:val="center"/>
              <w:textAlignment w:val="baseline"/>
              <w:rPr>
                <w:rStyle w:val="28"/>
                <w:rFonts w:ascii="宋体" w:hAnsi="宋体" w:cs="宋体"/>
                <w:b/>
                <w:bCs/>
                <w:color w:val="0C0C0C"/>
                <w:sz w:val="24"/>
                <w:lang w:val="zh-CN"/>
              </w:rPr>
            </w:pPr>
            <w:r>
              <w:rPr>
                <w:rStyle w:val="28"/>
                <w:rFonts w:ascii="宋体" w:hAnsi="宋体" w:cs="宋体"/>
                <w:b/>
                <w:bCs/>
                <w:color w:val="0C0C0C"/>
                <w:sz w:val="24"/>
                <w:lang w:val="zh-CN"/>
              </w:rPr>
              <w:t>其他说明</w:t>
            </w:r>
          </w:p>
        </w:tc>
        <w:tc>
          <w:tcPr>
            <w:tcW w:w="6730" w:type="dxa"/>
            <w:tcBorders>
              <w:top w:val="single" w:color="000000" w:sz="6" w:space="0"/>
              <w:left w:val="single" w:color="000000" w:sz="6" w:space="0"/>
              <w:bottom w:val="single" w:color="000000" w:sz="6" w:space="0"/>
              <w:right w:val="single" w:color="000000" w:sz="6" w:space="0"/>
            </w:tcBorders>
            <w:vAlign w:val="center"/>
          </w:tcPr>
          <w:p w14:paraId="2340D0E9">
            <w:pPr>
              <w:spacing w:line="360" w:lineRule="auto"/>
              <w:textAlignment w:val="baseline"/>
              <w:rPr>
                <w:rStyle w:val="28"/>
              </w:rPr>
            </w:pPr>
          </w:p>
        </w:tc>
      </w:tr>
    </w:tbl>
    <w:p w14:paraId="1524F1CA">
      <w:pPr>
        <w:spacing w:line="360" w:lineRule="auto"/>
        <w:textAlignment w:val="baseline"/>
        <w:outlineLvl w:val="0"/>
        <w:rPr>
          <w:rStyle w:val="28"/>
          <w:rFonts w:ascii="宋体" w:hAnsi="宋体"/>
          <w:color w:val="0C0C0C"/>
          <w:sz w:val="24"/>
          <w:lang w:val="zh-CN"/>
        </w:rPr>
      </w:pPr>
      <w:bookmarkStart w:id="158" w:name="_Toc22389"/>
    </w:p>
    <w:p w14:paraId="63C78833">
      <w:pPr>
        <w:spacing w:line="360" w:lineRule="auto"/>
        <w:textAlignment w:val="baseline"/>
        <w:outlineLvl w:val="0"/>
        <w:rPr>
          <w:rStyle w:val="28"/>
          <w:rFonts w:ascii="宋体" w:hAnsi="宋体"/>
          <w:color w:val="0C0C0C"/>
          <w:sz w:val="24"/>
          <w:lang w:val="zh-CN"/>
        </w:rPr>
      </w:pPr>
    </w:p>
    <w:p w14:paraId="4D375BD6">
      <w:pPr>
        <w:spacing w:line="360" w:lineRule="auto"/>
        <w:textAlignment w:val="baseline"/>
        <w:outlineLvl w:val="0"/>
        <w:rPr>
          <w:rStyle w:val="28"/>
          <w:rFonts w:ascii="宋体"/>
          <w:color w:val="0C0C0C"/>
          <w:sz w:val="24"/>
          <w:lang w:val="zh-CN"/>
        </w:rPr>
      </w:pPr>
      <w:r>
        <w:rPr>
          <w:rStyle w:val="28"/>
          <w:rFonts w:ascii="宋体" w:hAnsi="宋体"/>
          <w:color w:val="0C0C0C"/>
          <w:sz w:val="24"/>
          <w:lang w:val="zh-CN"/>
        </w:rPr>
        <w:t xml:space="preserve">投标人公章：                        </w:t>
      </w:r>
      <w:r>
        <w:rPr>
          <w:rStyle w:val="28"/>
          <w:rFonts w:hint="eastAsia" w:ascii="宋体" w:hAnsi="宋体"/>
          <w:color w:val="0C0C0C"/>
          <w:sz w:val="24"/>
          <w:lang w:val="zh-CN"/>
        </w:rPr>
        <w:t>法人或授权人</w:t>
      </w:r>
      <w:r>
        <w:rPr>
          <w:rStyle w:val="28"/>
          <w:rFonts w:ascii="宋体" w:hAnsi="宋体"/>
          <w:color w:val="0C0C0C"/>
          <w:sz w:val="24"/>
          <w:lang w:val="zh-CN"/>
        </w:rPr>
        <w:t>签字</w:t>
      </w:r>
      <w:r>
        <w:rPr>
          <w:rStyle w:val="28"/>
          <w:rFonts w:hint="eastAsia" w:ascii="宋体" w:hAnsi="宋体"/>
          <w:color w:val="0C0C0C"/>
          <w:sz w:val="24"/>
          <w:lang w:val="zh-CN"/>
        </w:rPr>
        <w:t>或盖章</w:t>
      </w:r>
      <w:r>
        <w:rPr>
          <w:rStyle w:val="28"/>
          <w:rFonts w:ascii="宋体" w:hAnsi="宋体"/>
          <w:color w:val="0C0C0C"/>
          <w:sz w:val="24"/>
          <w:lang w:val="zh-CN"/>
        </w:rPr>
        <w:t>：</w:t>
      </w:r>
      <w:bookmarkEnd w:id="158"/>
    </w:p>
    <w:p w14:paraId="6D14BB9C">
      <w:pPr>
        <w:spacing w:line="360" w:lineRule="auto"/>
        <w:textAlignment w:val="baseline"/>
        <w:rPr>
          <w:rStyle w:val="28"/>
          <w:rFonts w:ascii="宋体"/>
          <w:color w:val="0C0C0C"/>
          <w:sz w:val="24"/>
          <w:lang w:val="zh-CN"/>
        </w:rPr>
      </w:pPr>
    </w:p>
    <w:p w14:paraId="1C84ED9C">
      <w:pPr>
        <w:spacing w:line="360" w:lineRule="auto"/>
        <w:jc w:val="right"/>
        <w:textAlignment w:val="baseline"/>
        <w:outlineLvl w:val="0"/>
        <w:rPr>
          <w:rFonts w:ascii="宋体" w:hAnsi="Calibri"/>
          <w:color w:val="0C0C0C"/>
          <w:sz w:val="24"/>
          <w:szCs w:val="24"/>
          <w:lang w:val="zh-CN"/>
        </w:rPr>
      </w:pPr>
      <w:bookmarkStart w:id="159" w:name="_Toc30492"/>
      <w:r>
        <w:rPr>
          <w:rStyle w:val="28"/>
          <w:rFonts w:ascii="宋体" w:hAnsi="宋体"/>
          <w:color w:val="0C0C0C"/>
          <w:sz w:val="24"/>
          <w:lang w:val="zh-CN"/>
        </w:rPr>
        <w:t>年  月  日</w:t>
      </w:r>
      <w:bookmarkEnd w:id="159"/>
    </w:p>
    <w:p w14:paraId="7F93D087">
      <w:pPr>
        <w:spacing w:before="120" w:after="120" w:line="360" w:lineRule="auto"/>
        <w:textAlignment w:val="baseline"/>
        <w:rPr>
          <w:rStyle w:val="28"/>
          <w:rFonts w:ascii="宋体" w:hAnsi="宋体" w:cs="宋体"/>
          <w:b/>
          <w:bCs/>
          <w:color w:val="0C0C0C"/>
          <w:sz w:val="24"/>
          <w:lang w:val="zh-CN"/>
        </w:rPr>
      </w:pPr>
      <w:r>
        <w:rPr>
          <w:rStyle w:val="28"/>
          <w:rFonts w:ascii="宋体" w:hAnsi="宋体" w:cs="宋体"/>
          <w:b/>
          <w:bCs/>
          <w:color w:val="0C0C0C"/>
          <w:sz w:val="24"/>
          <w:lang w:val="zh-CN"/>
        </w:rPr>
        <w:t>注：：本页&lt;最终报价书&gt;由供应商在现场依</w:t>
      </w:r>
      <w:r>
        <w:rPr>
          <w:rStyle w:val="28"/>
          <w:rFonts w:hint="eastAsia" w:ascii="宋体" w:hAnsi="宋体" w:cs="宋体"/>
          <w:b/>
          <w:bCs/>
          <w:color w:val="0C0C0C"/>
          <w:sz w:val="24"/>
          <w:lang w:val="zh-CN"/>
        </w:rPr>
        <w:t>磋商</w:t>
      </w:r>
      <w:r>
        <w:rPr>
          <w:rStyle w:val="28"/>
          <w:rFonts w:ascii="宋体" w:hAnsi="宋体" w:cs="宋体"/>
          <w:b/>
          <w:bCs/>
          <w:color w:val="0C0C0C"/>
          <w:sz w:val="24"/>
          <w:lang w:val="zh-CN"/>
        </w:rPr>
        <w:t>情况填写，请加盖公章后带至</w:t>
      </w:r>
      <w:r>
        <w:rPr>
          <w:rStyle w:val="28"/>
          <w:rFonts w:hint="eastAsia" w:ascii="宋体" w:hAnsi="宋体" w:cs="宋体"/>
          <w:b/>
          <w:bCs/>
          <w:color w:val="0C0C0C"/>
          <w:sz w:val="24"/>
          <w:lang w:val="zh-CN"/>
        </w:rPr>
        <w:t>磋商</w:t>
      </w:r>
      <w:r>
        <w:rPr>
          <w:rStyle w:val="28"/>
          <w:rFonts w:ascii="宋体" w:hAnsi="宋体" w:cs="宋体"/>
          <w:b/>
          <w:bCs/>
          <w:color w:val="0C0C0C"/>
          <w:sz w:val="24"/>
          <w:lang w:val="zh-CN"/>
        </w:rPr>
        <w:t>现场备填（不需装订在响应文件内），该表供</w:t>
      </w:r>
      <w:r>
        <w:rPr>
          <w:rStyle w:val="28"/>
          <w:rFonts w:hint="eastAsia" w:ascii="宋体" w:hAnsi="宋体" w:cs="宋体"/>
          <w:b/>
          <w:bCs/>
          <w:color w:val="0C0C0C"/>
          <w:sz w:val="24"/>
          <w:lang w:val="zh-CN"/>
        </w:rPr>
        <w:t>磋商</w:t>
      </w:r>
      <w:r>
        <w:rPr>
          <w:rStyle w:val="28"/>
          <w:rFonts w:ascii="宋体" w:hAnsi="宋体" w:cs="宋体"/>
          <w:b/>
          <w:bCs/>
          <w:color w:val="0C0C0C"/>
          <w:sz w:val="24"/>
          <w:lang w:val="zh-CN"/>
        </w:rPr>
        <w:t>现场报价使用，打印该空表用于现场最终报价</w:t>
      </w:r>
      <w:r>
        <w:rPr>
          <w:rStyle w:val="28"/>
          <w:rFonts w:hint="eastAsia" w:ascii="宋体" w:hAnsi="宋体" w:cs="宋体"/>
          <w:b/>
          <w:bCs/>
          <w:color w:val="0C0C0C"/>
          <w:sz w:val="24"/>
          <w:lang w:val="zh-CN"/>
        </w:rPr>
        <w:t>，</w:t>
      </w:r>
      <w:r>
        <w:rPr>
          <w:rStyle w:val="28"/>
          <w:rFonts w:ascii="宋体" w:hAnsi="宋体" w:cs="宋体"/>
          <w:b/>
          <w:bCs/>
          <w:color w:val="0C0C0C"/>
          <w:sz w:val="24"/>
          <w:lang w:val="zh-CN"/>
        </w:rPr>
        <w:t>供应商</w:t>
      </w:r>
      <w:r>
        <w:rPr>
          <w:rStyle w:val="28"/>
          <w:rFonts w:hint="eastAsia" w:ascii="宋体" w:hAnsi="宋体" w:cs="宋体"/>
          <w:b/>
          <w:bCs/>
          <w:color w:val="0C0C0C"/>
          <w:sz w:val="24"/>
          <w:lang w:val="zh-CN"/>
        </w:rPr>
        <w:t>可多准备几份，方便使用</w:t>
      </w:r>
      <w:r>
        <w:rPr>
          <w:rStyle w:val="28"/>
          <w:rFonts w:ascii="宋体" w:hAnsi="宋体" w:cs="宋体"/>
          <w:b/>
          <w:bCs/>
          <w:color w:val="0C0C0C"/>
          <w:sz w:val="24"/>
          <w:lang w:val="zh-CN"/>
        </w:rPr>
        <w:t>。</w:t>
      </w:r>
    </w:p>
    <w:p w14:paraId="739162A1">
      <w:pPr>
        <w:spacing w:before="120" w:after="120" w:line="360" w:lineRule="auto"/>
        <w:textAlignment w:val="baseline"/>
      </w:pPr>
      <w:r>
        <w:rPr>
          <w:rStyle w:val="28"/>
          <w:rFonts w:ascii="宋体" w:hAnsi="宋体" w:cs="宋体"/>
          <w:b/>
          <w:bCs/>
          <w:color w:val="0C0C0C"/>
          <w:sz w:val="24"/>
          <w:lang w:val="zh-CN"/>
        </w:rPr>
        <w:t>考虑投标报价的方便，供应商在填写的最终承诺报价为合同总价，本项目所需费用均包含在合同总价内</w:t>
      </w:r>
      <w:r>
        <w:rPr>
          <w:rStyle w:val="28"/>
          <w:rFonts w:hint="eastAsia" w:ascii="宋体" w:hAnsi="宋体" w:cs="宋体"/>
          <w:b/>
          <w:bCs/>
          <w:color w:val="0C0C0C"/>
          <w:sz w:val="24"/>
          <w:lang w:val="zh-CN"/>
        </w:rPr>
        <w:t>。</w:t>
      </w:r>
    </w:p>
    <w:p w14:paraId="6A6DD99F">
      <w:pPr>
        <w:spacing w:line="440" w:lineRule="exact"/>
        <w:rPr>
          <w:sz w:val="24"/>
          <w:szCs w:val="21"/>
        </w:rPr>
      </w:pPr>
    </w:p>
    <w:p w14:paraId="5D0EF866"/>
    <w:sectPr>
      <w:headerReference r:id="rId5" w:type="default"/>
      <w:footerReference r:id="rId6" w:type="default"/>
      <w:footerReference r:id="rId7" w:type="even"/>
      <w:pgSz w:w="11907" w:h="16840"/>
      <w:pgMar w:top="1440" w:right="1191" w:bottom="1440" w:left="1617" w:header="851" w:footer="1134" w:gutter="0"/>
      <w:cols w:space="720" w:num="1"/>
      <w:docGrid w:linePitch="381" w:charSpace="266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23-05-12T15:29:00Z" w:initials="N">
    <w:p w14:paraId="0C196293">
      <w:pPr>
        <w:pStyle w:val="10"/>
      </w:pPr>
      <w:r>
        <w:rPr>
          <w:rFonts w:hint="eastAsia"/>
        </w:rPr>
        <w:t>招标前应明确在合同中，</w:t>
      </w:r>
    </w:p>
  </w:comment>
  <w:comment w:id="1" w:author="NTKO" w:date="2023-05-12T15:47:00Z" w:initials="N">
    <w:p w14:paraId="145C7D17">
      <w:pPr>
        <w:pStyle w:val="10"/>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196293" w15:done="1"/>
  <w15:commentEx w15:paraId="145C7D17"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DA1F6">
    <w:pPr>
      <w:pStyle w:val="15"/>
      <w:jc w:val="center"/>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3C7381">
                          <w:pPr>
                            <w:pStyle w:val="15"/>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723C7381">
                    <w:pPr>
                      <w:pStyle w:val="15"/>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CCB7A">
    <w:pPr>
      <w:pStyle w:val="15"/>
      <w:framePr w:wrap="around" w:vAnchor="text" w:hAnchor="margin" w:xAlign="center" w:y="1"/>
      <w:rPr>
        <w:rStyle w:val="24"/>
      </w:rPr>
    </w:pPr>
    <w:r>
      <w:fldChar w:fldCharType="begin"/>
    </w:r>
    <w:r>
      <w:rPr>
        <w:rStyle w:val="24"/>
        <w:highlight w:val="white"/>
      </w:rPr>
      <w:instrText xml:space="preserve">PAGE  </w:instrText>
    </w:r>
    <w:r>
      <w:fldChar w:fldCharType="separate"/>
    </w:r>
    <w:r>
      <w:fldChar w:fldCharType="end"/>
    </w:r>
  </w:p>
  <w:p w14:paraId="644340A5">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94004">
    <w:pPr>
      <w:pStyle w:val="16"/>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EE1B7"/>
    <w:multiLevelType w:val="singleLevel"/>
    <w:tmpl w:val="8C3EE1B7"/>
    <w:lvl w:ilvl="0" w:tentative="0">
      <w:start w:val="1"/>
      <w:numFmt w:val="chineseCounting"/>
      <w:suff w:val="nothing"/>
      <w:lvlText w:val="%1、"/>
      <w:lvlJc w:val="left"/>
      <w:rPr>
        <w:rFonts w:hint="eastAsia"/>
      </w:rPr>
    </w:lvl>
  </w:abstractNum>
  <w:abstractNum w:abstractNumId="1">
    <w:nsid w:val="463F0D46"/>
    <w:multiLevelType w:val="singleLevel"/>
    <w:tmpl w:val="463F0D46"/>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WZiZjlhNzA4YTNjNmI0MTY2ODRiNzg5NjU2ZjUifQ=="/>
  </w:docVars>
  <w:rsids>
    <w:rsidRoot w:val="0F860B20"/>
    <w:rsid w:val="00175CBD"/>
    <w:rsid w:val="002558D0"/>
    <w:rsid w:val="002B24E4"/>
    <w:rsid w:val="003510C9"/>
    <w:rsid w:val="003D19B5"/>
    <w:rsid w:val="003E58E6"/>
    <w:rsid w:val="00447685"/>
    <w:rsid w:val="0047611C"/>
    <w:rsid w:val="004F590A"/>
    <w:rsid w:val="0050710A"/>
    <w:rsid w:val="005565B9"/>
    <w:rsid w:val="00562878"/>
    <w:rsid w:val="005E2060"/>
    <w:rsid w:val="006E7C0F"/>
    <w:rsid w:val="007636DA"/>
    <w:rsid w:val="007F2D8D"/>
    <w:rsid w:val="0080106D"/>
    <w:rsid w:val="00814660"/>
    <w:rsid w:val="0082433F"/>
    <w:rsid w:val="0085265C"/>
    <w:rsid w:val="00873420"/>
    <w:rsid w:val="008C6BF1"/>
    <w:rsid w:val="00903AF0"/>
    <w:rsid w:val="00AC6613"/>
    <w:rsid w:val="00BE76E9"/>
    <w:rsid w:val="00C83570"/>
    <w:rsid w:val="00D55E2C"/>
    <w:rsid w:val="00DC3666"/>
    <w:rsid w:val="00DD4D13"/>
    <w:rsid w:val="00DF3A45"/>
    <w:rsid w:val="00DF5588"/>
    <w:rsid w:val="00F12967"/>
    <w:rsid w:val="00F214D2"/>
    <w:rsid w:val="00FD5ECE"/>
    <w:rsid w:val="00FD7AEB"/>
    <w:rsid w:val="028E1FC2"/>
    <w:rsid w:val="04202A9C"/>
    <w:rsid w:val="0B187FED"/>
    <w:rsid w:val="0F860B20"/>
    <w:rsid w:val="146E039E"/>
    <w:rsid w:val="1787433B"/>
    <w:rsid w:val="21716290"/>
    <w:rsid w:val="2B8454B5"/>
    <w:rsid w:val="3DFB3AB6"/>
    <w:rsid w:val="3F4C66FE"/>
    <w:rsid w:val="41527E6F"/>
    <w:rsid w:val="44FA1EA4"/>
    <w:rsid w:val="4C941C89"/>
    <w:rsid w:val="5AD12715"/>
    <w:rsid w:val="60855CE2"/>
    <w:rsid w:val="628A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30"/>
      <w:szCs w:val="44"/>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outlineLvl w:val="4"/>
    </w:pPr>
    <w:rPr>
      <w:rFonts w:ascii="宋体" w:hAnsi="Arial"/>
      <w:bCs/>
      <w:sz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Arial"/>
      <w:sz w:val="28"/>
    </w:rPr>
  </w:style>
  <w:style w:type="paragraph" w:styleId="3">
    <w:name w:val="Date"/>
    <w:basedOn w:val="1"/>
    <w:next w:val="1"/>
    <w:qFormat/>
    <w:uiPriority w:val="99"/>
    <w:rPr>
      <w:rFonts w:ascii="Calibri" w:hAnsi="Calibri"/>
      <w:b/>
      <w:sz w:val="28"/>
    </w:rPr>
  </w:style>
  <w:style w:type="paragraph" w:styleId="9">
    <w:name w:val="Normal Indent"/>
    <w:basedOn w:val="1"/>
    <w:next w:val="1"/>
    <w:qFormat/>
    <w:uiPriority w:val="99"/>
    <w:pPr>
      <w:widowControl/>
      <w:ind w:firstLine="420"/>
      <w:jc w:val="left"/>
    </w:pPr>
    <w:rPr>
      <w:rFonts w:ascii="宋体" w:hAnsi="宋体"/>
      <w:kern w:val="0"/>
      <w:sz w:val="20"/>
      <w:szCs w:val="20"/>
    </w:rPr>
  </w:style>
  <w:style w:type="paragraph" w:styleId="10">
    <w:name w:val="annotation text"/>
    <w:basedOn w:val="1"/>
    <w:qFormat/>
    <w:uiPriority w:val="0"/>
    <w:pPr>
      <w:jc w:val="left"/>
    </w:pPr>
  </w:style>
  <w:style w:type="paragraph" w:styleId="11">
    <w:name w:val="Body Text 3"/>
    <w:basedOn w:val="1"/>
    <w:qFormat/>
    <w:uiPriority w:val="0"/>
    <w:rPr>
      <w:rFonts w:ascii="黑体" w:hAnsi="Arial" w:eastAsia="黑体"/>
      <w:b/>
      <w:sz w:val="28"/>
    </w:rPr>
  </w:style>
  <w:style w:type="paragraph" w:styleId="12">
    <w:name w:val="Body Text Indent"/>
    <w:basedOn w:val="1"/>
    <w:next w:val="13"/>
    <w:qFormat/>
    <w:uiPriority w:val="0"/>
    <w:pPr>
      <w:ind w:firstLine="645"/>
    </w:pPr>
    <w:rPr>
      <w:rFonts w:ascii="楷体_GB2312" w:eastAsia="楷体_GB2312"/>
      <w:sz w:val="32"/>
    </w:rPr>
  </w:style>
  <w:style w:type="paragraph" w:styleId="13">
    <w:name w:val="envelope return"/>
    <w:basedOn w:val="1"/>
    <w:qFormat/>
    <w:uiPriority w:val="0"/>
    <w:pPr>
      <w:snapToGrid w:val="0"/>
    </w:pPr>
    <w:rPr>
      <w:rFonts w:ascii="Arial" w:hAnsi="Arial"/>
    </w:rPr>
  </w:style>
  <w:style w:type="paragraph" w:styleId="14">
    <w:name w:val="Plain Text"/>
    <w:basedOn w:val="1"/>
    <w:link w:val="39"/>
    <w:qFormat/>
    <w:uiPriority w:val="0"/>
    <w:rPr>
      <w:rFonts w:ascii="宋体" w:hAnsi="Courier New"/>
    </w:rPr>
  </w:style>
  <w:style w:type="paragraph" w:styleId="15">
    <w:name w:val="footer"/>
    <w:basedOn w:val="1"/>
    <w:qFormat/>
    <w:uiPriority w:val="99"/>
    <w:pPr>
      <w:tabs>
        <w:tab w:val="center" w:pos="4153"/>
        <w:tab w:val="right" w:pos="8306"/>
      </w:tabs>
      <w:snapToGrid w:val="0"/>
      <w:jc w:val="left"/>
    </w:pPr>
    <w:rPr>
      <w:rFonts w:ascii="Calibri" w:hAnsi="Calibri"/>
      <w:sz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17">
    <w:name w:val="toc 1"/>
    <w:basedOn w:val="1"/>
    <w:next w:val="1"/>
    <w:qFormat/>
    <w:uiPriority w:val="39"/>
    <w:pPr>
      <w:tabs>
        <w:tab w:val="right" w:leader="dot" w:pos="9403"/>
      </w:tabs>
      <w:spacing w:before="120" w:after="120"/>
      <w:jc w:val="left"/>
    </w:pPr>
    <w:rPr>
      <w:rFonts w:ascii="宋体"/>
      <w:caps/>
      <w:sz w:val="28"/>
      <w:szCs w:val="28"/>
    </w:rPr>
  </w:style>
  <w:style w:type="paragraph" w:styleId="18">
    <w:name w:val="toc 2"/>
    <w:basedOn w:val="1"/>
    <w:next w:val="1"/>
    <w:qFormat/>
    <w:uiPriority w:val="39"/>
    <w:pPr>
      <w:ind w:left="210"/>
      <w:jc w:val="left"/>
    </w:pPr>
    <w:rPr>
      <w:smallCaps/>
      <w:sz w:val="28"/>
      <w:szCs w:val="24"/>
    </w:r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0">
    <w:name w:val="Body Text First Indent"/>
    <w:basedOn w:val="2"/>
    <w:next w:val="1"/>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21">
    <w:name w:val="Body Text First Indent 2"/>
    <w:basedOn w:val="12"/>
    <w:next w:val="20"/>
    <w:qFormat/>
    <w:uiPriority w:val="0"/>
    <w:pPr>
      <w:spacing w:line="360" w:lineRule="auto"/>
      <w:ind w:firstLine="200" w:firstLineChars="200"/>
    </w:pPr>
    <w:rPr>
      <w:rFonts w:ascii="宋体" w:eastAsia="宋体"/>
      <w:szCs w:val="20"/>
    </w:rPr>
  </w:style>
  <w:style w:type="character" w:styleId="24">
    <w:name w:val="page number"/>
    <w:qFormat/>
    <w:uiPriority w:val="99"/>
  </w:style>
  <w:style w:type="character" w:styleId="25">
    <w:name w:val="Hyperlink"/>
    <w:basedOn w:val="23"/>
    <w:qFormat/>
    <w:uiPriority w:val="0"/>
    <w:rPr>
      <w:color w:val="0563C1"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paragraph" w:customStyle="1" w:styleId="27">
    <w:name w:val="Table Paragraph"/>
    <w:basedOn w:val="1"/>
    <w:qFormat/>
    <w:uiPriority w:val="1"/>
    <w:rPr>
      <w:rFonts w:ascii="宋体" w:hAnsi="宋体" w:cs="宋体"/>
      <w:lang w:val="zh-CN" w:bidi="zh-CN"/>
    </w:rPr>
  </w:style>
  <w:style w:type="character" w:customStyle="1" w:styleId="28">
    <w:name w:val="NormalCharacter"/>
    <w:semiHidden/>
    <w:qFormat/>
    <w:uiPriority w:val="0"/>
    <w:rPr>
      <w:rFonts w:ascii="Calibri" w:hAnsi="Calibri" w:eastAsia="宋体" w:cs="Times New Roman"/>
      <w:kern w:val="2"/>
      <w:sz w:val="21"/>
      <w:szCs w:val="24"/>
      <w:lang w:val="en-US" w:eastAsia="zh-CN" w:bidi="ar-SA"/>
    </w:rPr>
  </w:style>
  <w:style w:type="paragraph" w:customStyle="1" w:styleId="29">
    <w:name w:val="样式3"/>
    <w:basedOn w:val="14"/>
    <w:qFormat/>
    <w:uiPriority w:val="99"/>
    <w:pPr>
      <w:spacing w:line="240" w:lineRule="atLeast"/>
      <w:outlineLvl w:val="0"/>
    </w:pPr>
    <w:rPr>
      <w:sz w:val="28"/>
      <w:szCs w:val="20"/>
    </w:rPr>
  </w:style>
  <w:style w:type="paragraph" w:customStyle="1" w:styleId="30">
    <w:name w:val="Normal1"/>
    <w:qFormat/>
    <w:uiPriority w:val="0"/>
    <w:pPr>
      <w:widowControl w:val="0"/>
      <w:adjustRightInd w:val="0"/>
      <w:spacing w:line="312" w:lineRule="atLeast"/>
      <w:jc w:val="both"/>
      <w:textAlignment w:val="baseline"/>
    </w:pPr>
    <w:rPr>
      <w:rFonts w:ascii="@仿宋_GB2312" w:hAnsi="@仿宋_GB2312" w:eastAsia="@仿宋_GB2312" w:cs="@仿宋_GB2312"/>
      <w:sz w:val="24"/>
      <w:lang w:val="en-US" w:eastAsia="zh-CN" w:bidi="ar-SA"/>
    </w:rPr>
  </w:style>
  <w:style w:type="paragraph" w:customStyle="1" w:styleId="31">
    <w:name w:val="PlainText"/>
    <w:basedOn w:val="1"/>
    <w:qFormat/>
    <w:uiPriority w:val="0"/>
    <w:pPr>
      <w:textAlignment w:val="baseline"/>
    </w:pPr>
    <w:rPr>
      <w:rFonts w:ascii="宋体" w:hAnsi="Courier New"/>
      <w:szCs w:val="21"/>
    </w:rPr>
  </w:style>
  <w:style w:type="paragraph" w:customStyle="1" w:styleId="32">
    <w:name w:val="BodyText1I2"/>
    <w:basedOn w:val="33"/>
    <w:qFormat/>
    <w:uiPriority w:val="0"/>
    <w:pPr>
      <w:ind w:firstLine="420" w:firstLineChars="200"/>
    </w:pPr>
  </w:style>
  <w:style w:type="paragraph" w:customStyle="1" w:styleId="33">
    <w:name w:val="BodyTextIndent"/>
    <w:basedOn w:val="1"/>
    <w:next w:val="34"/>
    <w:qFormat/>
    <w:uiPriority w:val="0"/>
    <w:pPr>
      <w:ind w:firstLine="540"/>
      <w:textAlignment w:val="baseline"/>
    </w:pPr>
    <w:rPr>
      <w:b/>
      <w:sz w:val="32"/>
      <w:szCs w:val="20"/>
    </w:rPr>
  </w:style>
  <w:style w:type="paragraph" w:customStyle="1" w:styleId="34">
    <w:name w:val="EnvelopeReturn"/>
    <w:basedOn w:val="1"/>
    <w:qFormat/>
    <w:uiPriority w:val="0"/>
    <w:pPr>
      <w:snapToGrid w:val="0"/>
      <w:textAlignment w:val="baseline"/>
    </w:pPr>
    <w:rPr>
      <w:rFonts w:ascii="Arial" w:hAnsi="Arial"/>
      <w:szCs w:val="24"/>
    </w:rPr>
  </w:style>
  <w:style w:type="paragraph" w:customStyle="1" w:styleId="35">
    <w:name w:val="HtmlNormal"/>
    <w:basedOn w:val="1"/>
    <w:qFormat/>
    <w:uiPriority w:val="0"/>
    <w:pPr>
      <w:widowControl/>
      <w:spacing w:before="100" w:beforeAutospacing="1" w:after="100" w:afterAutospacing="1"/>
      <w:jc w:val="left"/>
      <w:textAlignment w:val="baseline"/>
    </w:pPr>
    <w:rPr>
      <w:rFonts w:ascii="Arial Unicode MS" w:hAnsi="Arial Unicode MS" w:eastAsia="Arial Unicode MS"/>
      <w:kern w:val="0"/>
      <w:sz w:val="24"/>
      <w:szCs w:val="24"/>
    </w:rPr>
  </w:style>
  <w:style w:type="paragraph" w:customStyle="1" w:styleId="36">
    <w:name w:val="Heading3"/>
    <w:basedOn w:val="1"/>
    <w:next w:val="1"/>
    <w:qFormat/>
    <w:uiPriority w:val="0"/>
    <w:pPr>
      <w:widowControl/>
      <w:spacing w:before="100" w:beforeAutospacing="1" w:after="100" w:afterAutospacing="1"/>
      <w:jc w:val="left"/>
      <w:textAlignment w:val="baseline"/>
    </w:pPr>
    <w:rPr>
      <w:rFonts w:ascii="Arial Unicode MS" w:hAnsi="Arial Unicode MS" w:eastAsia="Arial Unicode MS" w:cs="Arial Unicode MS"/>
      <w:b/>
      <w:bCs/>
      <w:kern w:val="0"/>
      <w:sz w:val="27"/>
      <w:szCs w:val="27"/>
    </w:rPr>
  </w:style>
  <w:style w:type="character" w:customStyle="1" w:styleId="37">
    <w:name w:val="未处理的提及1"/>
    <w:basedOn w:val="23"/>
    <w:semiHidden/>
    <w:unhideWhenUsed/>
    <w:qFormat/>
    <w:uiPriority w:val="99"/>
    <w:rPr>
      <w:color w:val="605E5C"/>
      <w:shd w:val="clear" w:color="auto" w:fill="E1DFDD"/>
    </w:rPr>
  </w:style>
  <w:style w:type="paragraph" w:styleId="38">
    <w:name w:val="List Paragraph"/>
    <w:basedOn w:val="1"/>
    <w:qFormat/>
    <w:uiPriority w:val="99"/>
    <w:pPr>
      <w:ind w:firstLine="420" w:firstLineChars="200"/>
    </w:pPr>
  </w:style>
  <w:style w:type="character" w:customStyle="1" w:styleId="39">
    <w:name w:val="纯文本 字符"/>
    <w:link w:val="14"/>
    <w:qFormat/>
    <w:uiPriority w:val="0"/>
    <w:rPr>
      <w:rFonts w:ascii="宋体" w:hAnsi="Courier New"/>
      <w:kern w:val="2"/>
      <w:sz w:val="21"/>
      <w:szCs w:val="22"/>
    </w:rPr>
  </w:style>
  <w:style w:type="character" w:customStyle="1" w:styleId="40">
    <w:name w:val="标题 2 Char Char"/>
    <w:qFormat/>
    <w:uiPriority w:val="0"/>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20217</Words>
  <Characters>21341</Characters>
  <Lines>178</Lines>
  <Paragraphs>50</Paragraphs>
  <TotalTime>98</TotalTime>
  <ScaleCrop>false</ScaleCrop>
  <LinksUpToDate>false</LinksUpToDate>
  <CharactersWithSpaces>23614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2022-11-15T06:39:00Z</dcterms:created>
  <dc:creator>Administrator</dc:creator>
  <cp:lastModifiedBy>There</cp:lastModifiedBy>
  <dcterms:modified xsi:type="dcterms:W3CDTF">2025-02-25T00:29:09Z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5EFE524FC4FC47B883862886FE649C04</vt:lpwstr>
  </property>
  <property fmtid="{D5CDD505-2E9C-101B-9397-08002B2CF9AE}" pid="4" name="KSOTemplateDocerSaveRecord">
    <vt:lpwstr>eyJoZGlkIjoiNTJhMWQ5MmFjNWJhZGNjZjQxNTdlMjQzYjkzMjcwMTIiLCJ1c2VySWQiOiIxMTc5NDc1NTkwIn0=</vt:lpwstr>
  </property>
</Properties>
</file>