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3CA4">
      <w:pPr>
        <w:spacing w:line="360" w:lineRule="auto"/>
        <w:ind w:right="240"/>
        <w:jc w:val="left"/>
        <w:rPr>
          <w:rFonts w:hint="eastAsia" w:ascii="宋体" w:hAnsi="宋体"/>
          <w:b/>
          <w:bCs/>
          <w:sz w:val="36"/>
          <w:szCs w:val="36"/>
          <w:u w:val="single"/>
        </w:rPr>
      </w:pPr>
      <w:r>
        <w:rPr>
          <w:rFonts w:hint="eastAsia" w:ascii="宋体" w:hAnsi="宋体"/>
          <w:sz w:val="28"/>
          <w:szCs w:val="28"/>
        </w:rPr>
        <w:t>项目编号：XTYCG2022-0604</w:t>
      </w:r>
      <w:r>
        <w:rPr>
          <w:rFonts w:hint="eastAsia" w:ascii="宋体" w:hAnsi="宋体"/>
          <w:sz w:val="24"/>
          <w:szCs w:val="24"/>
        </w:rPr>
        <w:t xml:space="preserve">                                                     </w:t>
      </w:r>
    </w:p>
    <w:p w14:paraId="2F0A33CA">
      <w:pPr>
        <w:spacing w:after="265" w:afterLines="50" w:line="600" w:lineRule="exact"/>
        <w:ind w:right="-153" w:rightChars="-73"/>
        <w:jc w:val="center"/>
        <w:rPr>
          <w:rFonts w:hint="eastAsia" w:ascii="宋体" w:hAnsi="宋体"/>
          <w:b/>
          <w:color w:val="000000"/>
          <w:sz w:val="52"/>
          <w:szCs w:val="52"/>
        </w:rPr>
      </w:pPr>
    </w:p>
    <w:p w14:paraId="04B89857">
      <w:pPr>
        <w:spacing w:after="265" w:afterLines="50" w:line="600" w:lineRule="exact"/>
        <w:ind w:right="-153" w:rightChars="-73"/>
        <w:jc w:val="center"/>
        <w:rPr>
          <w:rFonts w:hint="eastAsia" w:ascii="宋体" w:hAnsi="宋体"/>
          <w:b/>
          <w:color w:val="000000"/>
          <w:sz w:val="52"/>
          <w:szCs w:val="52"/>
        </w:rPr>
      </w:pPr>
    </w:p>
    <w:p w14:paraId="60D4EBD6">
      <w:pPr>
        <w:spacing w:after="265" w:afterLines="50" w:line="600" w:lineRule="exact"/>
        <w:ind w:right="-153" w:rightChars="-73"/>
        <w:jc w:val="center"/>
        <w:rPr>
          <w:rFonts w:hint="eastAsia" w:ascii="宋体" w:hAnsi="宋体" w:eastAsia="宋体"/>
          <w:b/>
          <w:color w:val="000000"/>
          <w:sz w:val="48"/>
          <w:szCs w:val="48"/>
          <w:lang w:eastAsia="zh-CN"/>
        </w:rPr>
      </w:pPr>
      <w:r>
        <w:rPr>
          <w:rFonts w:hint="eastAsia" w:ascii="宋体" w:hAnsi="宋体"/>
          <w:b/>
          <w:color w:val="000000"/>
          <w:sz w:val="48"/>
          <w:szCs w:val="48"/>
        </w:rPr>
        <w:t>淮南农场有限公司林网规划设计</w:t>
      </w:r>
      <w:r>
        <w:rPr>
          <w:rFonts w:hint="eastAsia" w:ascii="宋体" w:hAnsi="宋体"/>
          <w:b/>
          <w:color w:val="000000"/>
          <w:sz w:val="48"/>
          <w:szCs w:val="48"/>
          <w:lang w:eastAsia="zh-CN"/>
        </w:rPr>
        <w:t>项目</w:t>
      </w:r>
    </w:p>
    <w:p w14:paraId="0F3C6F83">
      <w:pPr>
        <w:jc w:val="center"/>
        <w:rPr>
          <w:rFonts w:ascii="宋体" w:hAnsi="宋体"/>
          <w:b/>
          <w:bCs/>
          <w:sz w:val="32"/>
          <w:szCs w:val="32"/>
        </w:rPr>
      </w:pPr>
      <w:r>
        <w:rPr>
          <w:rFonts w:hint="eastAsia" w:ascii="宋体" w:hAnsi="宋体"/>
          <w:b/>
          <w:bCs/>
          <w:sz w:val="32"/>
          <w:szCs w:val="32"/>
        </w:rPr>
        <w:t xml:space="preserve"> </w:t>
      </w:r>
    </w:p>
    <w:p w14:paraId="71D05D6B">
      <w:pPr>
        <w:spacing w:line="360" w:lineRule="auto"/>
        <w:jc w:val="center"/>
        <w:rPr>
          <w:rFonts w:ascii="宋体" w:hAnsi="宋体"/>
          <w:b/>
          <w:bCs/>
          <w:sz w:val="32"/>
          <w:szCs w:val="32"/>
        </w:rPr>
      </w:pPr>
      <w:r>
        <w:rPr>
          <w:rFonts w:hint="eastAsia" w:ascii="宋体" w:hAnsi="宋体"/>
          <w:sz w:val="84"/>
          <w:szCs w:val="84"/>
        </w:rPr>
        <w:t>竞争性磋商文件</w:t>
      </w:r>
    </w:p>
    <w:p w14:paraId="080F30DC">
      <w:pPr>
        <w:spacing w:line="360" w:lineRule="auto"/>
        <w:jc w:val="center"/>
        <w:rPr>
          <w:rFonts w:ascii="宋体" w:hAnsi="宋体"/>
          <w:b/>
          <w:bCs/>
          <w:sz w:val="32"/>
          <w:szCs w:val="32"/>
        </w:rPr>
      </w:pPr>
      <w:r>
        <w:rPr>
          <w:rFonts w:ascii="宋体" w:hAnsi="宋体"/>
          <w:b/>
          <w:sz w:val="32"/>
          <w:szCs w:val="32"/>
        </w:rPr>
        <w:drawing>
          <wp:inline distT="0" distB="0" distL="114300" distR="114300">
            <wp:extent cx="1295400" cy="1400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295400" cy="1400175"/>
                    </a:xfrm>
                    <a:prstGeom prst="rect">
                      <a:avLst/>
                    </a:prstGeom>
                    <a:noFill/>
                    <a:ln>
                      <a:noFill/>
                    </a:ln>
                  </pic:spPr>
                </pic:pic>
              </a:graphicData>
            </a:graphic>
          </wp:inline>
        </w:drawing>
      </w:r>
    </w:p>
    <w:p w14:paraId="3C74E7D3">
      <w:pPr>
        <w:spacing w:line="360" w:lineRule="auto"/>
        <w:jc w:val="center"/>
        <w:rPr>
          <w:rFonts w:ascii="宋体" w:hAnsi="宋体"/>
          <w:b/>
          <w:bCs/>
          <w:sz w:val="32"/>
          <w:szCs w:val="32"/>
        </w:rPr>
      </w:pPr>
    </w:p>
    <w:p w14:paraId="65E69B23">
      <w:pPr>
        <w:tabs>
          <w:tab w:val="center" w:pos="4818"/>
        </w:tabs>
        <w:spacing w:line="360" w:lineRule="auto"/>
        <w:ind w:firstLine="1120" w:firstLineChars="350"/>
        <w:rPr>
          <w:rFonts w:hint="eastAsia" w:ascii="宋体" w:hAnsi="宋体"/>
          <w:color w:val="000000"/>
          <w:sz w:val="32"/>
          <w:szCs w:val="32"/>
          <w:u w:val="single"/>
        </w:rPr>
      </w:pPr>
      <w:r>
        <w:rPr>
          <w:rFonts w:hint="eastAsia" w:ascii="宋体" w:hAnsi="宋体"/>
          <w:color w:val="000000"/>
          <w:sz w:val="32"/>
          <w:szCs w:val="32"/>
        </w:rPr>
        <w:t>招   标   人：</w:t>
      </w:r>
      <w:r>
        <w:rPr>
          <w:rFonts w:hint="eastAsia" w:ascii="宋体" w:hAnsi="宋体"/>
          <w:color w:val="000000"/>
          <w:sz w:val="32"/>
          <w:szCs w:val="32"/>
          <w:u w:val="single"/>
        </w:rPr>
        <w:t>安徽省农垦集团淮南农场有限公司</w:t>
      </w:r>
    </w:p>
    <w:p w14:paraId="14DAC70B">
      <w:pPr>
        <w:pStyle w:val="18"/>
      </w:pPr>
    </w:p>
    <w:p w14:paraId="06FE4595">
      <w:pPr>
        <w:tabs>
          <w:tab w:val="center" w:pos="4818"/>
        </w:tabs>
        <w:spacing w:line="360" w:lineRule="auto"/>
        <w:ind w:firstLine="1120" w:firstLineChars="350"/>
        <w:rPr>
          <w:rFonts w:hint="eastAsia" w:ascii="宋体" w:hAnsi="宋体"/>
          <w:color w:val="000000"/>
          <w:sz w:val="32"/>
          <w:szCs w:val="32"/>
          <w:u w:val="single"/>
        </w:rPr>
      </w:pPr>
      <w:r>
        <w:rPr>
          <w:rFonts w:hint="eastAsia" w:ascii="宋体" w:hAnsi="宋体"/>
          <w:color w:val="000000"/>
          <w:sz w:val="32"/>
          <w:szCs w:val="32"/>
        </w:rPr>
        <w:t>招标代理机构：</w:t>
      </w:r>
      <w:r>
        <w:rPr>
          <w:rFonts w:hint="eastAsia" w:ascii="宋体" w:hAnsi="宋体"/>
          <w:color w:val="000000"/>
          <w:sz w:val="32"/>
          <w:szCs w:val="32"/>
          <w:u w:val="single"/>
        </w:rPr>
        <w:t>安徽新天源建设咨询有限公司</w:t>
      </w:r>
    </w:p>
    <w:p w14:paraId="1288776A">
      <w:pPr>
        <w:spacing w:line="500" w:lineRule="exact"/>
        <w:jc w:val="center"/>
        <w:rPr>
          <w:rFonts w:ascii="宋体" w:hAnsi="宋体"/>
          <w:b/>
          <w:bCs/>
          <w:color w:val="000000"/>
          <w:sz w:val="32"/>
        </w:rPr>
      </w:pPr>
    </w:p>
    <w:p w14:paraId="25BAB37A">
      <w:pPr>
        <w:spacing w:line="500" w:lineRule="exact"/>
        <w:jc w:val="center"/>
        <w:rPr>
          <w:rFonts w:ascii="宋体" w:hAnsi="宋体"/>
          <w:color w:val="000000"/>
          <w:sz w:val="32"/>
        </w:rPr>
      </w:pPr>
    </w:p>
    <w:p w14:paraId="716B6CF9">
      <w:pPr>
        <w:spacing w:line="360" w:lineRule="auto"/>
        <w:jc w:val="center"/>
        <w:rPr>
          <w:rFonts w:ascii="宋体" w:hAnsi="宋体"/>
          <w:b/>
          <w:bCs/>
          <w:sz w:val="32"/>
          <w:szCs w:val="32"/>
        </w:rPr>
      </w:pPr>
      <w:r>
        <w:rPr>
          <w:rFonts w:hint="eastAsia" w:ascii="宋体" w:hAnsi="宋体"/>
          <w:color w:val="000000"/>
          <w:sz w:val="32"/>
        </w:rPr>
        <w:t>日  期</w:t>
      </w:r>
      <w:r>
        <w:rPr>
          <w:rFonts w:hint="eastAsia" w:ascii="宋体" w:hAnsi="宋体" w:cs="Malgun Gothic Semilight"/>
          <w:color w:val="000000"/>
          <w:sz w:val="32"/>
        </w:rPr>
        <w:t>：</w:t>
      </w:r>
      <w:r>
        <w:rPr>
          <w:rFonts w:hint="eastAsia" w:ascii="宋体" w:hAnsi="宋体"/>
          <w:color w:val="000000"/>
          <w:sz w:val="32"/>
        </w:rPr>
        <w:t xml:space="preserve">二0二二年六月 </w:t>
      </w:r>
    </w:p>
    <w:p w14:paraId="7096B231">
      <w:pPr>
        <w:spacing w:line="500" w:lineRule="exact"/>
        <w:jc w:val="center"/>
        <w:rPr>
          <w:rFonts w:hint="eastAsia" w:ascii="宋体" w:hAnsi="宋体"/>
          <w:b/>
          <w:bCs/>
          <w:sz w:val="32"/>
          <w:szCs w:val="32"/>
          <w:highlight w:val="white"/>
        </w:rPr>
      </w:pPr>
    </w:p>
    <w:p w14:paraId="7A22F538">
      <w:pPr>
        <w:spacing w:line="500" w:lineRule="exact"/>
        <w:jc w:val="center"/>
        <w:rPr>
          <w:rFonts w:ascii="宋体" w:hAnsi="宋体"/>
          <w:b/>
          <w:bCs/>
          <w:sz w:val="32"/>
          <w:szCs w:val="32"/>
        </w:rPr>
      </w:pPr>
      <w:r>
        <w:rPr>
          <w:rFonts w:hint="eastAsia" w:ascii="宋体" w:hAnsi="宋体"/>
          <w:b/>
          <w:bCs/>
          <w:sz w:val="32"/>
          <w:szCs w:val="32"/>
          <w:highlight w:val="white"/>
        </w:rPr>
        <w:t>目  录</w:t>
      </w:r>
    </w:p>
    <w:p w14:paraId="42EE229C">
      <w:pPr>
        <w:pStyle w:val="15"/>
        <w:jc w:val="left"/>
        <w:rPr>
          <w:rFonts w:hAnsi="宋体"/>
        </w:rPr>
      </w:pPr>
      <w:bookmarkStart w:id="0" w:name="_Hlt519045295"/>
      <w:bookmarkEnd w:id="0"/>
      <w:bookmarkStart w:id="1" w:name="_Hlt533241375"/>
      <w:bookmarkEnd w:id="1"/>
      <w:bookmarkStart w:id="2" w:name="_Hlt526418134"/>
      <w:bookmarkEnd w:id="2"/>
    </w:p>
    <w:p w14:paraId="15571666">
      <w:pPr>
        <w:pStyle w:val="15"/>
        <w:ind w:firstLine="840" w:firstLineChars="300"/>
        <w:jc w:val="left"/>
        <w:rPr>
          <w:rFonts w:hint="eastAsia" w:hAnsi="宋体"/>
          <w:caps w:val="0"/>
        </w:rPr>
      </w:pPr>
      <w:r>
        <w:rPr>
          <w:rFonts w:hAnsi="宋体"/>
        </w:rPr>
        <w:fldChar w:fldCharType="begin"/>
      </w:r>
      <w:r>
        <w:rPr>
          <w:rFonts w:hAnsi="宋体"/>
        </w:rPr>
        <w:instrText xml:space="preserve"> HYPERLINK "" \l "_Toc456249675" </w:instrText>
      </w:r>
      <w:r>
        <w:rPr>
          <w:rFonts w:hAnsi="宋体"/>
        </w:rPr>
        <w:fldChar w:fldCharType="separate"/>
      </w:r>
      <w:r>
        <w:rPr>
          <w:rStyle w:val="22"/>
          <w:rFonts w:hint="eastAsia" w:ascii="宋体" w:hAnsi="宋体"/>
          <w:color w:val="auto"/>
        </w:rPr>
        <w:t>第一章  竞争性磋商公告</w:t>
      </w:r>
      <w:r>
        <w:rPr>
          <w:rStyle w:val="21"/>
          <w:rFonts w:hint="eastAsia" w:ascii="宋体" w:hAnsi="宋体"/>
          <w:color w:val="auto"/>
        </w:rPr>
        <w:tab/>
      </w:r>
      <w:r>
        <w:rPr>
          <w:rStyle w:val="21"/>
          <w:rFonts w:hint="eastAsia" w:ascii="宋体" w:hAnsi="宋体"/>
          <w:color w:val="auto"/>
        </w:rPr>
        <w:t>3</w:t>
      </w:r>
      <w:r>
        <w:rPr>
          <w:rFonts w:hAnsi="宋体"/>
        </w:rPr>
        <w:fldChar w:fldCharType="end"/>
      </w:r>
      <w:r>
        <w:rPr>
          <w:rFonts w:hint="eastAsia" w:hAnsi="宋体"/>
        </w:rPr>
        <w:t>-5</w:t>
      </w:r>
    </w:p>
    <w:p w14:paraId="2F22D399">
      <w:pPr>
        <w:pStyle w:val="15"/>
        <w:ind w:firstLine="840" w:firstLineChars="300"/>
        <w:jc w:val="left"/>
        <w:rPr>
          <w:rFonts w:hAnsi="宋体"/>
          <w:caps w:val="0"/>
        </w:rPr>
      </w:pPr>
      <w:r>
        <w:rPr>
          <w:rFonts w:hint="eastAsia" w:hAnsi="宋体"/>
        </w:rPr>
        <w:fldChar w:fldCharType="begin"/>
      </w:r>
      <w:r>
        <w:rPr>
          <w:rFonts w:hAnsi="宋体"/>
        </w:rPr>
        <w:instrText xml:space="preserve"> HYPERLINK \l "_Toc456249676" </w:instrText>
      </w:r>
      <w:r>
        <w:rPr>
          <w:rFonts w:hint="eastAsia" w:hAnsi="宋体"/>
        </w:rPr>
        <w:fldChar w:fldCharType="separate"/>
      </w:r>
      <w:r>
        <w:rPr>
          <w:rStyle w:val="22"/>
          <w:rFonts w:hint="eastAsia" w:ascii="宋体" w:hAnsi="宋体"/>
          <w:color w:val="auto"/>
        </w:rPr>
        <w:t>第二章 磋商须知前附表及磋商须知</w:t>
      </w:r>
      <w:r>
        <w:rPr>
          <w:rStyle w:val="21"/>
          <w:rFonts w:hint="eastAsia" w:ascii="宋体" w:hAnsi="宋体"/>
          <w:color w:val="auto"/>
        </w:rPr>
        <w:tab/>
      </w:r>
      <w:r>
        <w:rPr>
          <w:rStyle w:val="21"/>
          <w:rFonts w:hint="eastAsia" w:hAnsi="宋体"/>
          <w:color w:val="auto"/>
        </w:rPr>
        <w:t>6</w:t>
      </w:r>
      <w:r>
        <w:rPr>
          <w:rFonts w:hint="eastAsia" w:hAnsi="宋体"/>
        </w:rPr>
        <w:fldChar w:fldCharType="end"/>
      </w:r>
      <w:r>
        <w:rPr>
          <w:rFonts w:hint="eastAsia" w:hAnsi="宋体"/>
        </w:rPr>
        <w:t>-7</w:t>
      </w:r>
    </w:p>
    <w:p w14:paraId="7146B2EE">
      <w:pPr>
        <w:pStyle w:val="15"/>
        <w:ind w:firstLine="840" w:firstLineChars="300"/>
        <w:jc w:val="left"/>
        <w:rPr>
          <w:rFonts w:hAnsi="宋体"/>
          <w:caps w:val="0"/>
        </w:rPr>
      </w:pPr>
      <w:r>
        <w:rPr>
          <w:rFonts w:hint="eastAsia" w:hAnsi="宋体"/>
        </w:rPr>
        <w:fldChar w:fldCharType="begin"/>
      </w:r>
      <w:r>
        <w:rPr>
          <w:rFonts w:hAnsi="宋体"/>
        </w:rPr>
        <w:instrText xml:space="preserve"> HYPERLINK \l "_Toc456249678" </w:instrText>
      </w:r>
      <w:r>
        <w:rPr>
          <w:rFonts w:hint="eastAsia" w:hAnsi="宋体"/>
        </w:rPr>
        <w:fldChar w:fldCharType="separate"/>
      </w:r>
      <w:r>
        <w:rPr>
          <w:rStyle w:val="22"/>
          <w:rFonts w:hint="eastAsia" w:ascii="宋体" w:hAnsi="宋体"/>
          <w:color w:val="auto"/>
        </w:rPr>
        <w:t>第三章 采购需求</w:t>
      </w:r>
      <w:r>
        <w:rPr>
          <w:rStyle w:val="21"/>
          <w:rFonts w:hint="eastAsia" w:ascii="宋体" w:hAnsi="宋体"/>
          <w:color w:val="auto"/>
        </w:rPr>
        <w:tab/>
      </w:r>
      <w:r>
        <w:rPr>
          <w:rStyle w:val="21"/>
          <w:rFonts w:hint="eastAsia" w:hAnsi="宋体"/>
          <w:color w:val="auto"/>
        </w:rPr>
        <w:t>8</w:t>
      </w:r>
      <w:r>
        <w:rPr>
          <w:rFonts w:hint="eastAsia" w:hAnsi="宋体"/>
        </w:rPr>
        <w:fldChar w:fldCharType="end"/>
      </w:r>
    </w:p>
    <w:p w14:paraId="3AA38DF3">
      <w:pPr>
        <w:pStyle w:val="15"/>
        <w:ind w:firstLine="840" w:firstLineChars="300"/>
        <w:jc w:val="left"/>
        <w:rPr>
          <w:rFonts w:hint="eastAsia" w:hAnsi="宋体"/>
          <w:caps w:val="0"/>
        </w:rPr>
      </w:pPr>
      <w:r>
        <w:rPr>
          <w:rFonts w:hint="eastAsia" w:hAnsi="宋体"/>
        </w:rPr>
        <w:fldChar w:fldCharType="begin"/>
      </w:r>
      <w:r>
        <w:rPr>
          <w:rFonts w:hAnsi="宋体"/>
        </w:rPr>
        <w:instrText xml:space="preserve"> HYPERLINK \l "_Toc456249679" </w:instrText>
      </w:r>
      <w:r>
        <w:rPr>
          <w:rFonts w:hint="eastAsia" w:hAnsi="宋体"/>
        </w:rPr>
        <w:fldChar w:fldCharType="separate"/>
      </w:r>
      <w:r>
        <w:rPr>
          <w:rStyle w:val="22"/>
          <w:rFonts w:hint="eastAsia" w:ascii="宋体" w:hAnsi="宋体"/>
          <w:color w:val="auto"/>
        </w:rPr>
        <w:t>第四章 评标办法</w:t>
      </w:r>
      <w:r>
        <w:rPr>
          <w:rStyle w:val="21"/>
          <w:rFonts w:hint="eastAsia" w:ascii="宋体" w:hAnsi="宋体"/>
          <w:color w:val="auto"/>
        </w:rPr>
        <w:tab/>
      </w:r>
      <w:r>
        <w:rPr>
          <w:rStyle w:val="21"/>
          <w:rFonts w:hint="eastAsia" w:hAnsi="宋体"/>
          <w:color w:val="auto"/>
        </w:rPr>
        <w:t>9</w:t>
      </w:r>
      <w:r>
        <w:rPr>
          <w:rFonts w:hint="eastAsia" w:hAnsi="宋体"/>
        </w:rPr>
        <w:fldChar w:fldCharType="end"/>
      </w:r>
      <w:r>
        <w:rPr>
          <w:rFonts w:hint="eastAsia" w:hAnsi="宋体"/>
        </w:rPr>
        <w:t>-15</w:t>
      </w:r>
    </w:p>
    <w:p w14:paraId="599D8ED3">
      <w:pPr>
        <w:pStyle w:val="15"/>
        <w:ind w:firstLine="840" w:firstLineChars="300"/>
        <w:jc w:val="left"/>
        <w:rPr>
          <w:rFonts w:hint="eastAsia" w:hAnsi="宋体"/>
          <w:caps w:val="0"/>
        </w:rPr>
      </w:pPr>
      <w:r>
        <w:rPr>
          <w:rFonts w:hint="eastAsia" w:hAnsi="宋体"/>
        </w:rPr>
        <w:fldChar w:fldCharType="begin"/>
      </w:r>
      <w:r>
        <w:rPr>
          <w:rFonts w:hAnsi="宋体"/>
        </w:rPr>
        <w:instrText xml:space="preserve"> HYPERLINK \l "_Toc456249680" </w:instrText>
      </w:r>
      <w:r>
        <w:rPr>
          <w:rFonts w:hint="eastAsia" w:hAnsi="宋体"/>
        </w:rPr>
        <w:fldChar w:fldCharType="separate"/>
      </w:r>
      <w:r>
        <w:rPr>
          <w:rStyle w:val="22"/>
          <w:rFonts w:hint="eastAsia" w:ascii="宋体" w:hAnsi="宋体"/>
          <w:color w:val="auto"/>
          <w:highlight w:val="white"/>
        </w:rPr>
        <w:t>第五章 磋商供应商须知</w:t>
      </w:r>
      <w:r>
        <w:rPr>
          <w:rStyle w:val="21"/>
          <w:rFonts w:hint="eastAsia" w:ascii="宋体" w:hAnsi="宋体"/>
          <w:color w:val="auto"/>
        </w:rPr>
        <w:tab/>
      </w:r>
      <w:r>
        <w:rPr>
          <w:rStyle w:val="21"/>
          <w:rFonts w:hint="eastAsia" w:ascii="宋体" w:hAnsi="宋体"/>
          <w:color w:val="auto"/>
        </w:rPr>
        <w:t>1</w:t>
      </w:r>
      <w:r>
        <w:rPr>
          <w:rFonts w:hint="eastAsia" w:hAnsi="宋体"/>
        </w:rPr>
        <w:fldChar w:fldCharType="end"/>
      </w:r>
      <w:r>
        <w:rPr>
          <w:rFonts w:hint="eastAsia" w:hAnsi="宋体"/>
        </w:rPr>
        <w:t>6-28</w:t>
      </w:r>
    </w:p>
    <w:p w14:paraId="1F8F7D8C">
      <w:pPr>
        <w:pStyle w:val="15"/>
        <w:ind w:firstLine="840" w:firstLineChars="300"/>
        <w:jc w:val="left"/>
        <w:rPr>
          <w:rFonts w:hAnsi="宋体"/>
          <w:caps w:val="0"/>
        </w:rPr>
      </w:pPr>
      <w:r>
        <w:rPr>
          <w:rFonts w:hint="eastAsia" w:hAnsi="宋体"/>
        </w:rPr>
        <w:fldChar w:fldCharType="begin"/>
      </w:r>
      <w:r>
        <w:rPr>
          <w:rFonts w:hAnsi="宋体"/>
        </w:rPr>
        <w:instrText xml:space="preserve"> HYPERLINK \l "_Toc456249687" </w:instrText>
      </w:r>
      <w:r>
        <w:rPr>
          <w:rFonts w:hint="eastAsia" w:hAnsi="宋体"/>
        </w:rPr>
        <w:fldChar w:fldCharType="separate"/>
      </w:r>
      <w:r>
        <w:rPr>
          <w:rStyle w:val="22"/>
          <w:rFonts w:hint="eastAsia" w:ascii="宋体" w:hAnsi="宋体"/>
          <w:color w:val="auto"/>
          <w:highlight w:val="white"/>
        </w:rPr>
        <w:t>第六章 合同主要条款</w:t>
      </w:r>
      <w:r>
        <w:rPr>
          <w:rStyle w:val="21"/>
          <w:rFonts w:hint="eastAsia" w:ascii="宋体" w:hAnsi="宋体"/>
          <w:color w:val="auto"/>
        </w:rPr>
        <w:tab/>
      </w:r>
      <w:r>
        <w:rPr>
          <w:rStyle w:val="21"/>
          <w:rFonts w:hint="eastAsia" w:ascii="宋体" w:hAnsi="宋体"/>
          <w:color w:val="auto"/>
        </w:rPr>
        <w:t>2</w:t>
      </w:r>
      <w:r>
        <w:rPr>
          <w:rFonts w:hint="eastAsia" w:hAnsi="宋体"/>
        </w:rPr>
        <w:fldChar w:fldCharType="end"/>
      </w:r>
      <w:r>
        <w:rPr>
          <w:rFonts w:hint="eastAsia" w:hAnsi="宋体"/>
        </w:rPr>
        <w:t>9-31</w:t>
      </w:r>
    </w:p>
    <w:p w14:paraId="5127A77E">
      <w:pPr>
        <w:pStyle w:val="15"/>
        <w:ind w:firstLine="840" w:firstLineChars="300"/>
        <w:jc w:val="left"/>
        <w:rPr>
          <w:rFonts w:hAnsi="宋体"/>
          <w:caps w:val="0"/>
        </w:rPr>
      </w:pPr>
      <w:r>
        <w:rPr>
          <w:rFonts w:hint="eastAsia" w:hAnsi="宋体"/>
        </w:rPr>
        <w:fldChar w:fldCharType="begin"/>
      </w:r>
      <w:r>
        <w:rPr>
          <w:rFonts w:hAnsi="宋体"/>
        </w:rPr>
        <w:instrText xml:space="preserve"> HYPERLINK \l "_Toc456249688" </w:instrText>
      </w:r>
      <w:r>
        <w:rPr>
          <w:rFonts w:hint="eastAsia" w:hAnsi="宋体"/>
        </w:rPr>
        <w:fldChar w:fldCharType="separate"/>
      </w:r>
      <w:r>
        <w:rPr>
          <w:rStyle w:val="22"/>
          <w:rFonts w:hint="eastAsia" w:ascii="宋体" w:hAnsi="宋体"/>
          <w:color w:val="auto"/>
          <w:highlight w:val="white"/>
        </w:rPr>
        <w:t>第七章 竞争性磋商响应文件格式</w:t>
      </w:r>
      <w:r>
        <w:rPr>
          <w:rStyle w:val="21"/>
          <w:rFonts w:hint="eastAsia" w:ascii="宋体" w:hAnsi="宋体"/>
          <w:color w:val="auto"/>
        </w:rPr>
        <w:tab/>
      </w:r>
      <w:r>
        <w:rPr>
          <w:rStyle w:val="21"/>
          <w:rFonts w:hint="eastAsia" w:hAnsi="宋体"/>
          <w:color w:val="auto"/>
        </w:rPr>
        <w:t>3</w:t>
      </w:r>
      <w:r>
        <w:rPr>
          <w:rFonts w:hint="eastAsia" w:hAnsi="宋体"/>
        </w:rPr>
        <w:fldChar w:fldCharType="end"/>
      </w:r>
      <w:r>
        <w:rPr>
          <w:rFonts w:hint="eastAsia" w:hAnsi="宋体"/>
        </w:rPr>
        <w:t>2-41</w:t>
      </w:r>
    </w:p>
    <w:p w14:paraId="4301B1EE">
      <w:pPr>
        <w:rPr>
          <w:rFonts w:ascii="宋体" w:hAnsi="宋体"/>
        </w:rPr>
      </w:pPr>
    </w:p>
    <w:p w14:paraId="29B8D634">
      <w:pPr>
        <w:rPr>
          <w:rFonts w:ascii="宋体" w:hAnsi="宋体"/>
          <w:highlight w:val="cyan"/>
        </w:rPr>
      </w:pPr>
      <w:bookmarkStart w:id="3" w:name="EBefafe3a2da9e4624b4c540a3f02f5fc3"/>
      <w:bookmarkEnd w:id="3"/>
    </w:p>
    <w:p w14:paraId="5421EDDD">
      <w:pPr>
        <w:rPr>
          <w:rFonts w:ascii="宋体" w:hAnsi="宋体"/>
          <w:highlight w:val="white"/>
        </w:rPr>
      </w:pPr>
      <w:bookmarkStart w:id="4" w:name="_Toc407096143"/>
      <w:bookmarkEnd w:id="4"/>
    </w:p>
    <w:p w14:paraId="18EEFB0D">
      <w:pPr>
        <w:pStyle w:val="2"/>
        <w:rPr>
          <w:rFonts w:hAnsi="宋体"/>
          <w:highlight w:val="white"/>
        </w:rPr>
      </w:pPr>
    </w:p>
    <w:p w14:paraId="440F564E">
      <w:pPr>
        <w:pStyle w:val="3"/>
        <w:rPr>
          <w:rFonts w:ascii="宋体" w:hAnsi="宋体"/>
          <w:highlight w:val="white"/>
        </w:rPr>
      </w:pPr>
    </w:p>
    <w:p w14:paraId="60F23674">
      <w:pPr>
        <w:rPr>
          <w:rFonts w:ascii="宋体" w:hAnsi="宋体"/>
          <w:highlight w:val="white"/>
        </w:rPr>
      </w:pPr>
    </w:p>
    <w:p w14:paraId="7332ED1B">
      <w:pPr>
        <w:pStyle w:val="2"/>
        <w:rPr>
          <w:rFonts w:hAnsi="宋体"/>
          <w:highlight w:val="white"/>
        </w:rPr>
      </w:pPr>
    </w:p>
    <w:p w14:paraId="71831EE5">
      <w:pPr>
        <w:pStyle w:val="3"/>
        <w:rPr>
          <w:rFonts w:ascii="宋体" w:hAnsi="宋体"/>
          <w:highlight w:val="white"/>
        </w:rPr>
      </w:pPr>
    </w:p>
    <w:p w14:paraId="28D5CF9B">
      <w:pPr>
        <w:rPr>
          <w:rFonts w:ascii="宋体" w:hAnsi="宋体"/>
          <w:highlight w:val="white"/>
        </w:rPr>
      </w:pPr>
    </w:p>
    <w:p w14:paraId="7750D19D">
      <w:pPr>
        <w:pStyle w:val="2"/>
        <w:rPr>
          <w:rFonts w:hAnsi="宋体"/>
          <w:highlight w:val="white"/>
        </w:rPr>
      </w:pPr>
    </w:p>
    <w:p w14:paraId="2A375322">
      <w:pPr>
        <w:pStyle w:val="3"/>
        <w:rPr>
          <w:rFonts w:ascii="宋体" w:hAnsi="宋体"/>
          <w:highlight w:val="white"/>
        </w:rPr>
      </w:pPr>
    </w:p>
    <w:p w14:paraId="20A072DA">
      <w:pPr>
        <w:rPr>
          <w:rFonts w:ascii="宋体" w:hAnsi="宋体"/>
          <w:highlight w:val="white"/>
        </w:rPr>
      </w:pPr>
    </w:p>
    <w:p w14:paraId="24E4AC6F">
      <w:pPr>
        <w:pStyle w:val="2"/>
      </w:pPr>
    </w:p>
    <w:p w14:paraId="5AC40FE2">
      <w:pPr>
        <w:rPr>
          <w:rFonts w:ascii="宋体" w:hAnsi="宋体"/>
          <w:highlight w:val="white"/>
        </w:rPr>
      </w:pPr>
    </w:p>
    <w:p w14:paraId="4C84A2D6">
      <w:pPr>
        <w:rPr>
          <w:rFonts w:ascii="宋体" w:hAnsi="宋体"/>
          <w:highlight w:val="white"/>
        </w:rPr>
      </w:pPr>
    </w:p>
    <w:p w14:paraId="4F4EA97F">
      <w:pPr>
        <w:pStyle w:val="4"/>
        <w:numPr>
          <w:ilvl w:val="0"/>
          <w:numId w:val="1"/>
        </w:numPr>
        <w:spacing w:before="0" w:after="0" w:line="360" w:lineRule="auto"/>
        <w:jc w:val="center"/>
        <w:rPr>
          <w:rFonts w:hint="eastAsia" w:ascii="宋体" w:hAnsi="宋体"/>
          <w:sz w:val="32"/>
          <w:szCs w:val="32"/>
        </w:rPr>
      </w:pPr>
      <w:bookmarkStart w:id="5" w:name="OLE_LINK2"/>
      <w:bookmarkStart w:id="6" w:name="OLE_LINK1"/>
      <w:bookmarkStart w:id="7" w:name="OLE_LINK3"/>
      <w:bookmarkStart w:id="8" w:name="OLE_LINK5"/>
      <w:r>
        <w:rPr>
          <w:rFonts w:hint="eastAsia" w:ascii="宋体" w:hAnsi="宋体"/>
          <w:sz w:val="32"/>
          <w:szCs w:val="32"/>
        </w:rPr>
        <w:t>竞争性磋商公告</w:t>
      </w:r>
    </w:p>
    <w:p w14:paraId="5C3F8887">
      <w:pPr>
        <w:jc w:val="center"/>
        <w:rPr>
          <w:rFonts w:hint="eastAsia" w:ascii="宋体" w:hAnsi="宋体"/>
          <w:sz w:val="28"/>
          <w:szCs w:val="28"/>
        </w:rPr>
      </w:pPr>
      <w:r>
        <w:rPr>
          <w:rFonts w:hint="eastAsia" w:ascii="宋体" w:hAnsi="宋体"/>
          <w:sz w:val="28"/>
          <w:szCs w:val="28"/>
        </w:rPr>
        <w:t>淮南农场有限公司林网规划设计</w:t>
      </w:r>
      <w:r>
        <w:rPr>
          <w:rFonts w:hint="eastAsia" w:ascii="宋体" w:hAnsi="宋体"/>
          <w:sz w:val="28"/>
          <w:szCs w:val="28"/>
          <w:lang w:eastAsia="zh-CN"/>
        </w:rPr>
        <w:t>项目</w:t>
      </w:r>
      <w:r>
        <w:rPr>
          <w:rFonts w:hint="eastAsia" w:ascii="宋体" w:hAnsi="宋体"/>
          <w:sz w:val="28"/>
          <w:szCs w:val="28"/>
        </w:rPr>
        <w:t>竞争性磋商公告（一次）</w:t>
      </w:r>
    </w:p>
    <w:bookmarkEnd w:id="5"/>
    <w:p w14:paraId="5F784C95">
      <w:pPr>
        <w:pBdr>
          <w:top w:val="single" w:color="auto" w:sz="4" w:space="1"/>
          <w:left w:val="single" w:color="auto" w:sz="4" w:space="4"/>
          <w:bottom w:val="single" w:color="auto" w:sz="4" w:space="1"/>
          <w:right w:val="single" w:color="auto" w:sz="4" w:space="4"/>
        </w:pBdr>
        <w:spacing w:line="360" w:lineRule="exact"/>
        <w:rPr>
          <w:rFonts w:ascii="宋体" w:hAnsi="宋体"/>
          <w:sz w:val="24"/>
        </w:rPr>
      </w:pPr>
      <w:r>
        <w:rPr>
          <w:rFonts w:hint="eastAsia" w:ascii="宋体" w:hAnsi="宋体"/>
          <w:sz w:val="24"/>
        </w:rPr>
        <w:t>项目概况</w:t>
      </w:r>
    </w:p>
    <w:p w14:paraId="62323ECF">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宋体" w:hAnsi="宋体"/>
          <w:sz w:val="24"/>
        </w:rPr>
      </w:pPr>
      <w:r>
        <w:rPr>
          <w:rFonts w:hint="eastAsia" w:ascii="宋体" w:hAnsi="宋体"/>
          <w:sz w:val="24"/>
          <w:u w:val="single"/>
        </w:rPr>
        <w:t>淮南农场有限公司林网规划设计</w:t>
      </w:r>
      <w:r>
        <w:rPr>
          <w:rFonts w:hint="eastAsia" w:ascii="宋体" w:hAnsi="宋体"/>
          <w:sz w:val="24"/>
          <w:u w:val="single"/>
          <w:lang w:eastAsia="zh-CN"/>
        </w:rPr>
        <w:t>项目</w:t>
      </w:r>
      <w:r>
        <w:rPr>
          <w:rFonts w:hint="eastAsia" w:ascii="宋体" w:hAnsi="宋体"/>
          <w:sz w:val="24"/>
        </w:rPr>
        <w:t>采购项目的潜在供应商应在</w:t>
      </w:r>
      <w:r>
        <w:rPr>
          <w:rFonts w:hint="eastAsia" w:ascii="宋体" w:hAnsi="宋体"/>
          <w:sz w:val="24"/>
          <w:u w:val="single"/>
        </w:rPr>
        <w:t>（淮南经济技术开发区管理委员会网站http://jkq.huainan.gov.cn/index.html）</w:t>
      </w:r>
      <w:r>
        <w:rPr>
          <w:rFonts w:hint="eastAsia" w:ascii="宋体" w:hAnsi="宋体"/>
          <w:sz w:val="24"/>
        </w:rPr>
        <w:t>获取采购文件，并于</w:t>
      </w:r>
      <w:r>
        <w:rPr>
          <w:rFonts w:hint="eastAsia" w:ascii="宋体" w:hAnsi="宋体"/>
          <w:sz w:val="24"/>
          <w:u w:val="single"/>
        </w:rPr>
        <w:t>2022</w:t>
      </w:r>
      <w:r>
        <w:rPr>
          <w:rFonts w:hint="eastAsia" w:ascii="宋体" w:hAnsi="宋体"/>
          <w:bCs/>
          <w:sz w:val="24"/>
          <w:u w:val="single"/>
        </w:rPr>
        <w:t>年</w:t>
      </w:r>
      <w:r>
        <w:rPr>
          <w:rFonts w:hint="eastAsia" w:ascii="宋体" w:hAnsi="宋体"/>
          <w:bCs/>
          <w:sz w:val="24"/>
          <w:u w:val="single"/>
          <w:lang w:val="en-US" w:eastAsia="zh-CN"/>
        </w:rPr>
        <w:t>06</w:t>
      </w:r>
      <w:r>
        <w:rPr>
          <w:rFonts w:hint="eastAsia" w:ascii="宋体" w:hAnsi="宋体"/>
          <w:bCs/>
          <w:sz w:val="24"/>
          <w:u w:val="single"/>
        </w:rPr>
        <w:t>月</w:t>
      </w:r>
      <w:r>
        <w:rPr>
          <w:rFonts w:hint="eastAsia" w:ascii="宋体" w:hAnsi="宋体"/>
          <w:bCs/>
          <w:sz w:val="24"/>
          <w:u w:val="single"/>
          <w:lang w:val="en-US" w:eastAsia="zh-CN"/>
        </w:rPr>
        <w:t>20</w:t>
      </w:r>
      <w:r>
        <w:rPr>
          <w:rFonts w:hint="eastAsia" w:ascii="宋体" w:hAnsi="宋体"/>
          <w:bCs/>
          <w:sz w:val="24"/>
          <w:u w:val="single"/>
        </w:rPr>
        <w:t>日</w:t>
      </w:r>
      <w:r>
        <w:rPr>
          <w:rFonts w:hint="eastAsia" w:ascii="宋体" w:hAnsi="宋体"/>
          <w:bCs/>
          <w:sz w:val="24"/>
          <w:u w:val="single"/>
          <w:lang w:val="en-US" w:eastAsia="zh-CN"/>
        </w:rPr>
        <w:t>15</w:t>
      </w:r>
      <w:r>
        <w:rPr>
          <w:rFonts w:hint="eastAsia" w:ascii="宋体" w:hAnsi="宋体"/>
          <w:bCs/>
          <w:sz w:val="24"/>
          <w:u w:val="single"/>
        </w:rPr>
        <w:t>点00分</w:t>
      </w:r>
      <w:r>
        <w:rPr>
          <w:rFonts w:hint="eastAsia" w:ascii="宋体" w:hAnsi="宋体"/>
          <w:bCs/>
          <w:sz w:val="24"/>
        </w:rPr>
        <w:t>（北京时间）前提交响应</w:t>
      </w:r>
      <w:r>
        <w:rPr>
          <w:rFonts w:ascii="宋体" w:hAnsi="宋体"/>
          <w:bCs/>
          <w:sz w:val="24"/>
        </w:rPr>
        <w:t>文件</w:t>
      </w:r>
      <w:r>
        <w:rPr>
          <w:rFonts w:hint="eastAsia" w:ascii="宋体" w:hAnsi="宋体"/>
          <w:sz w:val="24"/>
        </w:rPr>
        <w:t>。</w:t>
      </w:r>
      <w:bookmarkStart w:id="9" w:name="_Toc28359012"/>
      <w:bookmarkStart w:id="10" w:name="_Toc35393798"/>
      <w:bookmarkStart w:id="11" w:name="_Toc35393629"/>
      <w:bookmarkStart w:id="12" w:name="_Toc28359089"/>
    </w:p>
    <w:bookmarkEnd w:id="9"/>
    <w:bookmarkEnd w:id="10"/>
    <w:bookmarkEnd w:id="11"/>
    <w:bookmarkEnd w:id="12"/>
    <w:p w14:paraId="59C6787E">
      <w:pPr>
        <w:spacing w:line="360" w:lineRule="exact"/>
        <w:rPr>
          <w:rFonts w:hint="eastAsia" w:ascii="宋体" w:hAnsi="宋体"/>
          <w:sz w:val="24"/>
        </w:rPr>
      </w:pPr>
      <w:r>
        <w:rPr>
          <w:rFonts w:hint="eastAsia" w:ascii="宋体" w:hAnsi="宋体"/>
          <w:sz w:val="24"/>
        </w:rPr>
        <w:t>一、项目基本情况</w:t>
      </w:r>
    </w:p>
    <w:p w14:paraId="634CF2F1">
      <w:pPr>
        <w:spacing w:line="360" w:lineRule="exact"/>
        <w:ind w:firstLine="480" w:firstLineChars="200"/>
        <w:rPr>
          <w:rFonts w:hint="eastAsia" w:ascii="宋体" w:hAnsi="宋体"/>
          <w:sz w:val="24"/>
        </w:rPr>
      </w:pPr>
      <w:r>
        <w:rPr>
          <w:rFonts w:hint="eastAsia" w:ascii="宋体" w:hAnsi="宋体"/>
          <w:sz w:val="24"/>
        </w:rPr>
        <w:t xml:space="preserve">项目编号：XTYCG2022-0604 </w:t>
      </w:r>
    </w:p>
    <w:p w14:paraId="3E702DDA">
      <w:pPr>
        <w:spacing w:line="360" w:lineRule="exact"/>
        <w:ind w:firstLine="480" w:firstLineChars="200"/>
        <w:rPr>
          <w:rFonts w:hint="eastAsia" w:ascii="宋体" w:hAnsi="宋体" w:eastAsia="宋体"/>
          <w:sz w:val="24"/>
          <w:lang w:eastAsia="zh-CN"/>
        </w:rPr>
      </w:pPr>
      <w:r>
        <w:rPr>
          <w:rFonts w:hint="eastAsia" w:ascii="宋体" w:hAnsi="宋体"/>
          <w:sz w:val="24"/>
        </w:rPr>
        <w:t>项目名称：淮南农场有限公司林网规划设计</w:t>
      </w:r>
      <w:r>
        <w:rPr>
          <w:rFonts w:hint="eastAsia" w:ascii="宋体" w:hAnsi="宋体"/>
          <w:sz w:val="24"/>
          <w:lang w:eastAsia="zh-CN"/>
        </w:rPr>
        <w:t>项目</w:t>
      </w:r>
    </w:p>
    <w:p w14:paraId="041E36CF">
      <w:pPr>
        <w:spacing w:line="360" w:lineRule="exact"/>
        <w:ind w:firstLine="480" w:firstLineChars="200"/>
        <w:rPr>
          <w:rFonts w:ascii="宋体" w:hAnsi="宋体"/>
          <w:sz w:val="24"/>
        </w:rPr>
      </w:pPr>
      <w:r>
        <w:rPr>
          <w:rFonts w:hint="eastAsia" w:ascii="宋体" w:hAnsi="宋体"/>
          <w:sz w:val="24"/>
        </w:rPr>
        <w:t xml:space="preserve">采购方式：竞争性磋商 </w:t>
      </w:r>
    </w:p>
    <w:p w14:paraId="1773C3A5">
      <w:pPr>
        <w:spacing w:line="360" w:lineRule="exact"/>
        <w:ind w:firstLine="480" w:firstLineChars="200"/>
        <w:rPr>
          <w:rFonts w:ascii="宋体" w:hAnsi="宋体"/>
          <w:sz w:val="24"/>
        </w:rPr>
      </w:pPr>
      <w:r>
        <w:rPr>
          <w:rFonts w:hint="eastAsia" w:ascii="宋体" w:hAnsi="宋体"/>
          <w:sz w:val="24"/>
        </w:rPr>
        <w:t>预算金额：16万元，自筹资金</w:t>
      </w:r>
    </w:p>
    <w:p w14:paraId="19CF670F">
      <w:pPr>
        <w:spacing w:line="360" w:lineRule="exact"/>
        <w:ind w:firstLine="480" w:firstLineChars="200"/>
        <w:rPr>
          <w:rFonts w:ascii="宋体" w:hAnsi="宋体"/>
          <w:sz w:val="24"/>
        </w:rPr>
      </w:pPr>
      <w:r>
        <w:rPr>
          <w:rFonts w:hint="eastAsia" w:ascii="宋体" w:hAnsi="宋体"/>
          <w:sz w:val="24"/>
        </w:rPr>
        <w:t>最高限价：16万元</w:t>
      </w:r>
    </w:p>
    <w:p w14:paraId="69966E7D">
      <w:pPr>
        <w:spacing w:line="360" w:lineRule="exact"/>
        <w:ind w:firstLine="480" w:firstLineChars="200"/>
        <w:rPr>
          <w:rFonts w:hint="eastAsia" w:ascii="宋体" w:hAnsi="宋体"/>
          <w:bCs/>
          <w:sz w:val="24"/>
        </w:rPr>
      </w:pPr>
      <w:r>
        <w:rPr>
          <w:rFonts w:hint="eastAsia" w:ascii="宋体" w:hAnsi="宋体"/>
          <w:sz w:val="24"/>
        </w:rPr>
        <w:t>采购需求：</w:t>
      </w:r>
      <w:r>
        <w:rPr>
          <w:rFonts w:hint="eastAsia" w:ascii="宋体" w:hAnsi="宋体"/>
          <w:bCs/>
          <w:sz w:val="24"/>
        </w:rPr>
        <w:t>淮南农场范围内的林网规划设计编制工作，包含方案评审报批、设计概算编制、可研编制、环评配合、造价咨询配合等设计内容。具体详见采购需求。</w:t>
      </w:r>
    </w:p>
    <w:p w14:paraId="0E5EF8AA">
      <w:pPr>
        <w:spacing w:line="360" w:lineRule="exact"/>
        <w:ind w:firstLine="480" w:firstLineChars="200"/>
        <w:rPr>
          <w:rFonts w:ascii="宋体" w:hAnsi="宋体"/>
          <w:sz w:val="24"/>
          <w:u w:val="single"/>
        </w:rPr>
      </w:pPr>
      <w:r>
        <w:rPr>
          <w:rFonts w:hint="eastAsia" w:ascii="宋体" w:hAnsi="宋体"/>
          <w:sz w:val="24"/>
        </w:rPr>
        <w:t>合同履行期限：20日历天</w:t>
      </w:r>
    </w:p>
    <w:p w14:paraId="0E0DCA24">
      <w:pPr>
        <w:spacing w:line="360" w:lineRule="exact"/>
        <w:ind w:firstLine="480" w:firstLineChars="200"/>
        <w:rPr>
          <w:rFonts w:hint="eastAsia" w:ascii="宋体" w:hAnsi="宋体"/>
          <w:sz w:val="24"/>
        </w:rPr>
      </w:pPr>
      <w:r>
        <w:rPr>
          <w:rFonts w:hint="eastAsia" w:ascii="宋体" w:hAnsi="宋体"/>
          <w:sz w:val="24"/>
        </w:rPr>
        <w:t>本项目不接受联合体。</w:t>
      </w:r>
      <w:bookmarkStart w:id="13" w:name="_Toc35393630"/>
      <w:bookmarkStart w:id="14" w:name="_Toc28359090"/>
      <w:bookmarkStart w:id="15" w:name="_Toc28359013"/>
      <w:bookmarkStart w:id="16" w:name="_Toc35393799"/>
    </w:p>
    <w:p w14:paraId="65752963">
      <w:pPr>
        <w:spacing w:line="360" w:lineRule="exact"/>
        <w:rPr>
          <w:rFonts w:ascii="宋体" w:hAnsi="宋体"/>
          <w:sz w:val="24"/>
        </w:rPr>
      </w:pPr>
      <w:r>
        <w:rPr>
          <w:rFonts w:hint="eastAsia" w:ascii="宋体" w:hAnsi="宋体"/>
          <w:sz w:val="24"/>
        </w:rPr>
        <w:t>二、申请人的资格要求：</w:t>
      </w:r>
      <w:bookmarkEnd w:id="13"/>
      <w:bookmarkEnd w:id="14"/>
      <w:bookmarkEnd w:id="15"/>
      <w:bookmarkEnd w:id="16"/>
    </w:p>
    <w:p w14:paraId="37A3C483">
      <w:pPr>
        <w:snapToGrid w:val="0"/>
        <w:spacing w:line="360" w:lineRule="exact"/>
        <w:rPr>
          <w:rFonts w:hint="eastAsia" w:ascii="宋体" w:hAnsi="宋体"/>
          <w:sz w:val="24"/>
        </w:rPr>
      </w:pPr>
      <w:bookmarkStart w:id="17" w:name="_Toc35393631"/>
      <w:bookmarkStart w:id="18" w:name="_Toc28359091"/>
      <w:bookmarkStart w:id="19" w:name="_Toc35393800"/>
      <w:bookmarkStart w:id="20" w:name="_Toc28359014"/>
      <w:r>
        <w:rPr>
          <w:rFonts w:hint="eastAsia" w:ascii="宋体" w:hAnsi="宋体"/>
          <w:sz w:val="24"/>
        </w:rPr>
        <w:t>1.满足《中华人民共和国政府采购法》第二十二条规定；</w:t>
      </w:r>
    </w:p>
    <w:p w14:paraId="4BA24520">
      <w:pPr>
        <w:snapToGrid w:val="0"/>
        <w:spacing w:line="360" w:lineRule="exact"/>
        <w:rPr>
          <w:rFonts w:hint="eastAsia" w:ascii="宋体" w:hAnsi="宋体"/>
          <w:sz w:val="24"/>
        </w:rPr>
      </w:pPr>
      <w:r>
        <w:rPr>
          <w:rFonts w:hint="eastAsia" w:ascii="宋体" w:hAnsi="宋体"/>
          <w:sz w:val="24"/>
        </w:rPr>
        <w:t>2.落实政府采购政策需满足的资格要求：根据《政府采购促进中小企业发展管理办法》财库〔2020〕46号规定，对小型和微型企业提供的服务价格给予 6%的扣除，用扣除后的价格参与评审，需提供《中小企业声明函》。</w:t>
      </w:r>
    </w:p>
    <w:p w14:paraId="1B6185E6">
      <w:pPr>
        <w:snapToGrid w:val="0"/>
        <w:spacing w:line="360" w:lineRule="exact"/>
        <w:rPr>
          <w:rFonts w:hint="eastAsia" w:ascii="宋体" w:hAnsi="宋体"/>
          <w:sz w:val="24"/>
        </w:rPr>
      </w:pPr>
      <w:r>
        <w:rPr>
          <w:rFonts w:hint="eastAsia" w:ascii="宋体" w:hAnsi="宋体"/>
          <w:sz w:val="24"/>
        </w:rPr>
        <w:t>3.供应商资格要求：</w:t>
      </w:r>
    </w:p>
    <w:p w14:paraId="30132C5C">
      <w:pPr>
        <w:snapToGrid w:val="0"/>
        <w:spacing w:line="360" w:lineRule="exact"/>
        <w:rPr>
          <w:rFonts w:hint="eastAsia" w:ascii="宋体" w:hAnsi="宋体"/>
          <w:sz w:val="24"/>
        </w:rPr>
      </w:pPr>
      <w:r>
        <w:rPr>
          <w:rFonts w:hint="eastAsia" w:ascii="宋体" w:hAnsi="宋体"/>
          <w:sz w:val="24"/>
        </w:rPr>
        <w:t>（1）须具有独立法人资格，同时具备下列资质。</w:t>
      </w:r>
    </w:p>
    <w:p w14:paraId="65E83881">
      <w:pPr>
        <w:snapToGrid w:val="0"/>
        <w:spacing w:line="360" w:lineRule="exact"/>
        <w:rPr>
          <w:rFonts w:hint="eastAsia" w:ascii="宋体" w:hAnsi="宋体"/>
          <w:sz w:val="24"/>
        </w:rPr>
      </w:pP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风景园林专业乙级及以上资质或工程设计综合资质。</w:t>
      </w:r>
    </w:p>
    <w:p w14:paraId="31F70B37">
      <w:pPr>
        <w:snapToGrid w:val="0"/>
        <w:spacing w:line="360" w:lineRule="exact"/>
        <w:rPr>
          <w:rFonts w:hint="eastAsia" w:ascii="宋体" w:hAnsi="宋体"/>
          <w:sz w:val="24"/>
        </w:rPr>
      </w:pPr>
      <w:r>
        <w:rPr>
          <w:rFonts w:hint="eastAsia" w:ascii="宋体" w:hAnsi="宋体"/>
          <w:sz w:val="24"/>
        </w:rPr>
        <w:t>②市政行业（道路工程）专业设计乙级及以上资质。</w:t>
      </w:r>
    </w:p>
    <w:p w14:paraId="1E519674">
      <w:pPr>
        <w:snapToGrid w:val="0"/>
        <w:spacing w:line="360" w:lineRule="exact"/>
        <w:rPr>
          <w:rFonts w:hint="eastAsia" w:ascii="宋体" w:hAnsi="宋体"/>
          <w:sz w:val="24"/>
        </w:rPr>
      </w:pPr>
      <w:r>
        <w:rPr>
          <w:rFonts w:hint="eastAsia" w:ascii="宋体" w:hAnsi="宋体"/>
          <w:sz w:val="24"/>
        </w:rPr>
        <w:t>（2）2017年1月1日至今，投标人具有一个类似项目设计业绩。类似业绩范围为单项合同金额不低于10万元的景观园林类或者规划类项目。</w:t>
      </w:r>
    </w:p>
    <w:p w14:paraId="53AF4C17">
      <w:pPr>
        <w:snapToGrid w:val="0"/>
        <w:spacing w:line="360" w:lineRule="exact"/>
        <w:rPr>
          <w:rFonts w:hint="eastAsia" w:ascii="宋体" w:hAnsi="宋体"/>
          <w:sz w:val="24"/>
        </w:rPr>
      </w:pPr>
      <w:r>
        <w:rPr>
          <w:rFonts w:hint="eastAsia" w:ascii="宋体" w:hAnsi="宋体"/>
          <w:sz w:val="24"/>
        </w:rPr>
        <w:t>（3）项目负责人要求：投标人具备下列资格（任选一项）。</w:t>
      </w:r>
    </w:p>
    <w:p w14:paraId="5F71A55A">
      <w:pPr>
        <w:snapToGrid w:val="0"/>
        <w:spacing w:line="360" w:lineRule="exact"/>
        <w:rPr>
          <w:rFonts w:hint="eastAsia" w:ascii="宋体" w:hAnsi="宋体"/>
          <w:sz w:val="24"/>
        </w:rPr>
      </w:pP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项目设计总负责人须具有风景园林专业高级职称。</w:t>
      </w:r>
    </w:p>
    <w:p w14:paraId="73D7A3A7">
      <w:pPr>
        <w:snapToGrid w:val="0"/>
        <w:spacing w:line="360" w:lineRule="exact"/>
        <w:rPr>
          <w:rFonts w:hint="eastAsia" w:ascii="宋体" w:hAnsi="宋体"/>
          <w:sz w:val="24"/>
        </w:rPr>
      </w:pPr>
      <w:r>
        <w:rPr>
          <w:rFonts w:hint="eastAsia" w:ascii="宋体" w:hAnsi="宋体"/>
          <w:sz w:val="24"/>
        </w:rPr>
        <w:t>②项目设计总负责人须具有规划专业注册规划师职称。</w:t>
      </w:r>
    </w:p>
    <w:p w14:paraId="481C3418">
      <w:pPr>
        <w:snapToGrid w:val="0"/>
        <w:rPr>
          <w:rFonts w:hint="eastAsia" w:ascii="宋体" w:hAnsi="宋体"/>
          <w:sz w:val="24"/>
          <w:highlight w:val="green"/>
        </w:rPr>
      </w:pPr>
      <w:r>
        <w:rPr>
          <w:rFonts w:ascii="宋体" w:hAnsi="宋体"/>
          <w:sz w:val="24"/>
        </w:rPr>
        <w:t>4.</w:t>
      </w:r>
      <w:r>
        <w:rPr>
          <w:rFonts w:hint="eastAsia" w:ascii="宋体" w:hAnsi="宋体"/>
          <w:sz w:val="24"/>
        </w:rPr>
        <w:t>法定代表人为同一个人的两个及两个以上法人，母公司、全资子公司及其控股公司，不得对本项目同时投标；</w:t>
      </w:r>
    </w:p>
    <w:p w14:paraId="5E55F6E3">
      <w:pPr>
        <w:snapToGrid w:val="0"/>
        <w:spacing w:line="360" w:lineRule="exact"/>
        <w:rPr>
          <w:rFonts w:hint="eastAsia" w:ascii="宋体" w:hAnsi="宋体"/>
          <w:sz w:val="24"/>
          <w:lang w:val="en-US" w:eastAsia="zh-CN"/>
        </w:rPr>
      </w:pPr>
      <w:r>
        <w:rPr>
          <w:rFonts w:ascii="宋体" w:hAnsi="宋体"/>
          <w:sz w:val="24"/>
        </w:rPr>
        <w:t>5.</w:t>
      </w:r>
      <w:r>
        <w:rPr>
          <w:rFonts w:hint="eastAsia" w:ascii="宋体" w:hAnsi="宋体"/>
          <w:sz w:val="24"/>
        </w:rPr>
        <w:t>信誉要求：</w:t>
      </w:r>
      <w:r>
        <w:rPr>
          <w:rFonts w:hint="eastAsia" w:ascii="宋体" w:hAnsi="宋体"/>
          <w:sz w:val="24"/>
          <w:lang w:val="en-US" w:eastAsia="zh-CN"/>
        </w:rPr>
        <w:t>(可提供以下对应网站的信誉查询截图或供应商信誉承诺书)</w:t>
      </w:r>
    </w:p>
    <w:p w14:paraId="235042A5">
      <w:pPr>
        <w:snapToGrid w:val="0"/>
        <w:spacing w:line="360" w:lineRule="exact"/>
        <w:rPr>
          <w:rFonts w:hint="eastAsia" w:ascii="宋体" w:hAnsi="宋体"/>
        </w:rPr>
      </w:pP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未被最高人民法院在“信用中国”网站（www.creditchina.gov.cn）列入失信被执行人受惩黑名单（截图可提供“信用中国”-“信用服务”-“失信被执行人查询”的网页查询截图，无受惩戒信息；或者提供“信用中国”企业查询截图，“黑名单”一栏中无受惩戒信息。）；</w:t>
      </w:r>
    </w:p>
    <w:p w14:paraId="45E627A6">
      <w:pPr>
        <w:snapToGrid w:val="0"/>
        <w:spacing w:line="360" w:lineRule="exact"/>
        <w:rPr>
          <w:rFonts w:hint="eastAsia" w:ascii="宋体" w:hAnsi="宋体"/>
          <w:sz w:val="24"/>
        </w:rPr>
      </w:pPr>
      <w:r>
        <w:rPr>
          <w:rFonts w:hint="eastAsia" w:ascii="宋体" w:hAnsi="宋体"/>
          <w:sz w:val="24"/>
        </w:rPr>
        <w:t>②未被中国政府采购网（www.ccgp.gov.cn）列入“政府采购严重违法失信行为记录名单”（截图可提供中国政府采购网的政府采购严重违法失信行为记录名单里的企业网页查询截图，无违法失信信息；或者提供“信用中国”-“信用服务”-“政府采购严重违法失信名单”的网页查询截图，无违法失信信息。）；</w:t>
      </w:r>
    </w:p>
    <w:p w14:paraId="0DC8C21D">
      <w:pPr>
        <w:snapToGrid w:val="0"/>
        <w:spacing w:line="360" w:lineRule="exact"/>
        <w:rPr>
          <w:rFonts w:hint="eastAsia" w:ascii="宋体" w:hAnsi="宋体"/>
          <w:sz w:val="24"/>
        </w:rPr>
      </w:pPr>
      <w:r>
        <w:rPr>
          <w:rFonts w:hint="eastAsia" w:ascii="宋体" w:hAnsi="宋体"/>
          <w:sz w:val="24"/>
        </w:rPr>
        <w:t>③未被国家税务总局列入“重大税收违法案件当事人”名单。（截图可提供“国家税务总局”官方网站-“纳税服务”-“重大税收违法案件查询”的网页查询截图，无违法信息；或者提供“信用中国”-“信用服务”-“重大税收违法案件查询”的网页查询截图，无违法信息。）</w:t>
      </w:r>
    </w:p>
    <w:p w14:paraId="0C29B6D4">
      <w:pPr>
        <w:snapToGrid w:val="0"/>
        <w:spacing w:line="360" w:lineRule="exact"/>
        <w:rPr>
          <w:rFonts w:hint="eastAsia" w:ascii="宋体" w:hAnsi="宋体"/>
          <w:sz w:val="24"/>
        </w:rPr>
      </w:pPr>
      <w:r>
        <w:rPr>
          <w:rFonts w:hint="eastAsia" w:ascii="宋体" w:hAnsi="宋体"/>
          <w:sz w:val="24"/>
          <w:szCs w:val="24"/>
        </w:rPr>
        <w:fldChar w:fldCharType="begin"/>
      </w:r>
      <w:r>
        <w:rPr>
          <w:rFonts w:hint="eastAsia" w:ascii="宋体" w:hAnsi="宋体"/>
          <w:sz w:val="24"/>
          <w:szCs w:val="24"/>
        </w:rPr>
        <w:instrText xml:space="preserve"> = 4 \* GB3 \* MERGEFORMAT </w:instrText>
      </w:r>
      <w:r>
        <w:rPr>
          <w:rFonts w:hint="eastAsia" w:ascii="宋体" w:hAnsi="宋体"/>
          <w:sz w:val="24"/>
          <w:szCs w:val="24"/>
        </w:rPr>
        <w:fldChar w:fldCharType="separate"/>
      </w:r>
      <w:r>
        <w:rPr>
          <w:rFonts w:ascii="宋体" w:hAnsi="宋体"/>
          <w:sz w:val="24"/>
          <w:szCs w:val="24"/>
        </w:rPr>
        <w:t>④</w:t>
      </w:r>
      <w:r>
        <w:rPr>
          <w:rFonts w:hint="eastAsia" w:ascii="宋体" w:hAnsi="宋体"/>
          <w:sz w:val="24"/>
          <w:szCs w:val="24"/>
        </w:rPr>
        <w:fldChar w:fldCharType="end"/>
      </w:r>
      <w:r>
        <w:rPr>
          <w:rFonts w:hint="eastAsia" w:ascii="宋体" w:hAnsi="宋体"/>
          <w:sz w:val="24"/>
        </w:rPr>
        <w:t>未被国家市场监督管理部门在国家企业信用信息公示系统（www.gsxt.gov.cn）中列入严重违法失信企业名单。（提供投标人在国家企业信用信息公示系统网页查询截图，严重违法失信一栏中无不良记录）。</w:t>
      </w:r>
    </w:p>
    <w:p w14:paraId="4D0A4958">
      <w:pPr>
        <w:pStyle w:val="2"/>
        <w:rPr>
          <w:rFonts w:hint="eastAsia"/>
        </w:rPr>
      </w:pPr>
      <w:r>
        <w:rPr>
          <w:rFonts w:hint="eastAsia" w:ascii="宋体" w:hAnsi="宋体" w:eastAsia="宋体" w:cs="宋体"/>
          <w:kern w:val="2"/>
          <w:sz w:val="24"/>
          <w:szCs w:val="21"/>
          <w:lang w:val="en-US" w:eastAsia="zh-CN" w:bidi="ar-SA"/>
        </w:rPr>
        <w:fldChar w:fldCharType="begin"/>
      </w:r>
      <w:r>
        <w:rPr>
          <w:rFonts w:hint="eastAsia" w:ascii="宋体" w:hAnsi="宋体" w:eastAsia="宋体" w:cs="宋体"/>
          <w:kern w:val="2"/>
          <w:sz w:val="24"/>
          <w:szCs w:val="21"/>
          <w:lang w:val="en-US" w:eastAsia="zh-CN" w:bidi="ar-SA"/>
        </w:rPr>
        <w:instrText xml:space="preserve"> = 5 \* GB3 \* MERGEFORMAT </w:instrText>
      </w:r>
      <w:r>
        <w:rPr>
          <w:rFonts w:hint="eastAsia" w:ascii="宋体" w:hAnsi="宋体" w:eastAsia="宋体" w:cs="宋体"/>
          <w:kern w:val="2"/>
          <w:sz w:val="24"/>
          <w:szCs w:val="21"/>
          <w:lang w:val="en-US" w:eastAsia="zh-CN" w:bidi="ar-SA"/>
        </w:rPr>
        <w:fldChar w:fldCharType="separate"/>
      </w:r>
      <w:r>
        <w:rPr>
          <w:rFonts w:hint="eastAsia" w:ascii="宋体" w:hAnsi="宋体" w:eastAsia="宋体" w:cs="宋体"/>
          <w:kern w:val="2"/>
          <w:sz w:val="24"/>
          <w:szCs w:val="21"/>
          <w:lang w:val="en-US" w:eastAsia="zh-CN" w:bidi="ar-SA"/>
        </w:rPr>
        <w:t>⑤</w:t>
      </w:r>
      <w:r>
        <w:rPr>
          <w:rFonts w:hint="eastAsia" w:ascii="宋体" w:hAnsi="宋体" w:eastAsia="宋体" w:cs="宋体"/>
          <w:kern w:val="2"/>
          <w:sz w:val="24"/>
          <w:szCs w:val="21"/>
          <w:lang w:val="en-US" w:eastAsia="zh-CN" w:bidi="ar-SA"/>
        </w:rPr>
        <w:fldChar w:fldCharType="end"/>
      </w:r>
      <w:r>
        <w:rPr>
          <w:rFonts w:hint="eastAsia" w:ascii="宋体" w:hAnsi="宋体" w:eastAsia="宋体" w:cs="宋体"/>
          <w:kern w:val="2"/>
          <w:sz w:val="24"/>
          <w:szCs w:val="21"/>
          <w:lang w:val="en-US" w:eastAsia="zh-CN" w:bidi="ar-SA"/>
        </w:rPr>
        <w:t>投标人及其法定代表人、拟任本项目负责人未被列入全国法院失信被执行人名单。</w:t>
      </w:r>
    </w:p>
    <w:p w14:paraId="63949C2A">
      <w:pPr>
        <w:snapToGrid w:val="0"/>
        <w:spacing w:line="360" w:lineRule="exact"/>
        <w:rPr>
          <w:rFonts w:hint="eastAsia" w:ascii="宋体" w:hAnsi="宋体"/>
          <w:sz w:val="24"/>
        </w:rPr>
      </w:pPr>
      <w:r>
        <w:rPr>
          <w:rFonts w:ascii="宋体" w:hAnsi="宋体"/>
          <w:sz w:val="24"/>
        </w:rPr>
        <w:t>6.</w:t>
      </w:r>
      <w:r>
        <w:rPr>
          <w:rFonts w:hint="eastAsia" w:ascii="宋体" w:hAnsi="宋体"/>
          <w:sz w:val="24"/>
        </w:rPr>
        <w:t>资格审查方式：资格后审。</w:t>
      </w:r>
    </w:p>
    <w:p w14:paraId="2D72D324">
      <w:pPr>
        <w:snapToGrid w:val="0"/>
        <w:spacing w:line="360" w:lineRule="exact"/>
        <w:rPr>
          <w:rFonts w:ascii="宋体" w:hAnsi="宋体"/>
          <w:sz w:val="24"/>
        </w:rPr>
      </w:pPr>
      <w:r>
        <w:rPr>
          <w:rFonts w:hint="eastAsia" w:ascii="宋体" w:hAnsi="宋体"/>
          <w:sz w:val="24"/>
        </w:rPr>
        <w:t>三、获取采购文件</w:t>
      </w:r>
      <w:bookmarkEnd w:id="17"/>
      <w:bookmarkEnd w:id="18"/>
      <w:bookmarkEnd w:id="19"/>
      <w:bookmarkEnd w:id="20"/>
    </w:p>
    <w:p w14:paraId="090C9DAF">
      <w:pPr>
        <w:spacing w:line="360" w:lineRule="exact"/>
        <w:ind w:firstLine="480" w:firstLineChars="200"/>
        <w:rPr>
          <w:rFonts w:hint="eastAsia" w:ascii="宋体" w:hAnsi="宋体"/>
          <w:sz w:val="24"/>
          <w:u w:val="single"/>
        </w:rPr>
      </w:pPr>
      <w:r>
        <w:rPr>
          <w:rFonts w:hint="eastAsia" w:ascii="宋体" w:hAnsi="宋体"/>
          <w:sz w:val="24"/>
        </w:rPr>
        <w:t>时间：</w:t>
      </w:r>
      <w:r>
        <w:rPr>
          <w:rFonts w:ascii="宋体" w:hAnsi="宋体"/>
          <w:sz w:val="24"/>
        </w:rPr>
        <w:t>自公告发布之日起至开标</w:t>
      </w:r>
      <w:r>
        <w:rPr>
          <w:rFonts w:hint="eastAsia" w:ascii="宋体" w:hAnsi="宋体"/>
          <w:sz w:val="24"/>
        </w:rPr>
        <w:t>截止</w:t>
      </w:r>
      <w:r>
        <w:rPr>
          <w:rFonts w:ascii="宋体" w:hAnsi="宋体"/>
          <w:sz w:val="24"/>
        </w:rPr>
        <w:t>时间</w:t>
      </w:r>
      <w:r>
        <w:rPr>
          <w:rFonts w:hint="eastAsia" w:ascii="宋体" w:hAnsi="宋体"/>
          <w:sz w:val="24"/>
        </w:rPr>
        <w:t>前</w:t>
      </w:r>
      <w:r>
        <w:rPr>
          <w:rFonts w:ascii="宋体" w:hAnsi="宋体"/>
          <w:sz w:val="24"/>
        </w:rPr>
        <w:t>（北京时间）</w:t>
      </w:r>
    </w:p>
    <w:p w14:paraId="712A576C">
      <w:pPr>
        <w:spacing w:line="360" w:lineRule="exact"/>
        <w:ind w:left="479" w:leftChars="228"/>
        <w:rPr>
          <w:rFonts w:hint="eastAsia" w:ascii="宋体" w:hAnsi="宋体"/>
          <w:sz w:val="24"/>
        </w:rPr>
      </w:pPr>
      <w:r>
        <w:rPr>
          <w:rFonts w:hint="eastAsia" w:ascii="宋体" w:hAnsi="宋体"/>
          <w:sz w:val="24"/>
        </w:rPr>
        <w:t>地点：淮南经济技术开发区管理委员会网站（http://jkq.huainan.gov.cn/index.html）</w:t>
      </w:r>
      <w:bookmarkStart w:id="21" w:name="_Toc35393632"/>
      <w:bookmarkStart w:id="22" w:name="_Toc28359015"/>
      <w:bookmarkStart w:id="23" w:name="_Toc28359092"/>
      <w:bookmarkStart w:id="24" w:name="_Toc35393801"/>
      <w:r>
        <w:rPr>
          <w:rFonts w:hint="eastAsia" w:ascii="宋体" w:hAnsi="宋体"/>
          <w:sz w:val="24"/>
        </w:rPr>
        <w:t>方式：</w:t>
      </w:r>
      <w:r>
        <w:rPr>
          <w:rFonts w:hint="eastAsia" w:ascii="宋体" w:hAnsi="宋体"/>
          <w:sz w:val="24"/>
          <w:lang w:eastAsia="zh-CN"/>
        </w:rPr>
        <w:t>网上自行下载</w:t>
      </w:r>
      <w:r>
        <w:rPr>
          <w:rFonts w:hint="eastAsia" w:ascii="宋体" w:hAnsi="宋体"/>
          <w:sz w:val="24"/>
        </w:rPr>
        <w:t>。</w:t>
      </w:r>
    </w:p>
    <w:p w14:paraId="14BFF20E">
      <w:pPr>
        <w:spacing w:line="360" w:lineRule="exact"/>
        <w:ind w:left="479" w:leftChars="228"/>
        <w:rPr>
          <w:rFonts w:hint="eastAsia" w:ascii="宋体" w:hAnsi="宋体"/>
          <w:sz w:val="24"/>
        </w:rPr>
      </w:pPr>
      <w:r>
        <w:rPr>
          <w:rFonts w:hint="eastAsia" w:ascii="宋体" w:hAnsi="宋体"/>
          <w:sz w:val="24"/>
        </w:rPr>
        <w:t>售价：0元</w:t>
      </w:r>
    </w:p>
    <w:p w14:paraId="5A26896E">
      <w:pPr>
        <w:spacing w:line="360" w:lineRule="exact"/>
        <w:rPr>
          <w:rFonts w:hint="eastAsia" w:ascii="宋体" w:hAnsi="宋体"/>
          <w:sz w:val="24"/>
        </w:rPr>
      </w:pPr>
      <w:r>
        <w:rPr>
          <w:rFonts w:hint="eastAsia" w:ascii="宋体" w:hAnsi="宋体"/>
          <w:sz w:val="24"/>
        </w:rPr>
        <w:t>四、响应文件提交</w:t>
      </w:r>
      <w:bookmarkEnd w:id="21"/>
      <w:bookmarkEnd w:id="22"/>
      <w:bookmarkEnd w:id="23"/>
      <w:bookmarkEnd w:id="24"/>
      <w:r>
        <w:rPr>
          <w:rFonts w:hint="eastAsia" w:ascii="宋体" w:hAnsi="宋体"/>
          <w:sz w:val="24"/>
        </w:rPr>
        <w:t xml:space="preserve"> </w:t>
      </w:r>
    </w:p>
    <w:p w14:paraId="5F336297">
      <w:pPr>
        <w:spacing w:line="360" w:lineRule="exact"/>
        <w:ind w:firstLine="480" w:firstLineChars="200"/>
        <w:rPr>
          <w:rFonts w:hint="eastAsia" w:ascii="宋体" w:hAnsi="宋体"/>
          <w:bCs/>
          <w:sz w:val="24"/>
        </w:rPr>
      </w:pPr>
      <w:r>
        <w:rPr>
          <w:rFonts w:hint="eastAsia" w:ascii="宋体" w:hAnsi="宋体"/>
          <w:sz w:val="24"/>
        </w:rPr>
        <w:t>截止时间：</w:t>
      </w:r>
      <w:r>
        <w:rPr>
          <w:rFonts w:hint="eastAsia" w:ascii="宋体" w:hAnsi="宋体"/>
          <w:sz w:val="24"/>
          <w:u w:val="single"/>
        </w:rPr>
        <w:t>2022</w:t>
      </w:r>
      <w:r>
        <w:rPr>
          <w:rFonts w:hint="eastAsia" w:ascii="宋体" w:hAnsi="宋体"/>
          <w:bCs/>
          <w:sz w:val="24"/>
          <w:u w:val="single"/>
        </w:rPr>
        <w:t>年</w:t>
      </w:r>
      <w:r>
        <w:rPr>
          <w:rFonts w:hint="eastAsia" w:ascii="宋体" w:hAnsi="宋体"/>
          <w:bCs/>
          <w:sz w:val="24"/>
          <w:u w:val="single"/>
          <w:lang w:val="en-US" w:eastAsia="zh-CN"/>
        </w:rPr>
        <w:t>06</w:t>
      </w:r>
      <w:r>
        <w:rPr>
          <w:rFonts w:hint="eastAsia" w:ascii="宋体" w:hAnsi="宋体"/>
          <w:bCs/>
          <w:sz w:val="24"/>
          <w:u w:val="single"/>
        </w:rPr>
        <w:t>月</w:t>
      </w:r>
      <w:r>
        <w:rPr>
          <w:rFonts w:hint="eastAsia" w:ascii="宋体" w:hAnsi="宋体"/>
          <w:bCs/>
          <w:sz w:val="24"/>
          <w:u w:val="single"/>
          <w:lang w:val="en-US" w:eastAsia="zh-CN"/>
        </w:rPr>
        <w:t>20</w:t>
      </w:r>
      <w:r>
        <w:rPr>
          <w:rFonts w:hint="eastAsia" w:ascii="宋体" w:hAnsi="宋体"/>
          <w:bCs/>
          <w:sz w:val="24"/>
          <w:u w:val="single"/>
        </w:rPr>
        <w:t>日</w:t>
      </w:r>
      <w:r>
        <w:rPr>
          <w:rFonts w:hint="eastAsia" w:ascii="宋体" w:hAnsi="宋体"/>
          <w:bCs/>
          <w:sz w:val="24"/>
          <w:u w:val="single"/>
          <w:lang w:val="en-US" w:eastAsia="zh-CN"/>
        </w:rPr>
        <w:t>15</w:t>
      </w:r>
      <w:r>
        <w:rPr>
          <w:rFonts w:hint="eastAsia" w:ascii="宋体" w:hAnsi="宋体"/>
          <w:bCs/>
          <w:sz w:val="24"/>
          <w:u w:val="single"/>
        </w:rPr>
        <w:t>点00分</w:t>
      </w:r>
      <w:r>
        <w:rPr>
          <w:rFonts w:hint="eastAsia" w:ascii="宋体" w:hAnsi="宋体"/>
          <w:bCs/>
          <w:sz w:val="24"/>
        </w:rPr>
        <w:t>（北京时间）</w:t>
      </w:r>
    </w:p>
    <w:p w14:paraId="07428E8F">
      <w:pPr>
        <w:spacing w:line="360" w:lineRule="exact"/>
        <w:ind w:firstLine="480" w:firstLineChars="200"/>
        <w:rPr>
          <w:rFonts w:hint="eastAsia" w:ascii="宋体" w:hAnsi="宋体"/>
          <w:color w:val="333333"/>
          <w:sz w:val="24"/>
          <w:shd w:val="clear" w:color="auto" w:fill="FFFFFF"/>
        </w:rPr>
      </w:pPr>
      <w:r>
        <w:rPr>
          <w:rFonts w:hint="eastAsia" w:ascii="宋体" w:hAnsi="宋体"/>
          <w:sz w:val="24"/>
        </w:rPr>
        <w:t>地点：</w:t>
      </w:r>
      <w:bookmarkStart w:id="25" w:name="_Toc35393633"/>
      <w:bookmarkStart w:id="26" w:name="_Toc35393802"/>
      <w:bookmarkStart w:id="27" w:name="_Toc28359016"/>
      <w:bookmarkStart w:id="28" w:name="_Toc28359093"/>
      <w:r>
        <w:rPr>
          <w:rFonts w:hint="eastAsia" w:ascii="宋体" w:hAnsi="宋体"/>
          <w:sz w:val="24"/>
        </w:rPr>
        <w:t>淮南经济技术开发区政务中心B楼七楼开标室</w:t>
      </w:r>
    </w:p>
    <w:p w14:paraId="5E9CD927">
      <w:pPr>
        <w:spacing w:line="360" w:lineRule="exact"/>
        <w:rPr>
          <w:rFonts w:ascii="宋体" w:hAnsi="宋体"/>
          <w:bCs/>
          <w:sz w:val="24"/>
          <w:u w:val="single"/>
        </w:rPr>
      </w:pPr>
      <w:r>
        <w:rPr>
          <w:rFonts w:hint="eastAsia" w:ascii="宋体" w:hAnsi="宋体"/>
          <w:sz w:val="24"/>
        </w:rPr>
        <w:t>五、开启</w:t>
      </w:r>
      <w:bookmarkEnd w:id="25"/>
      <w:bookmarkEnd w:id="26"/>
      <w:bookmarkEnd w:id="27"/>
      <w:bookmarkEnd w:id="28"/>
    </w:p>
    <w:p w14:paraId="19D0D4E9">
      <w:pPr>
        <w:spacing w:line="360" w:lineRule="exact"/>
        <w:ind w:firstLine="480" w:firstLineChars="200"/>
        <w:rPr>
          <w:rFonts w:ascii="宋体" w:hAnsi="宋体"/>
          <w:bCs/>
          <w:sz w:val="24"/>
          <w:u w:val="single"/>
        </w:rPr>
      </w:pPr>
      <w:r>
        <w:rPr>
          <w:rFonts w:hint="eastAsia" w:ascii="宋体" w:hAnsi="宋体"/>
          <w:sz w:val="24"/>
        </w:rPr>
        <w:t>时间：</w:t>
      </w:r>
      <w:r>
        <w:rPr>
          <w:rFonts w:hint="eastAsia" w:ascii="宋体" w:hAnsi="宋体"/>
          <w:sz w:val="24"/>
          <w:u w:val="single"/>
        </w:rPr>
        <w:t>2022</w:t>
      </w:r>
      <w:r>
        <w:rPr>
          <w:rFonts w:hint="eastAsia" w:ascii="宋体" w:hAnsi="宋体"/>
          <w:bCs/>
          <w:sz w:val="24"/>
          <w:u w:val="single"/>
        </w:rPr>
        <w:t>年</w:t>
      </w:r>
      <w:r>
        <w:rPr>
          <w:rFonts w:hint="eastAsia" w:ascii="宋体" w:hAnsi="宋体"/>
          <w:bCs/>
          <w:sz w:val="24"/>
          <w:u w:val="single"/>
          <w:lang w:val="en-US" w:eastAsia="zh-CN"/>
        </w:rPr>
        <w:t>06</w:t>
      </w:r>
      <w:r>
        <w:rPr>
          <w:rFonts w:hint="eastAsia" w:ascii="宋体" w:hAnsi="宋体"/>
          <w:bCs/>
          <w:sz w:val="24"/>
          <w:u w:val="single"/>
        </w:rPr>
        <w:t>月</w:t>
      </w:r>
      <w:r>
        <w:rPr>
          <w:rFonts w:hint="eastAsia" w:ascii="宋体" w:hAnsi="宋体"/>
          <w:bCs/>
          <w:sz w:val="24"/>
          <w:u w:val="single"/>
          <w:lang w:val="en-US" w:eastAsia="zh-CN"/>
        </w:rPr>
        <w:t>20</w:t>
      </w:r>
      <w:r>
        <w:rPr>
          <w:rFonts w:hint="eastAsia" w:ascii="宋体" w:hAnsi="宋体"/>
          <w:bCs/>
          <w:sz w:val="24"/>
          <w:u w:val="single"/>
        </w:rPr>
        <w:t>日</w:t>
      </w:r>
      <w:r>
        <w:rPr>
          <w:rFonts w:hint="eastAsia" w:ascii="宋体" w:hAnsi="宋体"/>
          <w:bCs/>
          <w:sz w:val="24"/>
          <w:u w:val="single"/>
          <w:lang w:val="en-US" w:eastAsia="zh-CN"/>
        </w:rPr>
        <w:t>15</w:t>
      </w:r>
      <w:r>
        <w:rPr>
          <w:rFonts w:hint="eastAsia" w:ascii="宋体" w:hAnsi="宋体"/>
          <w:bCs/>
          <w:sz w:val="24"/>
          <w:u w:val="single"/>
        </w:rPr>
        <w:t>点00 分</w:t>
      </w:r>
      <w:r>
        <w:rPr>
          <w:rFonts w:hint="eastAsia" w:ascii="宋体" w:hAnsi="宋体"/>
          <w:bCs/>
          <w:sz w:val="24"/>
        </w:rPr>
        <w:t>（北京时间）</w:t>
      </w:r>
    </w:p>
    <w:p w14:paraId="390A0B31">
      <w:pPr>
        <w:spacing w:line="360" w:lineRule="exact"/>
        <w:ind w:firstLine="480" w:firstLineChars="200"/>
        <w:rPr>
          <w:rFonts w:hint="eastAsia" w:ascii="宋体" w:hAnsi="宋体"/>
          <w:color w:val="333333"/>
          <w:sz w:val="24"/>
          <w:shd w:val="clear" w:color="auto" w:fill="FFFFFF"/>
        </w:rPr>
      </w:pPr>
      <w:r>
        <w:rPr>
          <w:rFonts w:hint="eastAsia" w:ascii="宋体" w:hAnsi="宋体"/>
          <w:sz w:val="24"/>
        </w:rPr>
        <w:t>地点：</w:t>
      </w:r>
      <w:bookmarkStart w:id="29" w:name="_Toc35393803"/>
      <w:bookmarkStart w:id="30" w:name="_Toc28359094"/>
      <w:bookmarkStart w:id="31" w:name="_Toc35393634"/>
      <w:bookmarkStart w:id="32" w:name="_Toc28359017"/>
      <w:r>
        <w:rPr>
          <w:rFonts w:hint="eastAsia" w:ascii="宋体" w:hAnsi="宋体"/>
          <w:sz w:val="24"/>
        </w:rPr>
        <w:t>淮南经济技术开发区政务中心B楼七楼开标室</w:t>
      </w:r>
    </w:p>
    <w:p w14:paraId="404CFF3A">
      <w:pPr>
        <w:spacing w:line="360" w:lineRule="exact"/>
        <w:rPr>
          <w:rFonts w:ascii="宋体" w:hAnsi="宋体"/>
          <w:bCs/>
          <w:sz w:val="24"/>
          <w:u w:val="single"/>
        </w:rPr>
      </w:pPr>
      <w:r>
        <w:rPr>
          <w:rFonts w:hint="eastAsia" w:ascii="宋体" w:hAnsi="宋体"/>
          <w:sz w:val="24"/>
        </w:rPr>
        <w:t>六、公告期限</w:t>
      </w:r>
      <w:bookmarkEnd w:id="29"/>
      <w:bookmarkEnd w:id="30"/>
      <w:bookmarkEnd w:id="31"/>
      <w:bookmarkEnd w:id="32"/>
    </w:p>
    <w:p w14:paraId="4CE8FD32">
      <w:pPr>
        <w:spacing w:line="360" w:lineRule="exact"/>
        <w:ind w:firstLine="480" w:firstLineChars="200"/>
        <w:rPr>
          <w:rFonts w:hint="eastAsia" w:ascii="宋体" w:hAnsi="宋体"/>
          <w:kern w:val="0"/>
          <w:sz w:val="24"/>
        </w:rPr>
      </w:pPr>
      <w:r>
        <w:rPr>
          <w:rFonts w:hint="eastAsia" w:ascii="宋体" w:hAnsi="宋体"/>
          <w:kern w:val="0"/>
          <w:sz w:val="24"/>
        </w:rPr>
        <w:t>自本公告发布之日起3个工作日。</w:t>
      </w:r>
      <w:bookmarkStart w:id="33" w:name="_Toc35393635"/>
      <w:bookmarkStart w:id="34" w:name="_Toc35393804"/>
    </w:p>
    <w:p w14:paraId="5EBF1400">
      <w:pPr>
        <w:numPr>
          <w:ilvl w:val="0"/>
          <w:numId w:val="2"/>
        </w:numPr>
        <w:spacing w:line="360" w:lineRule="exact"/>
        <w:rPr>
          <w:rFonts w:hint="eastAsia" w:ascii="宋体" w:hAnsi="宋体"/>
          <w:sz w:val="24"/>
        </w:rPr>
      </w:pPr>
      <w:r>
        <w:rPr>
          <w:rFonts w:hint="eastAsia" w:ascii="宋体" w:hAnsi="宋体"/>
          <w:sz w:val="24"/>
        </w:rPr>
        <w:t>其他补充事宜</w:t>
      </w:r>
      <w:bookmarkEnd w:id="33"/>
      <w:bookmarkEnd w:id="34"/>
    </w:p>
    <w:p w14:paraId="7BC10AFF">
      <w:pPr>
        <w:widowControl/>
        <w:shd w:val="clear" w:color="auto" w:fill="FFFFFF"/>
        <w:spacing w:line="360" w:lineRule="exact"/>
        <w:ind w:firstLine="480" w:firstLineChars="200"/>
        <w:jc w:val="left"/>
        <w:rPr>
          <w:rFonts w:hint="eastAsia" w:ascii="宋体" w:hAnsi="宋体"/>
          <w:kern w:val="0"/>
          <w:sz w:val="24"/>
        </w:rPr>
      </w:pPr>
      <w:r>
        <w:rPr>
          <w:rFonts w:hint="eastAsia" w:ascii="宋体" w:hAnsi="宋体"/>
          <w:kern w:val="0"/>
          <w:sz w:val="24"/>
        </w:rPr>
        <w:t>1、发布媒介：淮南经济技术开发区管理委员网（http://jkq.huainan.gov.cn/index.html）</w:t>
      </w:r>
    </w:p>
    <w:p w14:paraId="3C20B7A5">
      <w:pPr>
        <w:widowControl/>
        <w:shd w:val="clear" w:color="auto" w:fill="FFFFFF"/>
        <w:spacing w:line="360" w:lineRule="exact"/>
        <w:ind w:firstLine="480" w:firstLineChars="200"/>
        <w:rPr>
          <w:rFonts w:hint="eastAsia" w:ascii="宋体" w:hAnsi="宋体"/>
          <w:kern w:val="0"/>
          <w:sz w:val="24"/>
        </w:rPr>
      </w:pPr>
      <w:r>
        <w:rPr>
          <w:rFonts w:hint="eastAsia" w:ascii="宋体" w:hAnsi="宋体"/>
          <w:kern w:val="0"/>
          <w:sz w:val="24"/>
        </w:rPr>
        <w:t>2、关于本项目的变更、答疑等信息将在淮南经济技术开发区管理委员网站（http://jkq.huainan.gov.cn/index.html）</w:t>
      </w:r>
      <w:r>
        <w:rPr>
          <w:rFonts w:hint="eastAsia" w:ascii="宋体" w:hAnsi="宋体"/>
          <w:kern w:val="0"/>
          <w:sz w:val="24"/>
        </w:rPr>
        <w:fldChar w:fldCharType="begin"/>
      </w:r>
      <w:r>
        <w:rPr>
          <w:rFonts w:hint="eastAsia" w:ascii="宋体" w:hAnsi="宋体"/>
          <w:kern w:val="0"/>
          <w:sz w:val="24"/>
        </w:rPr>
        <w:instrText xml:space="preserve"> HYPERLINK "http://www.tja.gov.cn/zt/zbcgzl/index.html）上发布，请投标人随时关注网上信息。如因投标人没有及时关注网站信息造成的后果由投标人自行承担。"</w:instrText>
      </w:r>
      <w:r>
        <w:rPr>
          <w:rFonts w:hint="eastAsia" w:ascii="宋体" w:hAnsi="宋体"/>
          <w:kern w:val="0"/>
          <w:sz w:val="24"/>
        </w:rPr>
        <w:fldChar w:fldCharType="separate"/>
      </w:r>
      <w:r>
        <w:rPr>
          <w:rFonts w:hint="eastAsia" w:ascii="宋体" w:hAnsi="宋体"/>
          <w:kern w:val="0"/>
          <w:sz w:val="24"/>
        </w:rPr>
        <w:t>上发布，请投标人随时关注网上信息。如因投标人没有及时关注网站信息造成的后果由投标人自行承担。</w:t>
      </w:r>
      <w:r>
        <w:rPr>
          <w:rFonts w:hint="eastAsia" w:ascii="宋体" w:hAnsi="宋体"/>
          <w:kern w:val="0"/>
          <w:sz w:val="24"/>
        </w:rPr>
        <w:fldChar w:fldCharType="end"/>
      </w:r>
    </w:p>
    <w:p w14:paraId="3CCF96BA">
      <w:pPr>
        <w:widowControl/>
        <w:shd w:val="clear" w:color="auto" w:fill="FFFFFF"/>
        <w:spacing w:line="360" w:lineRule="exact"/>
        <w:ind w:firstLine="480" w:firstLineChars="200"/>
        <w:jc w:val="left"/>
        <w:rPr>
          <w:rFonts w:ascii="宋体" w:hAnsi="宋体"/>
          <w:kern w:val="0"/>
          <w:sz w:val="24"/>
        </w:rPr>
      </w:pPr>
      <w:bookmarkStart w:id="35" w:name="_Toc28359018"/>
      <w:bookmarkStart w:id="36" w:name="_Toc35393636"/>
      <w:bookmarkStart w:id="37" w:name="_Toc28359095"/>
      <w:bookmarkStart w:id="38" w:name="_Toc35393805"/>
      <w:r>
        <w:rPr>
          <w:rFonts w:hint="eastAsia" w:ascii="宋体" w:hAnsi="宋体"/>
          <w:kern w:val="0"/>
          <w:sz w:val="24"/>
        </w:rPr>
        <w:t>3、投标保证金（本项目落实《关于政府采购投标保证金有关事项的通知》（淮公管督﹝2020﹞121号）文件要求，不收取投标保证金,但必须按照招标文件要求递交“投标承诺书”。</w:t>
      </w:r>
    </w:p>
    <w:p w14:paraId="7086C369">
      <w:pPr>
        <w:widowControl/>
        <w:shd w:val="clear" w:color="auto" w:fill="FFFFFF"/>
        <w:spacing w:line="360" w:lineRule="exact"/>
        <w:ind w:firstLine="480" w:firstLineChars="200"/>
        <w:jc w:val="left"/>
        <w:rPr>
          <w:rFonts w:hint="eastAsia" w:ascii="宋体" w:hAnsi="宋体"/>
          <w:kern w:val="0"/>
          <w:sz w:val="24"/>
        </w:rPr>
      </w:pPr>
      <w:r>
        <w:rPr>
          <w:rFonts w:hint="eastAsia" w:ascii="宋体" w:hAnsi="宋体"/>
          <w:kern w:val="0"/>
          <w:sz w:val="24"/>
        </w:rPr>
        <w:t>）</w:t>
      </w:r>
    </w:p>
    <w:p w14:paraId="3DE59866">
      <w:pPr>
        <w:widowControl/>
        <w:shd w:val="clear" w:color="auto" w:fill="FFFFFF"/>
        <w:spacing w:line="360" w:lineRule="exact"/>
        <w:ind w:firstLine="480" w:firstLineChars="200"/>
        <w:jc w:val="left"/>
        <w:rPr>
          <w:rFonts w:hint="eastAsia" w:ascii="宋体" w:hAnsi="宋体"/>
          <w:kern w:val="0"/>
          <w:sz w:val="24"/>
        </w:rPr>
      </w:pPr>
      <w:r>
        <w:rPr>
          <w:rFonts w:hint="eastAsia" w:ascii="宋体" w:hAnsi="宋体"/>
          <w:kern w:val="0"/>
          <w:sz w:val="24"/>
        </w:rPr>
        <w:t>4、防疫要求：疫情期间现场只允许各潜在投标人委派一名工作人员持授权委托书、距离开标截止时间前48小时核酸证明(阴性)前来开标现场，参加开标人员必须佩戴口罩、测体温、查验“安康码、行程码”，“安康码、行程码”为绿色码方可进入开标室，做好疫情防护，并进行双码联查。</w:t>
      </w:r>
    </w:p>
    <w:p w14:paraId="397B6D7E">
      <w:pPr>
        <w:widowControl/>
        <w:shd w:val="clear" w:color="auto" w:fill="FFFFFF"/>
        <w:spacing w:line="360" w:lineRule="exact"/>
        <w:ind w:firstLine="480" w:firstLineChars="200"/>
        <w:jc w:val="left"/>
        <w:rPr>
          <w:rFonts w:hint="eastAsia" w:ascii="宋体" w:hAnsi="宋体"/>
          <w:kern w:val="0"/>
          <w:sz w:val="24"/>
        </w:rPr>
      </w:pPr>
      <w:r>
        <w:rPr>
          <w:rFonts w:hint="eastAsia" w:ascii="宋体" w:hAnsi="宋体"/>
          <w:kern w:val="0"/>
          <w:sz w:val="24"/>
        </w:rPr>
        <w:t>注：疫情期间，投标人应充分考虑现行交通管制等客观因素，开标截止时间前到达开标现场进行排队、查验安康码等事宜的投标人接收其投标文件，开标截止时间后到达现场的投标单位不接收其投标文件。</w:t>
      </w:r>
    </w:p>
    <w:p w14:paraId="6F1664CB">
      <w:pPr>
        <w:widowControl/>
        <w:shd w:val="clear" w:color="auto" w:fill="FFFFFF"/>
        <w:spacing w:line="360" w:lineRule="exact"/>
        <w:ind w:firstLine="480" w:firstLineChars="200"/>
        <w:jc w:val="left"/>
        <w:rPr>
          <w:rFonts w:hint="eastAsia" w:ascii="宋体" w:hAnsi="宋体"/>
          <w:kern w:val="0"/>
          <w:sz w:val="24"/>
        </w:rPr>
      </w:pPr>
      <w:r>
        <w:rPr>
          <w:rFonts w:hint="eastAsia" w:ascii="宋体" w:hAnsi="宋体"/>
          <w:kern w:val="0"/>
          <w:sz w:val="24"/>
        </w:rPr>
        <w:t>5、报名中有任何疑问或问题，请在工作时间（周一至周五，9:00-11:00</w:t>
      </w:r>
      <w:bookmarkStart w:id="149" w:name="_GoBack"/>
      <w:bookmarkEnd w:id="149"/>
      <w:r>
        <w:rPr>
          <w:rFonts w:hint="eastAsia" w:ascii="宋体" w:hAnsi="宋体"/>
          <w:kern w:val="0"/>
          <w:sz w:val="24"/>
        </w:rPr>
        <w:t>，15:00-17:00，节假日休息）与项目联系人联系。</w:t>
      </w:r>
    </w:p>
    <w:p w14:paraId="3F00A9FC">
      <w:pPr>
        <w:widowControl/>
        <w:shd w:val="clear" w:color="auto" w:fill="FFFFFF"/>
        <w:spacing w:line="360" w:lineRule="exact"/>
        <w:rPr>
          <w:rFonts w:hint="eastAsia" w:ascii="宋体" w:hAnsi="宋体"/>
        </w:rPr>
      </w:pPr>
      <w:r>
        <w:rPr>
          <w:rFonts w:hint="eastAsia" w:ascii="宋体" w:hAnsi="宋体"/>
        </w:rPr>
        <w:t>八、凡对本次采购提出询问，请按</w:t>
      </w:r>
      <w:r>
        <w:rPr>
          <w:rFonts w:ascii="宋体" w:hAnsi="宋体"/>
        </w:rPr>
        <w:t>以下方式</w:t>
      </w:r>
      <w:r>
        <w:rPr>
          <w:rFonts w:hint="eastAsia" w:ascii="宋体" w:hAnsi="宋体"/>
        </w:rPr>
        <w:t>联系。</w:t>
      </w:r>
      <w:bookmarkEnd w:id="35"/>
      <w:bookmarkEnd w:id="36"/>
      <w:bookmarkEnd w:id="37"/>
      <w:bookmarkEnd w:id="38"/>
      <w:bookmarkStart w:id="39" w:name="_Toc35393806"/>
      <w:bookmarkStart w:id="40" w:name="_Toc35393637"/>
      <w:bookmarkStart w:id="41" w:name="_Toc28359096"/>
      <w:bookmarkStart w:id="42" w:name="_Toc28359019"/>
    </w:p>
    <w:p w14:paraId="040452A5">
      <w:pPr>
        <w:widowControl/>
        <w:shd w:val="clear" w:color="auto" w:fill="FFFFFF"/>
        <w:spacing w:line="360" w:lineRule="exact"/>
        <w:ind w:firstLine="480" w:firstLineChars="200"/>
        <w:rPr>
          <w:rFonts w:hint="eastAsia" w:ascii="宋体" w:hAnsi="宋体"/>
          <w:kern w:val="0"/>
          <w:sz w:val="24"/>
        </w:rPr>
      </w:pPr>
      <w:r>
        <w:rPr>
          <w:rFonts w:hint="eastAsia" w:ascii="宋体" w:hAnsi="宋体"/>
          <w:kern w:val="0"/>
          <w:sz w:val="24"/>
        </w:rPr>
        <w:t>1.采购人信息</w:t>
      </w:r>
      <w:bookmarkEnd w:id="39"/>
      <w:bookmarkEnd w:id="40"/>
      <w:bookmarkEnd w:id="41"/>
      <w:bookmarkEnd w:id="42"/>
    </w:p>
    <w:p w14:paraId="1B240060">
      <w:pPr>
        <w:widowControl/>
        <w:shd w:val="clear" w:color="auto" w:fill="FFFFFF"/>
        <w:spacing w:line="360" w:lineRule="exact"/>
        <w:ind w:firstLine="480" w:firstLineChars="200"/>
        <w:rPr>
          <w:rFonts w:hint="eastAsia" w:ascii="宋体" w:hAnsi="宋体"/>
          <w:kern w:val="0"/>
          <w:sz w:val="24"/>
        </w:rPr>
      </w:pPr>
      <w:r>
        <w:rPr>
          <w:rFonts w:hint="eastAsia" w:ascii="宋体" w:hAnsi="宋体"/>
          <w:kern w:val="0"/>
          <w:sz w:val="24"/>
        </w:rPr>
        <w:t xml:space="preserve">名    称：安徽省农垦集团淮南农场有限公司 </w:t>
      </w:r>
    </w:p>
    <w:p w14:paraId="0463EBE3">
      <w:pPr>
        <w:widowControl/>
        <w:shd w:val="clear" w:color="auto" w:fill="FFFFFF"/>
        <w:spacing w:line="360" w:lineRule="exact"/>
        <w:ind w:firstLine="480" w:firstLineChars="200"/>
        <w:rPr>
          <w:rFonts w:hint="eastAsia" w:ascii="宋体" w:hAnsi="宋体"/>
          <w:kern w:val="0"/>
          <w:sz w:val="24"/>
        </w:rPr>
      </w:pPr>
      <w:r>
        <w:rPr>
          <w:rFonts w:hint="eastAsia" w:ascii="宋体" w:hAnsi="宋体"/>
          <w:kern w:val="0"/>
          <w:sz w:val="24"/>
        </w:rPr>
        <w:t xml:space="preserve">地    址：淮南市朝阳东路与206国道交叉口南 </w:t>
      </w:r>
    </w:p>
    <w:p w14:paraId="7FC15BAC">
      <w:pPr>
        <w:widowControl/>
        <w:shd w:val="clear" w:color="auto" w:fill="FFFFFF"/>
        <w:spacing w:line="360" w:lineRule="exact"/>
        <w:ind w:firstLine="480" w:firstLineChars="200"/>
        <w:rPr>
          <w:rFonts w:hint="eastAsia" w:ascii="宋体" w:hAnsi="宋体"/>
          <w:kern w:val="0"/>
          <w:sz w:val="24"/>
        </w:rPr>
      </w:pPr>
      <w:r>
        <w:rPr>
          <w:rFonts w:hint="eastAsia" w:ascii="宋体" w:hAnsi="宋体"/>
          <w:kern w:val="0"/>
          <w:sz w:val="24"/>
        </w:rPr>
        <w:t>联系方式：</w:t>
      </w:r>
      <w:bookmarkStart w:id="43" w:name="_Toc28359020"/>
      <w:bookmarkStart w:id="44" w:name="_Toc28359097"/>
      <w:bookmarkStart w:id="45" w:name="_Toc35393807"/>
      <w:bookmarkStart w:id="46" w:name="_Toc35393638"/>
      <w:r>
        <w:rPr>
          <w:rFonts w:hint="eastAsia" w:ascii="宋体" w:hAnsi="宋体"/>
          <w:kern w:val="0"/>
          <w:sz w:val="24"/>
        </w:rPr>
        <w:t xml:space="preserve">张工 </w:t>
      </w:r>
    </w:p>
    <w:p w14:paraId="3C824DFE">
      <w:pPr>
        <w:widowControl/>
        <w:shd w:val="clear" w:color="auto" w:fill="FFFFFF"/>
        <w:spacing w:line="360" w:lineRule="exact"/>
        <w:ind w:firstLine="480" w:firstLineChars="200"/>
        <w:rPr>
          <w:rFonts w:hint="eastAsia" w:ascii="宋体" w:hAnsi="宋体"/>
          <w:kern w:val="0"/>
          <w:sz w:val="24"/>
        </w:rPr>
      </w:pPr>
      <w:r>
        <w:rPr>
          <w:rFonts w:hint="eastAsia" w:ascii="宋体" w:hAnsi="宋体"/>
          <w:kern w:val="0"/>
          <w:sz w:val="24"/>
        </w:rPr>
        <w:t>采购代理机构信息</w:t>
      </w:r>
      <w:bookmarkEnd w:id="43"/>
      <w:bookmarkEnd w:id="44"/>
      <w:bookmarkEnd w:id="45"/>
      <w:bookmarkEnd w:id="46"/>
    </w:p>
    <w:p w14:paraId="0E8C179C">
      <w:pPr>
        <w:widowControl/>
        <w:shd w:val="clear" w:color="auto" w:fill="FFFFFF"/>
        <w:spacing w:line="360" w:lineRule="exact"/>
        <w:ind w:firstLine="480" w:firstLineChars="200"/>
        <w:rPr>
          <w:rFonts w:hint="eastAsia" w:ascii="宋体" w:hAnsi="宋体"/>
          <w:kern w:val="0"/>
          <w:sz w:val="24"/>
        </w:rPr>
      </w:pPr>
      <w:r>
        <w:rPr>
          <w:rFonts w:hint="eastAsia" w:ascii="宋体" w:hAnsi="宋体"/>
          <w:kern w:val="0"/>
          <w:sz w:val="24"/>
        </w:rPr>
        <w:t>名    称：安徽新天源建设咨询有限公司</w:t>
      </w:r>
    </w:p>
    <w:p w14:paraId="6C005522">
      <w:pPr>
        <w:widowControl/>
        <w:shd w:val="clear" w:color="auto" w:fill="FFFFFF"/>
        <w:spacing w:line="360" w:lineRule="exact"/>
        <w:ind w:firstLine="480" w:firstLineChars="200"/>
        <w:rPr>
          <w:rFonts w:hint="eastAsia" w:ascii="宋体" w:hAnsi="宋体"/>
          <w:kern w:val="0"/>
          <w:sz w:val="24"/>
        </w:rPr>
      </w:pPr>
      <w:r>
        <w:rPr>
          <w:rFonts w:hint="eastAsia" w:ascii="宋体" w:hAnsi="宋体"/>
          <w:kern w:val="0"/>
          <w:sz w:val="24"/>
        </w:rPr>
        <w:t>地    址：淮南市田家庵区八佰伴后师院公寓楼1号楼2单元2201室</w:t>
      </w:r>
    </w:p>
    <w:p w14:paraId="73B27FA6">
      <w:pPr>
        <w:widowControl/>
        <w:shd w:val="clear" w:color="auto" w:fill="FFFFFF"/>
        <w:spacing w:line="360" w:lineRule="exact"/>
        <w:ind w:firstLine="480" w:firstLineChars="200"/>
        <w:rPr>
          <w:rFonts w:ascii="宋体" w:hAnsi="宋体"/>
          <w:kern w:val="0"/>
          <w:sz w:val="24"/>
        </w:rPr>
      </w:pPr>
      <w:r>
        <w:rPr>
          <w:rFonts w:hint="eastAsia" w:ascii="宋体" w:hAnsi="宋体"/>
          <w:kern w:val="0"/>
          <w:sz w:val="24"/>
        </w:rPr>
        <w:t>联系方式：0554-6666288</w:t>
      </w:r>
      <w:bookmarkStart w:id="47" w:name="_Toc28359021"/>
      <w:bookmarkStart w:id="48" w:name="_Toc35393639"/>
      <w:bookmarkStart w:id="49" w:name="_Toc28359098"/>
      <w:bookmarkStart w:id="50" w:name="_Toc35393808"/>
      <w:r>
        <w:rPr>
          <w:rFonts w:hint="eastAsia" w:ascii="宋体" w:hAnsi="宋体"/>
          <w:kern w:val="0"/>
          <w:sz w:val="24"/>
        </w:rPr>
        <w:t>、13855493049</w:t>
      </w:r>
    </w:p>
    <w:p w14:paraId="78A9B798">
      <w:pPr>
        <w:spacing w:line="360" w:lineRule="exact"/>
        <w:rPr>
          <w:rFonts w:ascii="宋体" w:hAnsi="宋体"/>
          <w:sz w:val="24"/>
        </w:rPr>
      </w:pPr>
      <w:r>
        <w:rPr>
          <w:rFonts w:hint="eastAsia" w:ascii="宋体" w:hAnsi="宋体"/>
          <w:sz w:val="24"/>
        </w:rPr>
        <w:t xml:space="preserve">    3.项目联系</w:t>
      </w:r>
      <w:r>
        <w:rPr>
          <w:rFonts w:ascii="宋体" w:hAnsi="宋体"/>
          <w:sz w:val="24"/>
        </w:rPr>
        <w:t>方式</w:t>
      </w:r>
      <w:bookmarkEnd w:id="47"/>
      <w:bookmarkEnd w:id="48"/>
      <w:bookmarkEnd w:id="49"/>
      <w:bookmarkEnd w:id="50"/>
    </w:p>
    <w:p w14:paraId="6B1E3D41">
      <w:pPr>
        <w:pStyle w:val="11"/>
        <w:spacing w:line="360" w:lineRule="exact"/>
        <w:rPr>
          <w:rFonts w:hAnsi="宋体"/>
          <w:sz w:val="24"/>
          <w:szCs w:val="24"/>
        </w:rPr>
      </w:pPr>
      <w:r>
        <w:rPr>
          <w:rFonts w:hint="eastAsia" w:hAnsi="宋体"/>
          <w:sz w:val="24"/>
          <w:szCs w:val="24"/>
        </w:rPr>
        <w:t xml:space="preserve">    项目联系人：</w:t>
      </w:r>
      <w:r>
        <w:rPr>
          <w:rFonts w:hint="eastAsia" w:hAnsi="宋体"/>
          <w:sz w:val="24"/>
          <w:szCs w:val="24"/>
          <w:u w:val="single"/>
          <w:lang w:eastAsia="zh-CN"/>
        </w:rPr>
        <w:t>张工</w:t>
      </w:r>
      <w:r>
        <w:rPr>
          <w:rFonts w:hint="eastAsia" w:hAnsi="宋体"/>
          <w:sz w:val="24"/>
          <w:szCs w:val="24"/>
          <w:u w:val="single"/>
        </w:rPr>
        <w:t xml:space="preserve"> 、赵明娅</w:t>
      </w:r>
    </w:p>
    <w:p w14:paraId="052421DE">
      <w:pPr>
        <w:pStyle w:val="16"/>
        <w:spacing w:before="106" w:beforeAutospacing="0" w:after="120" w:afterAutospacing="0" w:line="21" w:lineRule="atLeast"/>
        <w:ind w:right="-34" w:firstLine="480" w:firstLineChars="200"/>
        <w:jc w:val="both"/>
        <w:textAlignment w:val="baseline"/>
        <w:rPr>
          <w:kern w:val="44"/>
          <w:sz w:val="32"/>
          <w:szCs w:val="32"/>
        </w:rPr>
        <w:sectPr>
          <w:footerReference r:id="rId3" w:type="default"/>
          <w:pgSz w:w="11907" w:h="16840"/>
          <w:pgMar w:top="1440" w:right="1080" w:bottom="1440" w:left="1080" w:header="720" w:footer="720" w:gutter="0"/>
          <w:cols w:space="720" w:num="1"/>
          <w:docGrid w:type="lines" w:linePitch="530" w:charSpace="0"/>
        </w:sectPr>
      </w:pPr>
      <w:r>
        <w:rPr>
          <w:rFonts w:hint="eastAsia"/>
        </w:rPr>
        <w:t>电      话：0554-3607419 、0554-6666288</w:t>
      </w:r>
      <w:bookmarkEnd w:id="6"/>
      <w:bookmarkEnd w:id="7"/>
      <w:r>
        <w:rPr>
          <w:rFonts w:hint="eastAsia"/>
        </w:rPr>
        <w:t>、13855493049</w:t>
      </w:r>
    </w:p>
    <w:bookmarkEnd w:id="8"/>
    <w:p w14:paraId="5CDE1847">
      <w:pPr>
        <w:pStyle w:val="4"/>
        <w:spacing w:before="0" w:after="0" w:line="360" w:lineRule="auto"/>
        <w:jc w:val="center"/>
        <w:rPr>
          <w:rFonts w:hint="eastAsia" w:ascii="宋体" w:hAnsi="宋体" w:cs="宋体"/>
          <w:sz w:val="36"/>
          <w:szCs w:val="36"/>
        </w:rPr>
      </w:pPr>
      <w:r>
        <w:rPr>
          <w:rFonts w:hint="eastAsia" w:ascii="宋体" w:hAnsi="宋体" w:cs="宋体"/>
          <w:b w:val="0"/>
          <w:bCs w:val="0"/>
          <w:sz w:val="32"/>
          <w:szCs w:val="32"/>
        </w:rPr>
        <w:t>第二章 磋商须知前附表及磋商须知</w:t>
      </w:r>
    </w:p>
    <w:tbl>
      <w:tblPr>
        <w:tblStyle w:val="19"/>
        <w:tblW w:w="0" w:type="auto"/>
        <w:jc w:val="center"/>
        <w:tblLayout w:type="fixed"/>
        <w:tblCellMar>
          <w:top w:w="0" w:type="dxa"/>
          <w:left w:w="108" w:type="dxa"/>
          <w:bottom w:w="0" w:type="dxa"/>
          <w:right w:w="108" w:type="dxa"/>
        </w:tblCellMar>
      </w:tblPr>
      <w:tblGrid>
        <w:gridCol w:w="928"/>
        <w:gridCol w:w="2380"/>
        <w:gridCol w:w="6625"/>
      </w:tblGrid>
      <w:tr w14:paraId="6641E9F7">
        <w:tblPrEx>
          <w:tblCellMar>
            <w:top w:w="0" w:type="dxa"/>
            <w:left w:w="108" w:type="dxa"/>
            <w:bottom w:w="0" w:type="dxa"/>
            <w:right w:w="108" w:type="dxa"/>
          </w:tblCellMar>
        </w:tblPrEx>
        <w:trPr>
          <w:trHeight w:val="555"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EBD6931">
            <w:pPr>
              <w:spacing w:line="400" w:lineRule="exact"/>
              <w:jc w:val="center"/>
              <w:rPr>
                <w:rFonts w:hint="eastAsia" w:ascii="宋体" w:hAnsi="宋体"/>
                <w:b/>
                <w:bCs/>
                <w:kern w:val="0"/>
                <w:sz w:val="24"/>
                <w:szCs w:val="24"/>
              </w:rPr>
            </w:pPr>
            <w:bookmarkStart w:id="51" w:name="_Toc382508380"/>
            <w:bookmarkEnd w:id="51"/>
            <w:r>
              <w:rPr>
                <w:rFonts w:hint="eastAsia" w:ascii="宋体" w:hAnsi="宋体"/>
                <w:b/>
                <w:bCs/>
                <w:kern w:val="0"/>
                <w:sz w:val="24"/>
                <w:szCs w:val="24"/>
              </w:rPr>
              <w:t>序号</w:t>
            </w:r>
          </w:p>
        </w:tc>
        <w:tc>
          <w:tcPr>
            <w:tcW w:w="2380" w:type="dxa"/>
            <w:tcBorders>
              <w:top w:val="single" w:color="auto" w:sz="4" w:space="0"/>
              <w:left w:val="nil"/>
              <w:bottom w:val="single" w:color="auto" w:sz="4" w:space="0"/>
              <w:right w:val="single" w:color="auto" w:sz="4" w:space="0"/>
            </w:tcBorders>
            <w:noWrap w:val="0"/>
            <w:vAlign w:val="center"/>
          </w:tcPr>
          <w:p w14:paraId="5E9B7A97">
            <w:pPr>
              <w:spacing w:line="400" w:lineRule="exact"/>
              <w:jc w:val="center"/>
              <w:textAlignment w:val="center"/>
              <w:rPr>
                <w:rFonts w:hint="eastAsia" w:ascii="宋体" w:hAnsi="宋体"/>
                <w:b/>
                <w:bCs/>
                <w:kern w:val="0"/>
                <w:sz w:val="24"/>
                <w:szCs w:val="24"/>
              </w:rPr>
            </w:pPr>
            <w:r>
              <w:rPr>
                <w:rFonts w:hint="eastAsia" w:ascii="宋体" w:hAnsi="宋体"/>
                <w:b/>
                <w:bCs/>
                <w:kern w:val="0"/>
                <w:sz w:val="24"/>
                <w:szCs w:val="24"/>
              </w:rPr>
              <w:t>条款名称</w:t>
            </w:r>
          </w:p>
        </w:tc>
        <w:tc>
          <w:tcPr>
            <w:tcW w:w="6625" w:type="dxa"/>
            <w:tcBorders>
              <w:top w:val="single" w:color="auto" w:sz="4" w:space="0"/>
              <w:left w:val="nil"/>
              <w:bottom w:val="single" w:color="auto" w:sz="4" w:space="0"/>
              <w:right w:val="single" w:color="auto" w:sz="4" w:space="0"/>
            </w:tcBorders>
            <w:noWrap w:val="0"/>
            <w:vAlign w:val="center"/>
          </w:tcPr>
          <w:p w14:paraId="436B6571">
            <w:pPr>
              <w:spacing w:line="400" w:lineRule="exact"/>
              <w:jc w:val="center"/>
              <w:textAlignment w:val="center"/>
              <w:rPr>
                <w:rFonts w:hint="eastAsia" w:ascii="宋体" w:hAnsi="宋体"/>
                <w:b/>
                <w:bCs/>
                <w:kern w:val="0"/>
                <w:sz w:val="24"/>
                <w:szCs w:val="24"/>
              </w:rPr>
            </w:pPr>
            <w:r>
              <w:rPr>
                <w:rFonts w:hint="eastAsia" w:ascii="宋体" w:hAnsi="宋体"/>
                <w:b/>
                <w:bCs/>
                <w:kern w:val="0"/>
                <w:sz w:val="24"/>
                <w:szCs w:val="24"/>
              </w:rPr>
              <w:t>编列内容</w:t>
            </w:r>
          </w:p>
        </w:tc>
      </w:tr>
      <w:tr w14:paraId="6142CFAF">
        <w:tblPrEx>
          <w:tblCellMar>
            <w:top w:w="0" w:type="dxa"/>
            <w:left w:w="108" w:type="dxa"/>
            <w:bottom w:w="0" w:type="dxa"/>
            <w:right w:w="108" w:type="dxa"/>
          </w:tblCellMar>
        </w:tblPrEx>
        <w:trPr>
          <w:trHeight w:val="1280"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53D37112">
            <w:pPr>
              <w:jc w:val="center"/>
              <w:rPr>
                <w:rFonts w:hint="eastAsia" w:ascii="宋体" w:hAnsi="宋体"/>
                <w:kern w:val="0"/>
                <w:sz w:val="24"/>
                <w:szCs w:val="24"/>
              </w:rPr>
            </w:pPr>
            <w:r>
              <w:rPr>
                <w:rFonts w:hint="eastAsia" w:ascii="宋体" w:hAnsi="宋体"/>
                <w:kern w:val="0"/>
                <w:sz w:val="24"/>
                <w:szCs w:val="24"/>
              </w:rPr>
              <w:t>1</w:t>
            </w:r>
          </w:p>
        </w:tc>
        <w:tc>
          <w:tcPr>
            <w:tcW w:w="2380" w:type="dxa"/>
            <w:tcBorders>
              <w:top w:val="single" w:color="auto" w:sz="4" w:space="0"/>
              <w:left w:val="nil"/>
              <w:bottom w:val="single" w:color="auto" w:sz="4" w:space="0"/>
              <w:right w:val="single" w:color="auto" w:sz="4" w:space="0"/>
            </w:tcBorders>
            <w:noWrap w:val="0"/>
            <w:vAlign w:val="center"/>
          </w:tcPr>
          <w:p w14:paraId="7FC2E55D">
            <w:pPr>
              <w:jc w:val="center"/>
              <w:rPr>
                <w:rFonts w:hint="eastAsia" w:ascii="宋体" w:hAnsi="宋体"/>
                <w:kern w:val="0"/>
                <w:sz w:val="24"/>
                <w:szCs w:val="24"/>
              </w:rPr>
            </w:pPr>
            <w:r>
              <w:rPr>
                <w:rFonts w:hint="eastAsia" w:ascii="宋体" w:hAnsi="宋体"/>
                <w:kern w:val="0"/>
                <w:sz w:val="24"/>
                <w:szCs w:val="24"/>
              </w:rPr>
              <w:t>采购人</w:t>
            </w:r>
          </w:p>
        </w:tc>
        <w:tc>
          <w:tcPr>
            <w:tcW w:w="6625" w:type="dxa"/>
            <w:tcBorders>
              <w:top w:val="single" w:color="auto" w:sz="4" w:space="0"/>
              <w:left w:val="nil"/>
              <w:bottom w:val="single" w:color="auto" w:sz="4" w:space="0"/>
              <w:right w:val="single" w:color="auto" w:sz="4" w:space="0"/>
            </w:tcBorders>
            <w:noWrap w:val="0"/>
            <w:vAlign w:val="center"/>
          </w:tcPr>
          <w:p w14:paraId="0773C209">
            <w:pPr>
              <w:jc w:val="left"/>
              <w:rPr>
                <w:rFonts w:hint="eastAsia" w:ascii="宋体" w:hAnsi="宋体"/>
                <w:kern w:val="0"/>
                <w:sz w:val="24"/>
                <w:szCs w:val="24"/>
              </w:rPr>
            </w:pPr>
            <w:r>
              <w:rPr>
                <w:rFonts w:hint="eastAsia" w:ascii="宋体" w:hAnsi="宋体"/>
                <w:kern w:val="0"/>
                <w:sz w:val="24"/>
                <w:szCs w:val="24"/>
              </w:rPr>
              <w:t>采购人：安徽省农垦集团淮南农场有限公司</w:t>
            </w:r>
            <w:r>
              <w:rPr>
                <w:rFonts w:hint="eastAsia" w:ascii="宋体" w:hAnsi="宋体"/>
                <w:sz w:val="24"/>
                <w:szCs w:val="24"/>
              </w:rPr>
              <w:t xml:space="preserve"> </w:t>
            </w:r>
          </w:p>
          <w:p w14:paraId="54360286">
            <w:pPr>
              <w:jc w:val="left"/>
              <w:rPr>
                <w:rFonts w:hint="eastAsia" w:ascii="宋体" w:hAnsi="宋体"/>
                <w:sz w:val="24"/>
                <w:szCs w:val="24"/>
              </w:rPr>
            </w:pPr>
            <w:r>
              <w:rPr>
                <w:rFonts w:hint="eastAsia" w:ascii="宋体" w:hAnsi="宋体"/>
                <w:kern w:val="0"/>
                <w:sz w:val="24"/>
                <w:szCs w:val="24"/>
              </w:rPr>
              <w:t>地  址：淮南市朝阳东路与206国道交叉口南</w:t>
            </w:r>
            <w:r>
              <w:rPr>
                <w:rFonts w:hint="eastAsia" w:ascii="宋体" w:hAnsi="宋体"/>
                <w:sz w:val="24"/>
                <w:szCs w:val="24"/>
              </w:rPr>
              <w:t xml:space="preserve"> </w:t>
            </w:r>
          </w:p>
          <w:p w14:paraId="54D26D90">
            <w:pPr>
              <w:jc w:val="left"/>
              <w:rPr>
                <w:rFonts w:hint="eastAsia" w:ascii="宋体" w:hAnsi="宋体"/>
                <w:kern w:val="0"/>
                <w:sz w:val="24"/>
                <w:szCs w:val="24"/>
              </w:rPr>
            </w:pPr>
            <w:r>
              <w:rPr>
                <w:rFonts w:hint="eastAsia" w:ascii="宋体" w:hAnsi="宋体"/>
                <w:kern w:val="0"/>
                <w:sz w:val="24"/>
                <w:szCs w:val="24"/>
              </w:rPr>
              <w:t xml:space="preserve">联系人：张工 </w:t>
            </w:r>
          </w:p>
          <w:p w14:paraId="23FABAC1">
            <w:pPr>
              <w:jc w:val="left"/>
              <w:rPr>
                <w:rFonts w:hint="eastAsia" w:ascii="宋体" w:hAnsi="宋体"/>
                <w:kern w:val="0"/>
                <w:sz w:val="24"/>
                <w:szCs w:val="24"/>
              </w:rPr>
            </w:pPr>
            <w:r>
              <w:rPr>
                <w:rFonts w:hint="eastAsia" w:ascii="宋体" w:hAnsi="宋体"/>
                <w:kern w:val="0"/>
                <w:sz w:val="24"/>
                <w:szCs w:val="24"/>
              </w:rPr>
              <w:t>电  话：0554-3607419</w:t>
            </w:r>
            <w:r>
              <w:rPr>
                <w:rFonts w:hint="eastAsia" w:ascii="宋体" w:hAnsi="宋体"/>
                <w:sz w:val="24"/>
                <w:szCs w:val="24"/>
              </w:rPr>
              <w:t xml:space="preserve"> </w:t>
            </w:r>
          </w:p>
        </w:tc>
      </w:tr>
      <w:tr w14:paraId="7C7BA409">
        <w:tblPrEx>
          <w:tblCellMar>
            <w:top w:w="0" w:type="dxa"/>
            <w:left w:w="108" w:type="dxa"/>
            <w:bottom w:w="0" w:type="dxa"/>
            <w:right w:w="108" w:type="dxa"/>
          </w:tblCellMar>
        </w:tblPrEx>
        <w:trPr>
          <w:trHeight w:val="930"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55362F9">
            <w:pPr>
              <w:jc w:val="center"/>
              <w:rPr>
                <w:rFonts w:hint="eastAsia" w:ascii="宋体" w:hAnsi="宋体"/>
                <w:kern w:val="0"/>
                <w:sz w:val="24"/>
                <w:szCs w:val="24"/>
              </w:rPr>
            </w:pPr>
            <w:r>
              <w:rPr>
                <w:rFonts w:hint="eastAsia" w:ascii="宋体" w:hAnsi="宋体"/>
                <w:kern w:val="0"/>
                <w:sz w:val="24"/>
                <w:szCs w:val="24"/>
              </w:rPr>
              <w:t>2</w:t>
            </w:r>
          </w:p>
        </w:tc>
        <w:tc>
          <w:tcPr>
            <w:tcW w:w="2380" w:type="dxa"/>
            <w:tcBorders>
              <w:top w:val="single" w:color="auto" w:sz="4" w:space="0"/>
              <w:left w:val="nil"/>
              <w:bottom w:val="single" w:color="auto" w:sz="4" w:space="0"/>
              <w:right w:val="single" w:color="auto" w:sz="4" w:space="0"/>
            </w:tcBorders>
            <w:noWrap w:val="0"/>
            <w:vAlign w:val="center"/>
          </w:tcPr>
          <w:p w14:paraId="291E05D2">
            <w:pPr>
              <w:jc w:val="center"/>
              <w:rPr>
                <w:rFonts w:hint="eastAsia" w:ascii="宋体" w:hAnsi="宋体"/>
                <w:kern w:val="0"/>
                <w:sz w:val="24"/>
                <w:szCs w:val="24"/>
              </w:rPr>
            </w:pPr>
            <w:r>
              <w:rPr>
                <w:rFonts w:hint="eastAsia" w:ascii="宋体" w:hAnsi="宋体"/>
                <w:kern w:val="0"/>
                <w:sz w:val="24"/>
                <w:szCs w:val="24"/>
              </w:rPr>
              <w:t>代理机构</w:t>
            </w:r>
          </w:p>
        </w:tc>
        <w:tc>
          <w:tcPr>
            <w:tcW w:w="6625" w:type="dxa"/>
            <w:tcBorders>
              <w:top w:val="single" w:color="auto" w:sz="4" w:space="0"/>
              <w:left w:val="nil"/>
              <w:bottom w:val="single" w:color="auto" w:sz="4" w:space="0"/>
              <w:right w:val="single" w:color="auto" w:sz="4" w:space="0"/>
            </w:tcBorders>
            <w:noWrap w:val="0"/>
            <w:vAlign w:val="center"/>
          </w:tcPr>
          <w:p w14:paraId="51A7AB06">
            <w:pPr>
              <w:jc w:val="left"/>
              <w:rPr>
                <w:rFonts w:hint="eastAsia" w:ascii="宋体" w:hAnsi="宋体"/>
                <w:sz w:val="24"/>
                <w:szCs w:val="24"/>
              </w:rPr>
            </w:pPr>
            <w:r>
              <w:rPr>
                <w:rFonts w:hint="eastAsia" w:ascii="宋体" w:hAnsi="宋体"/>
                <w:kern w:val="0"/>
                <w:sz w:val="24"/>
                <w:szCs w:val="24"/>
              </w:rPr>
              <w:t>名  称：</w:t>
            </w:r>
            <w:r>
              <w:rPr>
                <w:rFonts w:hint="eastAsia" w:ascii="宋体" w:hAnsi="宋体"/>
                <w:sz w:val="24"/>
                <w:szCs w:val="24"/>
              </w:rPr>
              <w:t>安徽新天源建设咨询有限公司</w:t>
            </w:r>
          </w:p>
          <w:p w14:paraId="4D421061">
            <w:pPr>
              <w:jc w:val="left"/>
              <w:rPr>
                <w:rFonts w:ascii="宋体" w:hAnsi="宋体"/>
                <w:kern w:val="0"/>
                <w:sz w:val="24"/>
                <w:szCs w:val="24"/>
              </w:rPr>
            </w:pPr>
            <w:r>
              <w:rPr>
                <w:rFonts w:hint="eastAsia" w:ascii="宋体" w:hAnsi="宋体"/>
                <w:kern w:val="0"/>
                <w:sz w:val="24"/>
                <w:szCs w:val="24"/>
              </w:rPr>
              <w:t>地  址：</w:t>
            </w:r>
            <w:r>
              <w:rPr>
                <w:rFonts w:hint="eastAsia" w:ascii="宋体" w:hAnsi="宋体"/>
                <w:sz w:val="24"/>
                <w:szCs w:val="24"/>
              </w:rPr>
              <w:t>淮南市田家庵区八佰伴后师院家属楼1号楼2单元2201室</w:t>
            </w:r>
          </w:p>
          <w:p w14:paraId="5060CAC4">
            <w:pPr>
              <w:jc w:val="left"/>
              <w:rPr>
                <w:rFonts w:hint="eastAsia" w:ascii="宋体" w:hAnsi="宋体"/>
                <w:kern w:val="0"/>
                <w:sz w:val="24"/>
                <w:szCs w:val="24"/>
              </w:rPr>
            </w:pPr>
            <w:r>
              <w:rPr>
                <w:rFonts w:hint="eastAsia" w:ascii="宋体" w:hAnsi="宋体"/>
                <w:kern w:val="0"/>
                <w:sz w:val="24"/>
                <w:szCs w:val="24"/>
              </w:rPr>
              <w:t>联系人：</w:t>
            </w:r>
            <w:r>
              <w:rPr>
                <w:rFonts w:hint="eastAsia" w:ascii="宋体" w:hAnsi="宋体"/>
                <w:sz w:val="24"/>
                <w:szCs w:val="24"/>
              </w:rPr>
              <w:t>赵明娅</w:t>
            </w:r>
          </w:p>
          <w:p w14:paraId="7291D42F">
            <w:pPr>
              <w:jc w:val="left"/>
              <w:rPr>
                <w:rFonts w:hint="eastAsia" w:ascii="宋体" w:hAnsi="宋体"/>
                <w:kern w:val="0"/>
                <w:sz w:val="24"/>
                <w:szCs w:val="24"/>
              </w:rPr>
            </w:pPr>
            <w:r>
              <w:rPr>
                <w:rFonts w:hint="eastAsia" w:ascii="宋体" w:hAnsi="宋体"/>
                <w:kern w:val="0"/>
                <w:sz w:val="24"/>
                <w:szCs w:val="24"/>
              </w:rPr>
              <w:t>电  话：</w:t>
            </w:r>
            <w:r>
              <w:rPr>
                <w:rFonts w:hint="eastAsia" w:ascii="宋体" w:hAnsi="宋体"/>
                <w:sz w:val="24"/>
                <w:szCs w:val="24"/>
              </w:rPr>
              <w:t>0554-6666288 13855493049</w:t>
            </w:r>
          </w:p>
        </w:tc>
      </w:tr>
      <w:tr w14:paraId="6A23EBF4">
        <w:tblPrEx>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7501592">
            <w:pPr>
              <w:jc w:val="center"/>
              <w:rPr>
                <w:rFonts w:hint="eastAsia" w:ascii="宋体" w:hAnsi="宋体"/>
                <w:kern w:val="0"/>
                <w:sz w:val="24"/>
                <w:szCs w:val="24"/>
              </w:rPr>
            </w:pPr>
            <w:r>
              <w:rPr>
                <w:rFonts w:hint="eastAsia" w:ascii="宋体" w:hAnsi="宋体"/>
                <w:kern w:val="0"/>
                <w:sz w:val="24"/>
                <w:szCs w:val="24"/>
              </w:rPr>
              <w:t>3</w:t>
            </w:r>
          </w:p>
        </w:tc>
        <w:tc>
          <w:tcPr>
            <w:tcW w:w="2380" w:type="dxa"/>
            <w:tcBorders>
              <w:top w:val="single" w:color="auto" w:sz="4" w:space="0"/>
              <w:left w:val="nil"/>
              <w:bottom w:val="single" w:color="auto" w:sz="4" w:space="0"/>
              <w:right w:val="single" w:color="auto" w:sz="4" w:space="0"/>
            </w:tcBorders>
            <w:noWrap w:val="0"/>
            <w:vAlign w:val="center"/>
          </w:tcPr>
          <w:p w14:paraId="3123EFDE">
            <w:pPr>
              <w:jc w:val="center"/>
              <w:rPr>
                <w:rFonts w:hint="eastAsia" w:ascii="宋体" w:hAnsi="宋体"/>
                <w:kern w:val="0"/>
                <w:sz w:val="24"/>
                <w:szCs w:val="24"/>
              </w:rPr>
            </w:pPr>
            <w:r>
              <w:rPr>
                <w:rFonts w:hint="eastAsia" w:ascii="宋体" w:hAnsi="宋体"/>
                <w:kern w:val="0"/>
                <w:sz w:val="24"/>
                <w:szCs w:val="24"/>
              </w:rPr>
              <w:t>项目名称</w:t>
            </w:r>
          </w:p>
        </w:tc>
        <w:tc>
          <w:tcPr>
            <w:tcW w:w="6625" w:type="dxa"/>
            <w:tcBorders>
              <w:top w:val="single" w:color="auto" w:sz="4" w:space="0"/>
              <w:left w:val="nil"/>
              <w:bottom w:val="single" w:color="auto" w:sz="4" w:space="0"/>
              <w:right w:val="single" w:color="auto" w:sz="4" w:space="0"/>
            </w:tcBorders>
            <w:noWrap w:val="0"/>
            <w:vAlign w:val="center"/>
          </w:tcPr>
          <w:p w14:paraId="12F95525">
            <w:pPr>
              <w:rPr>
                <w:rFonts w:hint="eastAsia" w:ascii="宋体" w:hAnsi="宋体" w:eastAsia="宋体"/>
                <w:kern w:val="0"/>
                <w:sz w:val="24"/>
                <w:szCs w:val="24"/>
                <w:lang w:eastAsia="zh-CN"/>
              </w:rPr>
            </w:pPr>
            <w:r>
              <w:rPr>
                <w:rFonts w:hint="eastAsia" w:ascii="宋体" w:hAnsi="宋体"/>
                <w:kern w:val="0"/>
                <w:sz w:val="24"/>
                <w:szCs w:val="24"/>
              </w:rPr>
              <w:t>淮南农场有限公司林网规划设计</w:t>
            </w:r>
            <w:r>
              <w:rPr>
                <w:rFonts w:hint="eastAsia" w:ascii="宋体" w:hAnsi="宋体"/>
                <w:kern w:val="0"/>
                <w:sz w:val="24"/>
                <w:szCs w:val="24"/>
                <w:lang w:eastAsia="zh-CN"/>
              </w:rPr>
              <w:t>项目</w:t>
            </w:r>
          </w:p>
        </w:tc>
      </w:tr>
      <w:tr w14:paraId="04EBB54B">
        <w:tblPrEx>
          <w:tblCellMar>
            <w:top w:w="0" w:type="dxa"/>
            <w:left w:w="108" w:type="dxa"/>
            <w:bottom w:w="0" w:type="dxa"/>
            <w:right w:w="108" w:type="dxa"/>
          </w:tblCellMar>
        </w:tblPrEx>
        <w:trPr>
          <w:trHeight w:val="525"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D2B76C3">
            <w:pPr>
              <w:jc w:val="center"/>
              <w:rPr>
                <w:rFonts w:hint="eastAsia" w:ascii="宋体" w:hAnsi="宋体"/>
                <w:kern w:val="0"/>
                <w:sz w:val="24"/>
                <w:szCs w:val="24"/>
              </w:rPr>
            </w:pPr>
            <w:r>
              <w:rPr>
                <w:rFonts w:hint="eastAsia" w:ascii="宋体" w:hAnsi="宋体"/>
                <w:kern w:val="0"/>
                <w:sz w:val="24"/>
                <w:szCs w:val="24"/>
              </w:rPr>
              <w:t>4</w:t>
            </w:r>
          </w:p>
        </w:tc>
        <w:tc>
          <w:tcPr>
            <w:tcW w:w="2380" w:type="dxa"/>
            <w:tcBorders>
              <w:top w:val="single" w:color="auto" w:sz="4" w:space="0"/>
              <w:left w:val="nil"/>
              <w:bottom w:val="single" w:color="auto" w:sz="4" w:space="0"/>
              <w:right w:val="single" w:color="auto" w:sz="4" w:space="0"/>
            </w:tcBorders>
            <w:noWrap w:val="0"/>
            <w:vAlign w:val="center"/>
          </w:tcPr>
          <w:p w14:paraId="7E39A85C">
            <w:pPr>
              <w:jc w:val="center"/>
              <w:rPr>
                <w:rFonts w:hint="eastAsia" w:ascii="宋体" w:hAnsi="宋体"/>
                <w:kern w:val="0"/>
                <w:sz w:val="24"/>
                <w:szCs w:val="24"/>
              </w:rPr>
            </w:pPr>
            <w:r>
              <w:rPr>
                <w:rFonts w:hint="eastAsia" w:ascii="宋体" w:hAnsi="宋体"/>
                <w:kern w:val="0"/>
                <w:sz w:val="24"/>
                <w:szCs w:val="24"/>
              </w:rPr>
              <w:t>服务点</w:t>
            </w:r>
          </w:p>
        </w:tc>
        <w:tc>
          <w:tcPr>
            <w:tcW w:w="6625" w:type="dxa"/>
            <w:tcBorders>
              <w:top w:val="single" w:color="auto" w:sz="4" w:space="0"/>
              <w:left w:val="nil"/>
              <w:bottom w:val="single" w:color="auto" w:sz="4" w:space="0"/>
              <w:right w:val="single" w:color="auto" w:sz="4" w:space="0"/>
            </w:tcBorders>
            <w:noWrap w:val="0"/>
            <w:vAlign w:val="center"/>
          </w:tcPr>
          <w:p w14:paraId="7E829F69">
            <w:pPr>
              <w:jc w:val="left"/>
              <w:rPr>
                <w:rFonts w:hint="eastAsia" w:ascii="宋体" w:hAnsi="宋体"/>
                <w:kern w:val="0"/>
                <w:sz w:val="24"/>
                <w:szCs w:val="24"/>
              </w:rPr>
            </w:pPr>
            <w:r>
              <w:rPr>
                <w:rFonts w:hint="eastAsia" w:ascii="宋体" w:hAnsi="宋体"/>
                <w:kern w:val="0"/>
                <w:sz w:val="24"/>
                <w:szCs w:val="24"/>
              </w:rPr>
              <w:t>淮南经济技术开发区</w:t>
            </w:r>
          </w:p>
        </w:tc>
      </w:tr>
      <w:tr w14:paraId="487B7F1B">
        <w:tblPrEx>
          <w:tblCellMar>
            <w:top w:w="0" w:type="dxa"/>
            <w:left w:w="108" w:type="dxa"/>
            <w:bottom w:w="0" w:type="dxa"/>
            <w:right w:w="108" w:type="dxa"/>
          </w:tblCellMar>
        </w:tblPrEx>
        <w:trPr>
          <w:trHeight w:val="525"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0A3486A">
            <w:pPr>
              <w:jc w:val="center"/>
              <w:rPr>
                <w:rFonts w:hint="eastAsia" w:ascii="宋体" w:hAnsi="宋体"/>
                <w:kern w:val="0"/>
                <w:sz w:val="24"/>
                <w:szCs w:val="24"/>
              </w:rPr>
            </w:pPr>
            <w:r>
              <w:rPr>
                <w:rFonts w:hint="eastAsia" w:ascii="宋体" w:hAnsi="宋体"/>
                <w:kern w:val="0"/>
                <w:sz w:val="24"/>
                <w:szCs w:val="24"/>
              </w:rPr>
              <w:t>5</w:t>
            </w:r>
          </w:p>
        </w:tc>
        <w:tc>
          <w:tcPr>
            <w:tcW w:w="2380" w:type="dxa"/>
            <w:tcBorders>
              <w:top w:val="single" w:color="auto" w:sz="4" w:space="0"/>
              <w:left w:val="nil"/>
              <w:bottom w:val="single" w:color="auto" w:sz="4" w:space="0"/>
              <w:right w:val="single" w:color="auto" w:sz="4" w:space="0"/>
            </w:tcBorders>
            <w:noWrap w:val="0"/>
            <w:vAlign w:val="center"/>
          </w:tcPr>
          <w:p w14:paraId="7A37099D">
            <w:pPr>
              <w:jc w:val="center"/>
              <w:rPr>
                <w:rFonts w:hint="eastAsia" w:ascii="宋体" w:hAnsi="宋体"/>
                <w:kern w:val="0"/>
                <w:sz w:val="24"/>
                <w:szCs w:val="24"/>
              </w:rPr>
            </w:pPr>
            <w:r>
              <w:rPr>
                <w:rFonts w:hint="eastAsia" w:ascii="宋体" w:hAnsi="宋体"/>
                <w:kern w:val="0"/>
                <w:sz w:val="24"/>
                <w:szCs w:val="24"/>
              </w:rPr>
              <w:t>资金来源</w:t>
            </w:r>
          </w:p>
        </w:tc>
        <w:tc>
          <w:tcPr>
            <w:tcW w:w="6625" w:type="dxa"/>
            <w:tcBorders>
              <w:top w:val="single" w:color="auto" w:sz="4" w:space="0"/>
              <w:left w:val="nil"/>
              <w:bottom w:val="single" w:color="auto" w:sz="4" w:space="0"/>
              <w:right w:val="single" w:color="auto" w:sz="4" w:space="0"/>
            </w:tcBorders>
            <w:noWrap w:val="0"/>
            <w:vAlign w:val="center"/>
          </w:tcPr>
          <w:p w14:paraId="2A88C4FA">
            <w:pPr>
              <w:jc w:val="left"/>
              <w:rPr>
                <w:rFonts w:hint="eastAsia" w:ascii="宋体" w:hAnsi="宋体"/>
                <w:sz w:val="24"/>
              </w:rPr>
            </w:pPr>
            <w:r>
              <w:rPr>
                <w:rFonts w:hint="eastAsia" w:ascii="宋体" w:hAnsi="宋体"/>
                <w:sz w:val="24"/>
              </w:rPr>
              <w:t>自筹资金</w:t>
            </w:r>
          </w:p>
        </w:tc>
      </w:tr>
      <w:tr w14:paraId="6C63BDCA">
        <w:tblPrEx>
          <w:tblCellMar>
            <w:top w:w="0" w:type="dxa"/>
            <w:left w:w="108" w:type="dxa"/>
            <w:bottom w:w="0" w:type="dxa"/>
            <w:right w:w="108" w:type="dxa"/>
          </w:tblCellMar>
        </w:tblPrEx>
        <w:trPr>
          <w:trHeight w:val="500"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58E5FE3">
            <w:pPr>
              <w:jc w:val="center"/>
              <w:rPr>
                <w:rFonts w:hint="eastAsia" w:ascii="宋体" w:hAnsi="宋体"/>
                <w:kern w:val="0"/>
                <w:sz w:val="24"/>
                <w:szCs w:val="24"/>
              </w:rPr>
            </w:pPr>
            <w:r>
              <w:rPr>
                <w:rFonts w:hint="eastAsia" w:ascii="宋体" w:hAnsi="宋体"/>
                <w:kern w:val="0"/>
                <w:sz w:val="24"/>
                <w:szCs w:val="24"/>
              </w:rPr>
              <w:t>6</w:t>
            </w:r>
          </w:p>
        </w:tc>
        <w:tc>
          <w:tcPr>
            <w:tcW w:w="2380" w:type="dxa"/>
            <w:tcBorders>
              <w:top w:val="single" w:color="auto" w:sz="4" w:space="0"/>
              <w:left w:val="nil"/>
              <w:bottom w:val="single" w:color="auto" w:sz="4" w:space="0"/>
              <w:right w:val="single" w:color="auto" w:sz="4" w:space="0"/>
            </w:tcBorders>
            <w:noWrap w:val="0"/>
            <w:vAlign w:val="center"/>
          </w:tcPr>
          <w:p w14:paraId="15760DA8">
            <w:pPr>
              <w:jc w:val="center"/>
              <w:rPr>
                <w:rFonts w:hint="eastAsia" w:ascii="宋体" w:hAnsi="宋体"/>
                <w:kern w:val="0"/>
                <w:sz w:val="24"/>
                <w:szCs w:val="24"/>
              </w:rPr>
            </w:pPr>
            <w:r>
              <w:rPr>
                <w:rFonts w:hint="eastAsia" w:ascii="宋体" w:hAnsi="宋体"/>
                <w:kern w:val="0"/>
                <w:sz w:val="24"/>
                <w:szCs w:val="24"/>
              </w:rPr>
              <w:t>资金落实情况</w:t>
            </w:r>
          </w:p>
        </w:tc>
        <w:tc>
          <w:tcPr>
            <w:tcW w:w="6625" w:type="dxa"/>
            <w:tcBorders>
              <w:top w:val="single" w:color="auto" w:sz="4" w:space="0"/>
              <w:left w:val="nil"/>
              <w:bottom w:val="single" w:color="auto" w:sz="4" w:space="0"/>
              <w:right w:val="single" w:color="auto" w:sz="4" w:space="0"/>
            </w:tcBorders>
            <w:noWrap w:val="0"/>
            <w:vAlign w:val="center"/>
          </w:tcPr>
          <w:p w14:paraId="5985A247">
            <w:pPr>
              <w:jc w:val="left"/>
              <w:rPr>
                <w:rFonts w:hint="eastAsia" w:ascii="宋体" w:hAnsi="宋体"/>
                <w:sz w:val="24"/>
              </w:rPr>
            </w:pPr>
            <w:r>
              <w:rPr>
                <w:rFonts w:hint="eastAsia" w:ascii="宋体" w:hAnsi="宋体"/>
                <w:sz w:val="24"/>
              </w:rPr>
              <w:t>已落实</w:t>
            </w:r>
          </w:p>
        </w:tc>
      </w:tr>
      <w:tr w14:paraId="74773D01">
        <w:tblPrEx>
          <w:tblCellMar>
            <w:top w:w="0" w:type="dxa"/>
            <w:left w:w="108" w:type="dxa"/>
            <w:bottom w:w="0" w:type="dxa"/>
            <w:right w:w="108" w:type="dxa"/>
          </w:tblCellMar>
        </w:tblPrEx>
        <w:trPr>
          <w:trHeight w:val="461"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16F3883">
            <w:pPr>
              <w:jc w:val="center"/>
              <w:rPr>
                <w:rFonts w:hint="eastAsia" w:ascii="宋体" w:hAnsi="宋体"/>
                <w:kern w:val="0"/>
                <w:sz w:val="24"/>
                <w:szCs w:val="24"/>
              </w:rPr>
            </w:pPr>
            <w:r>
              <w:rPr>
                <w:rFonts w:hint="eastAsia" w:ascii="宋体" w:hAnsi="宋体"/>
                <w:kern w:val="0"/>
                <w:sz w:val="24"/>
                <w:szCs w:val="24"/>
              </w:rPr>
              <w:t>7</w:t>
            </w:r>
          </w:p>
        </w:tc>
        <w:tc>
          <w:tcPr>
            <w:tcW w:w="2380" w:type="dxa"/>
            <w:tcBorders>
              <w:top w:val="single" w:color="auto" w:sz="4" w:space="0"/>
              <w:left w:val="nil"/>
              <w:bottom w:val="single" w:color="auto" w:sz="4" w:space="0"/>
              <w:right w:val="single" w:color="auto" w:sz="4" w:space="0"/>
            </w:tcBorders>
            <w:noWrap w:val="0"/>
            <w:vAlign w:val="center"/>
          </w:tcPr>
          <w:p w14:paraId="48552975">
            <w:pPr>
              <w:jc w:val="center"/>
              <w:rPr>
                <w:rFonts w:hint="eastAsia" w:ascii="宋体" w:hAnsi="宋体"/>
                <w:kern w:val="0"/>
                <w:sz w:val="24"/>
                <w:szCs w:val="24"/>
              </w:rPr>
            </w:pPr>
            <w:r>
              <w:rPr>
                <w:rFonts w:hint="eastAsia" w:ascii="宋体" w:hAnsi="宋体"/>
                <w:kern w:val="0"/>
                <w:sz w:val="24"/>
                <w:szCs w:val="24"/>
              </w:rPr>
              <w:t>采购范围</w:t>
            </w:r>
          </w:p>
        </w:tc>
        <w:tc>
          <w:tcPr>
            <w:tcW w:w="6625" w:type="dxa"/>
            <w:tcBorders>
              <w:top w:val="single" w:color="auto" w:sz="4" w:space="0"/>
              <w:left w:val="nil"/>
              <w:bottom w:val="single" w:color="auto" w:sz="4" w:space="0"/>
              <w:right w:val="single" w:color="auto" w:sz="4" w:space="0"/>
            </w:tcBorders>
            <w:noWrap w:val="0"/>
            <w:vAlign w:val="center"/>
          </w:tcPr>
          <w:p w14:paraId="614DA6E4">
            <w:pPr>
              <w:rPr>
                <w:rFonts w:hint="eastAsia" w:ascii="宋体" w:hAnsi="宋体"/>
                <w:color w:val="000000"/>
                <w:kern w:val="0"/>
                <w:sz w:val="24"/>
                <w:szCs w:val="24"/>
              </w:rPr>
            </w:pPr>
            <w:r>
              <w:rPr>
                <w:rFonts w:hint="eastAsia" w:ascii="宋体" w:hAnsi="宋体"/>
                <w:color w:val="000000"/>
                <w:kern w:val="0"/>
                <w:sz w:val="24"/>
                <w:szCs w:val="24"/>
              </w:rPr>
              <w:t>具体详见第三章采购需求</w:t>
            </w:r>
          </w:p>
        </w:tc>
      </w:tr>
      <w:tr w14:paraId="36BDB625">
        <w:tblPrEx>
          <w:tblCellMar>
            <w:top w:w="0" w:type="dxa"/>
            <w:left w:w="108" w:type="dxa"/>
            <w:bottom w:w="0" w:type="dxa"/>
            <w:right w:w="108" w:type="dxa"/>
          </w:tblCellMar>
        </w:tblPrEx>
        <w:trPr>
          <w:trHeight w:val="628"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E85DCE1">
            <w:pPr>
              <w:jc w:val="center"/>
              <w:rPr>
                <w:rFonts w:hint="eastAsia" w:ascii="宋体" w:hAnsi="宋体"/>
                <w:kern w:val="0"/>
                <w:sz w:val="24"/>
                <w:szCs w:val="24"/>
              </w:rPr>
            </w:pPr>
            <w:r>
              <w:rPr>
                <w:rFonts w:hint="eastAsia" w:ascii="宋体" w:hAnsi="宋体"/>
                <w:kern w:val="0"/>
                <w:sz w:val="24"/>
                <w:szCs w:val="24"/>
              </w:rPr>
              <w:t>8</w:t>
            </w:r>
          </w:p>
        </w:tc>
        <w:tc>
          <w:tcPr>
            <w:tcW w:w="2380" w:type="dxa"/>
            <w:tcBorders>
              <w:top w:val="single" w:color="auto" w:sz="4" w:space="0"/>
              <w:left w:val="nil"/>
              <w:bottom w:val="single" w:color="auto" w:sz="4" w:space="0"/>
              <w:right w:val="single" w:color="auto" w:sz="4" w:space="0"/>
            </w:tcBorders>
            <w:noWrap w:val="0"/>
            <w:vAlign w:val="center"/>
          </w:tcPr>
          <w:p w14:paraId="01385082">
            <w:pPr>
              <w:jc w:val="center"/>
              <w:rPr>
                <w:rFonts w:hint="eastAsia" w:ascii="宋体" w:hAnsi="宋体"/>
                <w:kern w:val="0"/>
                <w:sz w:val="24"/>
                <w:szCs w:val="24"/>
              </w:rPr>
            </w:pPr>
            <w:r>
              <w:rPr>
                <w:rFonts w:hint="eastAsia" w:ascii="宋体" w:hAnsi="宋体"/>
                <w:kern w:val="0"/>
                <w:sz w:val="24"/>
                <w:szCs w:val="24"/>
              </w:rPr>
              <w:t>报价要求</w:t>
            </w:r>
          </w:p>
        </w:tc>
        <w:tc>
          <w:tcPr>
            <w:tcW w:w="6625" w:type="dxa"/>
            <w:tcBorders>
              <w:top w:val="single" w:color="auto" w:sz="4" w:space="0"/>
              <w:left w:val="nil"/>
              <w:bottom w:val="single" w:color="auto" w:sz="4" w:space="0"/>
              <w:right w:val="single" w:color="auto" w:sz="4" w:space="0"/>
            </w:tcBorders>
            <w:noWrap w:val="0"/>
            <w:vAlign w:val="top"/>
          </w:tcPr>
          <w:p w14:paraId="24DA086D">
            <w:pPr>
              <w:numPr>
                <w:ilvl w:val="0"/>
                <w:numId w:val="0"/>
              </w:numPr>
              <w:rPr>
                <w:rFonts w:hint="eastAsia" w:ascii="宋体" w:hAnsi="宋体"/>
                <w:color w:val="000000"/>
                <w:kern w:val="0"/>
                <w:sz w:val="24"/>
                <w:szCs w:val="24"/>
              </w:rPr>
            </w:pPr>
            <w:r>
              <w:rPr>
                <w:rFonts w:hint="eastAsia" w:ascii="宋体" w:hAnsi="宋体"/>
                <w:color w:val="000000"/>
                <w:kern w:val="0"/>
                <w:sz w:val="24"/>
                <w:szCs w:val="24"/>
                <w:lang w:val="en-US" w:eastAsia="zh-CN"/>
              </w:rPr>
              <w:t>1、</w:t>
            </w:r>
            <w:r>
              <w:rPr>
                <w:rFonts w:hint="eastAsia" w:ascii="宋体" w:hAnsi="宋体"/>
                <w:color w:val="000000"/>
                <w:kern w:val="0"/>
                <w:sz w:val="24"/>
                <w:szCs w:val="24"/>
              </w:rPr>
              <w:t>16万元为最高限价，超过此价的为无效投标。</w:t>
            </w:r>
          </w:p>
          <w:p w14:paraId="676C6EB3">
            <w:pPr>
              <w:rPr>
                <w:rFonts w:hint="eastAsia" w:ascii="宋体" w:hAnsi="宋体"/>
                <w:b/>
                <w:bCs/>
                <w:color w:val="000000"/>
                <w:kern w:val="0"/>
                <w:sz w:val="24"/>
                <w:szCs w:val="24"/>
              </w:rPr>
            </w:pPr>
            <w:r>
              <w:rPr>
                <w:rFonts w:hint="eastAsia" w:ascii="宋体" w:hAnsi="宋体"/>
                <w:color w:val="000000"/>
                <w:kern w:val="0"/>
                <w:sz w:val="24"/>
                <w:szCs w:val="24"/>
              </w:rPr>
              <w:t>2、第二次报价不得高于第一次报价否则投标无效。</w:t>
            </w:r>
          </w:p>
        </w:tc>
      </w:tr>
      <w:tr w14:paraId="0372CD23">
        <w:tblPrEx>
          <w:tblCellMar>
            <w:top w:w="0" w:type="dxa"/>
            <w:left w:w="108" w:type="dxa"/>
            <w:bottom w:w="0" w:type="dxa"/>
            <w:right w:w="108" w:type="dxa"/>
          </w:tblCellMar>
        </w:tblPrEx>
        <w:trPr>
          <w:trHeight w:val="550"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C21F7BB">
            <w:pPr>
              <w:jc w:val="center"/>
              <w:rPr>
                <w:rFonts w:hint="eastAsia" w:ascii="宋体" w:hAnsi="宋体"/>
                <w:kern w:val="0"/>
                <w:sz w:val="24"/>
                <w:szCs w:val="24"/>
              </w:rPr>
            </w:pPr>
            <w:r>
              <w:rPr>
                <w:rFonts w:hint="eastAsia" w:ascii="宋体" w:hAnsi="宋体"/>
                <w:kern w:val="0"/>
                <w:sz w:val="24"/>
                <w:szCs w:val="24"/>
              </w:rPr>
              <w:t>9</w:t>
            </w:r>
          </w:p>
        </w:tc>
        <w:tc>
          <w:tcPr>
            <w:tcW w:w="2380" w:type="dxa"/>
            <w:tcBorders>
              <w:top w:val="single" w:color="auto" w:sz="4" w:space="0"/>
              <w:left w:val="nil"/>
              <w:bottom w:val="single" w:color="auto" w:sz="4" w:space="0"/>
              <w:right w:val="single" w:color="auto" w:sz="4" w:space="0"/>
            </w:tcBorders>
            <w:noWrap w:val="0"/>
            <w:vAlign w:val="center"/>
          </w:tcPr>
          <w:p w14:paraId="4EF590B8">
            <w:pPr>
              <w:jc w:val="center"/>
              <w:rPr>
                <w:rFonts w:hint="eastAsia" w:ascii="宋体" w:hAnsi="宋体"/>
                <w:kern w:val="0"/>
                <w:sz w:val="24"/>
                <w:szCs w:val="24"/>
              </w:rPr>
            </w:pPr>
            <w:r>
              <w:rPr>
                <w:rFonts w:hint="eastAsia" w:ascii="宋体" w:hAnsi="宋体"/>
                <w:kern w:val="0"/>
                <w:sz w:val="24"/>
                <w:szCs w:val="24"/>
              </w:rPr>
              <w:t>服务期</w:t>
            </w:r>
          </w:p>
        </w:tc>
        <w:tc>
          <w:tcPr>
            <w:tcW w:w="6625" w:type="dxa"/>
            <w:tcBorders>
              <w:top w:val="single" w:color="auto" w:sz="4" w:space="0"/>
              <w:left w:val="nil"/>
              <w:bottom w:val="single" w:color="auto" w:sz="4" w:space="0"/>
              <w:right w:val="single" w:color="auto" w:sz="4" w:space="0"/>
            </w:tcBorders>
            <w:noWrap w:val="0"/>
            <w:vAlign w:val="center"/>
          </w:tcPr>
          <w:p w14:paraId="55085DA7">
            <w:pPr>
              <w:jc w:val="left"/>
              <w:rPr>
                <w:rFonts w:hint="eastAsia" w:ascii="宋体" w:hAnsi="宋体"/>
                <w:b/>
                <w:bCs/>
                <w:color w:val="000000"/>
                <w:kern w:val="0"/>
                <w:sz w:val="24"/>
                <w:szCs w:val="24"/>
              </w:rPr>
            </w:pPr>
            <w:r>
              <w:rPr>
                <w:rFonts w:hint="eastAsia" w:ascii="宋体" w:hAnsi="宋体"/>
                <w:color w:val="000000"/>
                <w:kern w:val="0"/>
                <w:sz w:val="24"/>
                <w:szCs w:val="24"/>
              </w:rPr>
              <w:t>20日历天。因中标人原因造成工期延误，每拖延一天支付1000元/天违约金，因甲方原因所造成的设计工期延误，工期予以顺延，但延期造成的损失甲方不予承担。</w:t>
            </w:r>
          </w:p>
        </w:tc>
      </w:tr>
      <w:tr w14:paraId="0364B0F4">
        <w:tblPrEx>
          <w:tblCellMar>
            <w:top w:w="0" w:type="dxa"/>
            <w:left w:w="108" w:type="dxa"/>
            <w:bottom w:w="0" w:type="dxa"/>
            <w:right w:w="108" w:type="dxa"/>
          </w:tblCellMar>
        </w:tblPrEx>
        <w:trPr>
          <w:trHeight w:val="530"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2B5E422">
            <w:pPr>
              <w:jc w:val="center"/>
              <w:rPr>
                <w:rFonts w:hint="eastAsia" w:ascii="宋体" w:hAnsi="宋体"/>
                <w:kern w:val="0"/>
                <w:sz w:val="24"/>
                <w:szCs w:val="24"/>
              </w:rPr>
            </w:pPr>
            <w:r>
              <w:rPr>
                <w:rFonts w:hint="eastAsia" w:ascii="宋体" w:hAnsi="宋体"/>
                <w:kern w:val="0"/>
                <w:sz w:val="24"/>
                <w:szCs w:val="24"/>
              </w:rPr>
              <w:t>10</w:t>
            </w:r>
          </w:p>
        </w:tc>
        <w:tc>
          <w:tcPr>
            <w:tcW w:w="2380" w:type="dxa"/>
            <w:tcBorders>
              <w:top w:val="single" w:color="auto" w:sz="4" w:space="0"/>
              <w:left w:val="nil"/>
              <w:bottom w:val="single" w:color="auto" w:sz="4" w:space="0"/>
              <w:right w:val="single" w:color="auto" w:sz="4" w:space="0"/>
            </w:tcBorders>
            <w:noWrap w:val="0"/>
            <w:vAlign w:val="center"/>
          </w:tcPr>
          <w:p w14:paraId="349484A0">
            <w:pPr>
              <w:jc w:val="center"/>
              <w:rPr>
                <w:rFonts w:hint="eastAsia" w:ascii="宋体" w:hAnsi="宋体"/>
                <w:kern w:val="0"/>
                <w:sz w:val="24"/>
                <w:szCs w:val="24"/>
              </w:rPr>
            </w:pPr>
            <w:r>
              <w:rPr>
                <w:rFonts w:hint="eastAsia" w:ascii="宋体" w:hAnsi="宋体"/>
                <w:kern w:val="0"/>
                <w:sz w:val="24"/>
                <w:szCs w:val="24"/>
              </w:rPr>
              <w:t>质量要求</w:t>
            </w:r>
          </w:p>
        </w:tc>
        <w:tc>
          <w:tcPr>
            <w:tcW w:w="6625" w:type="dxa"/>
            <w:tcBorders>
              <w:top w:val="single" w:color="auto" w:sz="4" w:space="0"/>
              <w:left w:val="nil"/>
              <w:bottom w:val="single" w:color="auto" w:sz="4" w:space="0"/>
              <w:right w:val="single" w:color="auto" w:sz="4" w:space="0"/>
            </w:tcBorders>
            <w:noWrap w:val="0"/>
            <w:vAlign w:val="center"/>
          </w:tcPr>
          <w:p w14:paraId="1A6B1119">
            <w:pPr>
              <w:jc w:val="left"/>
              <w:rPr>
                <w:rFonts w:hint="eastAsia" w:ascii="宋体" w:hAnsi="宋体"/>
                <w:kern w:val="0"/>
                <w:sz w:val="24"/>
                <w:szCs w:val="24"/>
              </w:rPr>
            </w:pPr>
            <w:r>
              <w:rPr>
                <w:rFonts w:hint="eastAsia" w:ascii="宋体" w:hAnsi="宋体"/>
                <w:kern w:val="0"/>
                <w:sz w:val="24"/>
                <w:szCs w:val="24"/>
              </w:rPr>
              <w:t>合格</w:t>
            </w:r>
          </w:p>
        </w:tc>
      </w:tr>
      <w:tr w14:paraId="0DE7CEB6">
        <w:tblPrEx>
          <w:tblCellMar>
            <w:top w:w="0" w:type="dxa"/>
            <w:left w:w="108" w:type="dxa"/>
            <w:bottom w:w="0" w:type="dxa"/>
            <w:right w:w="108" w:type="dxa"/>
          </w:tblCellMar>
        </w:tblPrEx>
        <w:trPr>
          <w:trHeight w:val="52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537D68A6">
            <w:pPr>
              <w:jc w:val="center"/>
              <w:rPr>
                <w:rFonts w:hint="eastAsia" w:ascii="宋体" w:hAnsi="宋体"/>
                <w:kern w:val="0"/>
                <w:sz w:val="24"/>
                <w:szCs w:val="24"/>
              </w:rPr>
            </w:pPr>
            <w:r>
              <w:rPr>
                <w:rFonts w:hint="eastAsia" w:ascii="宋体" w:hAnsi="宋体"/>
                <w:kern w:val="0"/>
                <w:sz w:val="24"/>
                <w:szCs w:val="24"/>
              </w:rPr>
              <w:t>11</w:t>
            </w:r>
          </w:p>
        </w:tc>
        <w:tc>
          <w:tcPr>
            <w:tcW w:w="2380" w:type="dxa"/>
            <w:tcBorders>
              <w:top w:val="single" w:color="auto" w:sz="4" w:space="0"/>
              <w:left w:val="nil"/>
              <w:bottom w:val="single" w:color="auto" w:sz="4" w:space="0"/>
              <w:right w:val="single" w:color="auto" w:sz="4" w:space="0"/>
            </w:tcBorders>
            <w:noWrap w:val="0"/>
            <w:vAlign w:val="center"/>
          </w:tcPr>
          <w:p w14:paraId="4754E244">
            <w:pPr>
              <w:jc w:val="center"/>
              <w:rPr>
                <w:rFonts w:hint="eastAsia" w:ascii="宋体" w:hAnsi="宋体"/>
                <w:kern w:val="0"/>
                <w:sz w:val="24"/>
                <w:szCs w:val="24"/>
              </w:rPr>
            </w:pPr>
            <w:r>
              <w:rPr>
                <w:rFonts w:hint="eastAsia" w:ascii="宋体" w:hAnsi="宋体"/>
                <w:kern w:val="0"/>
                <w:sz w:val="24"/>
                <w:szCs w:val="24"/>
              </w:rPr>
              <w:t>供应商资质条件</w:t>
            </w:r>
          </w:p>
        </w:tc>
        <w:tc>
          <w:tcPr>
            <w:tcW w:w="6625" w:type="dxa"/>
            <w:tcBorders>
              <w:top w:val="single" w:color="auto" w:sz="4" w:space="0"/>
              <w:left w:val="nil"/>
              <w:bottom w:val="single" w:color="auto" w:sz="4" w:space="0"/>
              <w:right w:val="single" w:color="auto" w:sz="4" w:space="0"/>
            </w:tcBorders>
            <w:noWrap w:val="0"/>
            <w:vAlign w:val="center"/>
          </w:tcPr>
          <w:p w14:paraId="3A9F7D44">
            <w:pPr>
              <w:pStyle w:val="7"/>
              <w:topLinePunct/>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详见竞争性磋商公告</w:t>
            </w:r>
          </w:p>
        </w:tc>
      </w:tr>
      <w:tr w14:paraId="67E69443">
        <w:tblPrEx>
          <w:tblCellMar>
            <w:top w:w="0" w:type="dxa"/>
            <w:left w:w="108" w:type="dxa"/>
            <w:bottom w:w="0" w:type="dxa"/>
            <w:right w:w="108" w:type="dxa"/>
          </w:tblCellMar>
        </w:tblPrEx>
        <w:trPr>
          <w:trHeight w:val="531"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F9D2A49">
            <w:pPr>
              <w:jc w:val="center"/>
              <w:rPr>
                <w:rFonts w:hint="eastAsia" w:ascii="宋体" w:hAnsi="宋体"/>
                <w:kern w:val="0"/>
                <w:sz w:val="24"/>
                <w:szCs w:val="24"/>
              </w:rPr>
            </w:pPr>
            <w:r>
              <w:rPr>
                <w:rFonts w:hint="eastAsia" w:ascii="宋体" w:hAnsi="宋体"/>
                <w:kern w:val="0"/>
                <w:sz w:val="24"/>
                <w:szCs w:val="24"/>
              </w:rPr>
              <w:t>12</w:t>
            </w:r>
          </w:p>
        </w:tc>
        <w:tc>
          <w:tcPr>
            <w:tcW w:w="2380" w:type="dxa"/>
            <w:tcBorders>
              <w:top w:val="single" w:color="auto" w:sz="4" w:space="0"/>
              <w:left w:val="nil"/>
              <w:bottom w:val="single" w:color="auto" w:sz="4" w:space="0"/>
              <w:right w:val="single" w:color="auto" w:sz="4" w:space="0"/>
            </w:tcBorders>
            <w:noWrap w:val="0"/>
            <w:vAlign w:val="center"/>
          </w:tcPr>
          <w:p w14:paraId="2F8A7997">
            <w:pPr>
              <w:jc w:val="center"/>
              <w:rPr>
                <w:rFonts w:hint="eastAsia" w:ascii="宋体" w:hAnsi="宋体"/>
                <w:kern w:val="0"/>
                <w:sz w:val="24"/>
                <w:szCs w:val="24"/>
              </w:rPr>
            </w:pPr>
            <w:r>
              <w:rPr>
                <w:rFonts w:hint="eastAsia" w:ascii="宋体" w:hAnsi="宋体"/>
                <w:kern w:val="0"/>
                <w:sz w:val="24"/>
                <w:szCs w:val="24"/>
              </w:rPr>
              <w:t>是否接受联合体投标</w:t>
            </w:r>
          </w:p>
        </w:tc>
        <w:tc>
          <w:tcPr>
            <w:tcW w:w="6625" w:type="dxa"/>
            <w:tcBorders>
              <w:top w:val="single" w:color="auto" w:sz="4" w:space="0"/>
              <w:left w:val="nil"/>
              <w:bottom w:val="single" w:color="auto" w:sz="4" w:space="0"/>
              <w:right w:val="single" w:color="auto" w:sz="4" w:space="0"/>
            </w:tcBorders>
            <w:noWrap w:val="0"/>
            <w:vAlign w:val="center"/>
          </w:tcPr>
          <w:p w14:paraId="3039296B">
            <w:pPr>
              <w:pStyle w:val="7"/>
              <w:topLinePunct/>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不接受</w:t>
            </w:r>
          </w:p>
        </w:tc>
      </w:tr>
      <w:tr w14:paraId="4B0A8549">
        <w:tblPrEx>
          <w:tblCellMar>
            <w:top w:w="0" w:type="dxa"/>
            <w:left w:w="108" w:type="dxa"/>
            <w:bottom w:w="0" w:type="dxa"/>
            <w:right w:w="108" w:type="dxa"/>
          </w:tblCellMar>
        </w:tblPrEx>
        <w:trPr>
          <w:trHeight w:val="550"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78736210">
            <w:pPr>
              <w:jc w:val="center"/>
              <w:rPr>
                <w:rFonts w:hint="eastAsia" w:ascii="宋体" w:hAnsi="宋体"/>
                <w:kern w:val="0"/>
                <w:sz w:val="24"/>
                <w:szCs w:val="24"/>
              </w:rPr>
            </w:pPr>
            <w:r>
              <w:rPr>
                <w:rFonts w:hint="eastAsia" w:ascii="宋体" w:hAnsi="宋体"/>
                <w:kern w:val="0"/>
                <w:sz w:val="24"/>
                <w:szCs w:val="24"/>
              </w:rPr>
              <w:t>13</w:t>
            </w:r>
          </w:p>
        </w:tc>
        <w:tc>
          <w:tcPr>
            <w:tcW w:w="2380" w:type="dxa"/>
            <w:tcBorders>
              <w:top w:val="single" w:color="auto" w:sz="4" w:space="0"/>
              <w:left w:val="nil"/>
              <w:bottom w:val="single" w:color="auto" w:sz="4" w:space="0"/>
              <w:right w:val="single" w:color="auto" w:sz="4" w:space="0"/>
            </w:tcBorders>
            <w:noWrap w:val="0"/>
            <w:vAlign w:val="center"/>
          </w:tcPr>
          <w:p w14:paraId="0173C3F8">
            <w:pPr>
              <w:jc w:val="center"/>
              <w:rPr>
                <w:rFonts w:hint="eastAsia" w:ascii="宋体" w:hAnsi="宋体"/>
                <w:kern w:val="0"/>
                <w:sz w:val="24"/>
                <w:szCs w:val="24"/>
              </w:rPr>
            </w:pPr>
            <w:r>
              <w:rPr>
                <w:rFonts w:hint="eastAsia" w:ascii="宋体" w:hAnsi="宋体"/>
                <w:kern w:val="0"/>
                <w:sz w:val="24"/>
                <w:szCs w:val="24"/>
              </w:rPr>
              <w:t>踏勘现场</w:t>
            </w:r>
          </w:p>
        </w:tc>
        <w:tc>
          <w:tcPr>
            <w:tcW w:w="6625" w:type="dxa"/>
            <w:tcBorders>
              <w:top w:val="single" w:color="auto" w:sz="4" w:space="0"/>
              <w:left w:val="nil"/>
              <w:bottom w:val="single" w:color="auto" w:sz="4" w:space="0"/>
              <w:right w:val="single" w:color="auto" w:sz="4" w:space="0"/>
            </w:tcBorders>
            <w:noWrap w:val="0"/>
            <w:vAlign w:val="center"/>
          </w:tcPr>
          <w:p w14:paraId="31E3E8F8">
            <w:pPr>
              <w:jc w:val="left"/>
              <w:rPr>
                <w:rFonts w:hint="eastAsia" w:ascii="宋体" w:hAnsi="宋体"/>
                <w:kern w:val="0"/>
                <w:sz w:val="24"/>
                <w:szCs w:val="24"/>
              </w:rPr>
            </w:pPr>
            <w:r>
              <w:rPr>
                <w:rFonts w:hint="eastAsia" w:ascii="宋体" w:hAnsi="宋体"/>
                <w:kern w:val="0"/>
                <w:sz w:val="24"/>
                <w:szCs w:val="24"/>
              </w:rPr>
              <w:t>自行踏勘现场</w:t>
            </w:r>
          </w:p>
        </w:tc>
      </w:tr>
      <w:tr w14:paraId="134511B5">
        <w:tblPrEx>
          <w:tblCellMar>
            <w:top w:w="0" w:type="dxa"/>
            <w:left w:w="108" w:type="dxa"/>
            <w:bottom w:w="0" w:type="dxa"/>
            <w:right w:w="108" w:type="dxa"/>
          </w:tblCellMar>
        </w:tblPrEx>
        <w:trPr>
          <w:trHeight w:val="615"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A547D48">
            <w:pPr>
              <w:jc w:val="center"/>
              <w:rPr>
                <w:rFonts w:hint="eastAsia" w:ascii="宋体" w:hAnsi="宋体"/>
                <w:kern w:val="0"/>
                <w:sz w:val="24"/>
                <w:szCs w:val="24"/>
              </w:rPr>
            </w:pPr>
            <w:r>
              <w:rPr>
                <w:rFonts w:hint="eastAsia" w:ascii="宋体" w:hAnsi="宋体"/>
                <w:kern w:val="0"/>
                <w:sz w:val="24"/>
                <w:szCs w:val="24"/>
              </w:rPr>
              <w:t>14</w:t>
            </w:r>
          </w:p>
        </w:tc>
        <w:tc>
          <w:tcPr>
            <w:tcW w:w="2380" w:type="dxa"/>
            <w:tcBorders>
              <w:top w:val="single" w:color="auto" w:sz="4" w:space="0"/>
              <w:left w:val="nil"/>
              <w:bottom w:val="single" w:color="auto" w:sz="4" w:space="0"/>
              <w:right w:val="single" w:color="auto" w:sz="4" w:space="0"/>
            </w:tcBorders>
            <w:noWrap w:val="0"/>
            <w:vAlign w:val="center"/>
          </w:tcPr>
          <w:p w14:paraId="4548EEA7">
            <w:pPr>
              <w:jc w:val="center"/>
              <w:rPr>
                <w:rFonts w:hint="eastAsia" w:ascii="宋体" w:hAnsi="宋体"/>
                <w:kern w:val="0"/>
                <w:sz w:val="24"/>
                <w:szCs w:val="24"/>
              </w:rPr>
            </w:pPr>
            <w:r>
              <w:rPr>
                <w:rFonts w:hint="eastAsia" w:ascii="宋体" w:hAnsi="宋体"/>
                <w:kern w:val="0"/>
                <w:sz w:val="24"/>
                <w:szCs w:val="24"/>
              </w:rPr>
              <w:t>投标预备会</w:t>
            </w:r>
          </w:p>
        </w:tc>
        <w:tc>
          <w:tcPr>
            <w:tcW w:w="6625" w:type="dxa"/>
            <w:tcBorders>
              <w:top w:val="single" w:color="auto" w:sz="4" w:space="0"/>
              <w:left w:val="nil"/>
              <w:bottom w:val="single" w:color="auto" w:sz="4" w:space="0"/>
              <w:right w:val="single" w:color="auto" w:sz="4" w:space="0"/>
            </w:tcBorders>
            <w:noWrap w:val="0"/>
            <w:vAlign w:val="center"/>
          </w:tcPr>
          <w:p w14:paraId="77D7930D">
            <w:pPr>
              <w:pStyle w:val="7"/>
              <w:topLinePunct/>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不召开</w:t>
            </w:r>
          </w:p>
        </w:tc>
      </w:tr>
      <w:tr w14:paraId="67178819">
        <w:tblPrEx>
          <w:tblCellMar>
            <w:top w:w="0" w:type="dxa"/>
            <w:left w:w="108" w:type="dxa"/>
            <w:bottom w:w="0" w:type="dxa"/>
            <w:right w:w="108" w:type="dxa"/>
          </w:tblCellMar>
        </w:tblPrEx>
        <w:trPr>
          <w:trHeight w:val="745"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42BCB42">
            <w:pPr>
              <w:jc w:val="center"/>
              <w:rPr>
                <w:rFonts w:hint="eastAsia" w:ascii="宋体" w:hAnsi="宋体"/>
                <w:kern w:val="0"/>
                <w:sz w:val="24"/>
                <w:szCs w:val="24"/>
              </w:rPr>
            </w:pPr>
            <w:r>
              <w:rPr>
                <w:rFonts w:hint="eastAsia" w:ascii="宋体" w:hAnsi="宋体"/>
                <w:kern w:val="0"/>
                <w:sz w:val="24"/>
                <w:szCs w:val="24"/>
              </w:rPr>
              <w:t>15</w:t>
            </w:r>
          </w:p>
        </w:tc>
        <w:tc>
          <w:tcPr>
            <w:tcW w:w="2380" w:type="dxa"/>
            <w:tcBorders>
              <w:top w:val="single" w:color="auto" w:sz="4" w:space="0"/>
              <w:left w:val="nil"/>
              <w:bottom w:val="single" w:color="auto" w:sz="4" w:space="0"/>
              <w:right w:val="single" w:color="auto" w:sz="4" w:space="0"/>
            </w:tcBorders>
            <w:noWrap w:val="0"/>
            <w:vAlign w:val="center"/>
          </w:tcPr>
          <w:p w14:paraId="650B8CA5">
            <w:pPr>
              <w:jc w:val="center"/>
              <w:rPr>
                <w:rFonts w:hint="eastAsia" w:ascii="宋体" w:hAnsi="宋体"/>
                <w:kern w:val="0"/>
                <w:sz w:val="24"/>
                <w:szCs w:val="24"/>
              </w:rPr>
            </w:pPr>
            <w:r>
              <w:rPr>
                <w:rFonts w:hint="eastAsia" w:ascii="宋体" w:hAnsi="宋体"/>
                <w:kern w:val="0"/>
                <w:sz w:val="24"/>
                <w:szCs w:val="24"/>
              </w:rPr>
              <w:t>供应商提出问题</w:t>
            </w:r>
          </w:p>
          <w:p w14:paraId="6E1ECD18">
            <w:pPr>
              <w:jc w:val="center"/>
              <w:rPr>
                <w:rFonts w:hint="eastAsia" w:ascii="宋体" w:hAnsi="宋体"/>
                <w:kern w:val="0"/>
                <w:sz w:val="24"/>
                <w:szCs w:val="24"/>
              </w:rPr>
            </w:pPr>
            <w:r>
              <w:rPr>
                <w:rFonts w:hint="eastAsia" w:ascii="宋体" w:hAnsi="宋体"/>
                <w:kern w:val="0"/>
                <w:sz w:val="24"/>
                <w:szCs w:val="24"/>
              </w:rPr>
              <w:t>的截止时间</w:t>
            </w:r>
          </w:p>
        </w:tc>
        <w:tc>
          <w:tcPr>
            <w:tcW w:w="6625" w:type="dxa"/>
            <w:tcBorders>
              <w:top w:val="single" w:color="auto" w:sz="4" w:space="0"/>
              <w:left w:val="nil"/>
              <w:bottom w:val="single" w:color="auto" w:sz="4" w:space="0"/>
              <w:right w:val="single" w:color="auto" w:sz="4" w:space="0"/>
            </w:tcBorders>
            <w:noWrap w:val="0"/>
            <w:vAlign w:val="center"/>
          </w:tcPr>
          <w:p w14:paraId="20728C2F">
            <w:pPr>
              <w:rPr>
                <w:rFonts w:hint="eastAsia" w:ascii="宋体" w:hAnsi="宋体"/>
                <w:kern w:val="0"/>
                <w:sz w:val="24"/>
                <w:szCs w:val="24"/>
              </w:rPr>
            </w:pPr>
            <w:r>
              <w:rPr>
                <w:rFonts w:hint="eastAsia" w:ascii="宋体" w:hAnsi="宋体"/>
                <w:kern w:val="0"/>
                <w:sz w:val="24"/>
                <w:szCs w:val="24"/>
              </w:rPr>
              <w:t>投标截止时间</w:t>
            </w:r>
            <w:r>
              <w:rPr>
                <w:rFonts w:hint="eastAsia" w:ascii="宋体" w:hAnsi="宋体"/>
                <w:kern w:val="0"/>
              </w:rPr>
              <w:t>5</w:t>
            </w:r>
            <w:r>
              <w:rPr>
                <w:rFonts w:hint="eastAsia" w:ascii="宋体" w:hAnsi="宋体"/>
                <w:kern w:val="0"/>
                <w:sz w:val="24"/>
                <w:szCs w:val="24"/>
              </w:rPr>
              <w:t>日前（逾期不予受理）</w:t>
            </w:r>
          </w:p>
        </w:tc>
      </w:tr>
      <w:tr w14:paraId="5FD52827">
        <w:tblPrEx>
          <w:tblCellMar>
            <w:top w:w="0" w:type="dxa"/>
            <w:left w:w="108" w:type="dxa"/>
            <w:bottom w:w="0" w:type="dxa"/>
            <w:right w:w="108" w:type="dxa"/>
          </w:tblCellMar>
        </w:tblPrEx>
        <w:trPr>
          <w:trHeight w:val="540"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444D3780">
            <w:pPr>
              <w:jc w:val="center"/>
              <w:rPr>
                <w:rFonts w:hint="eastAsia" w:ascii="宋体" w:hAnsi="宋体"/>
                <w:kern w:val="0"/>
                <w:sz w:val="24"/>
                <w:szCs w:val="24"/>
              </w:rPr>
            </w:pPr>
            <w:r>
              <w:rPr>
                <w:rFonts w:hint="eastAsia" w:ascii="宋体" w:hAnsi="宋体"/>
                <w:kern w:val="0"/>
                <w:sz w:val="24"/>
                <w:szCs w:val="24"/>
              </w:rPr>
              <w:t>16</w:t>
            </w:r>
          </w:p>
        </w:tc>
        <w:tc>
          <w:tcPr>
            <w:tcW w:w="2380" w:type="dxa"/>
            <w:tcBorders>
              <w:top w:val="single" w:color="auto" w:sz="4" w:space="0"/>
              <w:left w:val="nil"/>
              <w:bottom w:val="single" w:color="auto" w:sz="4" w:space="0"/>
              <w:right w:val="single" w:color="auto" w:sz="4" w:space="0"/>
            </w:tcBorders>
            <w:noWrap w:val="0"/>
            <w:vAlign w:val="center"/>
          </w:tcPr>
          <w:p w14:paraId="041F2D59">
            <w:pPr>
              <w:jc w:val="center"/>
              <w:rPr>
                <w:rFonts w:hint="eastAsia" w:ascii="宋体" w:hAnsi="宋体"/>
                <w:kern w:val="0"/>
                <w:sz w:val="24"/>
                <w:szCs w:val="24"/>
              </w:rPr>
            </w:pPr>
            <w:r>
              <w:rPr>
                <w:rFonts w:hint="eastAsia" w:ascii="宋体" w:hAnsi="宋体"/>
                <w:kern w:val="0"/>
                <w:sz w:val="24"/>
                <w:szCs w:val="24"/>
              </w:rPr>
              <w:t>供应商提出问题方式</w:t>
            </w:r>
          </w:p>
        </w:tc>
        <w:tc>
          <w:tcPr>
            <w:tcW w:w="6625" w:type="dxa"/>
            <w:tcBorders>
              <w:top w:val="single" w:color="auto" w:sz="4" w:space="0"/>
              <w:left w:val="nil"/>
              <w:bottom w:val="single" w:color="auto" w:sz="4" w:space="0"/>
              <w:right w:val="single" w:color="auto" w:sz="4" w:space="0"/>
            </w:tcBorders>
            <w:noWrap w:val="0"/>
            <w:vAlign w:val="center"/>
          </w:tcPr>
          <w:p w14:paraId="7F3ECAC6">
            <w:pPr>
              <w:rPr>
                <w:rFonts w:hint="eastAsia" w:ascii="宋体" w:hAnsi="宋体"/>
                <w:kern w:val="0"/>
                <w:sz w:val="24"/>
                <w:szCs w:val="24"/>
              </w:rPr>
            </w:pPr>
            <w:r>
              <w:rPr>
                <w:rFonts w:hint="eastAsia" w:ascii="宋体" w:hAnsi="宋体"/>
                <w:kern w:val="0"/>
                <w:sz w:val="24"/>
                <w:szCs w:val="24"/>
              </w:rPr>
              <w:t>书面形式提交</w:t>
            </w:r>
          </w:p>
        </w:tc>
      </w:tr>
      <w:tr w14:paraId="3F5DA4F0">
        <w:tblPrEx>
          <w:tblCellMar>
            <w:top w:w="0" w:type="dxa"/>
            <w:left w:w="108" w:type="dxa"/>
            <w:bottom w:w="0" w:type="dxa"/>
            <w:right w:w="108" w:type="dxa"/>
          </w:tblCellMar>
        </w:tblPrEx>
        <w:trPr>
          <w:trHeight w:val="1401"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CA8A8BF">
            <w:pPr>
              <w:jc w:val="center"/>
              <w:rPr>
                <w:rFonts w:hint="eastAsia" w:ascii="宋体" w:hAnsi="宋体"/>
                <w:kern w:val="0"/>
                <w:sz w:val="24"/>
                <w:szCs w:val="24"/>
              </w:rPr>
            </w:pPr>
            <w:r>
              <w:rPr>
                <w:rFonts w:hint="eastAsia" w:ascii="宋体" w:hAnsi="宋体"/>
                <w:kern w:val="0"/>
                <w:sz w:val="24"/>
                <w:szCs w:val="24"/>
              </w:rPr>
              <w:t>17</w:t>
            </w:r>
          </w:p>
        </w:tc>
        <w:tc>
          <w:tcPr>
            <w:tcW w:w="2380" w:type="dxa"/>
            <w:tcBorders>
              <w:top w:val="single" w:color="auto" w:sz="4" w:space="0"/>
              <w:left w:val="nil"/>
              <w:bottom w:val="single" w:color="auto" w:sz="4" w:space="0"/>
              <w:right w:val="single" w:color="auto" w:sz="4" w:space="0"/>
            </w:tcBorders>
            <w:noWrap w:val="0"/>
            <w:vAlign w:val="center"/>
          </w:tcPr>
          <w:p w14:paraId="3468006A">
            <w:pPr>
              <w:jc w:val="center"/>
              <w:rPr>
                <w:rFonts w:hint="eastAsia" w:ascii="宋体" w:hAnsi="宋体"/>
                <w:kern w:val="0"/>
                <w:sz w:val="24"/>
                <w:szCs w:val="24"/>
              </w:rPr>
            </w:pPr>
            <w:r>
              <w:rPr>
                <w:rFonts w:hint="eastAsia" w:ascii="宋体" w:hAnsi="宋体"/>
                <w:sz w:val="24"/>
                <w:szCs w:val="24"/>
              </w:rPr>
              <w:t>疑问的答疑获取</w:t>
            </w:r>
          </w:p>
        </w:tc>
        <w:tc>
          <w:tcPr>
            <w:tcW w:w="6625" w:type="dxa"/>
            <w:tcBorders>
              <w:top w:val="single" w:color="auto" w:sz="4" w:space="0"/>
              <w:left w:val="nil"/>
              <w:bottom w:val="single" w:color="auto" w:sz="4" w:space="0"/>
              <w:right w:val="single" w:color="auto" w:sz="4" w:space="0"/>
            </w:tcBorders>
            <w:noWrap w:val="0"/>
            <w:vAlign w:val="center"/>
          </w:tcPr>
          <w:p w14:paraId="19F5333C">
            <w:pPr>
              <w:jc w:val="left"/>
              <w:rPr>
                <w:rFonts w:hint="eastAsia" w:ascii="宋体" w:hAnsi="宋体"/>
                <w:kern w:val="0"/>
                <w:sz w:val="24"/>
                <w:szCs w:val="24"/>
              </w:rPr>
            </w:pPr>
            <w:r>
              <w:rPr>
                <w:rFonts w:hint="eastAsia" w:ascii="宋体" w:hAnsi="宋体"/>
                <w:kern w:val="0"/>
                <w:sz w:val="24"/>
                <w:szCs w:val="24"/>
              </w:rPr>
              <w:t>关于本项目的变更、答疑等信息将在淮南经济技术开发区管理委员网站（http://jkq.huainan.gov.cn/index.html）上发布，请投标人随时关注网上信息。如因投标人没有及时关注网站信息造成的后果由投标人自行承担</w:t>
            </w:r>
          </w:p>
        </w:tc>
      </w:tr>
      <w:tr w14:paraId="4B02B03A">
        <w:tblPrEx>
          <w:tblCellMar>
            <w:top w:w="0" w:type="dxa"/>
            <w:left w:w="108" w:type="dxa"/>
            <w:bottom w:w="0" w:type="dxa"/>
            <w:right w:w="108" w:type="dxa"/>
          </w:tblCellMar>
        </w:tblPrEx>
        <w:trPr>
          <w:trHeight w:val="202"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88E96CE">
            <w:pPr>
              <w:jc w:val="center"/>
              <w:rPr>
                <w:rFonts w:hint="eastAsia" w:ascii="宋体" w:hAnsi="宋体"/>
                <w:kern w:val="0"/>
                <w:sz w:val="24"/>
                <w:szCs w:val="24"/>
              </w:rPr>
            </w:pPr>
            <w:r>
              <w:rPr>
                <w:rFonts w:hint="eastAsia" w:ascii="宋体" w:hAnsi="宋体"/>
                <w:kern w:val="0"/>
                <w:sz w:val="24"/>
                <w:szCs w:val="24"/>
              </w:rPr>
              <w:t>18</w:t>
            </w:r>
          </w:p>
        </w:tc>
        <w:tc>
          <w:tcPr>
            <w:tcW w:w="2380" w:type="dxa"/>
            <w:tcBorders>
              <w:top w:val="single" w:color="auto" w:sz="4" w:space="0"/>
              <w:left w:val="nil"/>
              <w:bottom w:val="single" w:color="auto" w:sz="4" w:space="0"/>
              <w:right w:val="single" w:color="auto" w:sz="4" w:space="0"/>
            </w:tcBorders>
            <w:noWrap w:val="0"/>
            <w:vAlign w:val="center"/>
          </w:tcPr>
          <w:p w14:paraId="0B05E927">
            <w:pPr>
              <w:jc w:val="center"/>
              <w:rPr>
                <w:rFonts w:hint="eastAsia" w:ascii="宋体" w:hAnsi="宋体"/>
                <w:kern w:val="0"/>
                <w:sz w:val="24"/>
                <w:szCs w:val="24"/>
              </w:rPr>
            </w:pPr>
            <w:r>
              <w:rPr>
                <w:rFonts w:hint="eastAsia" w:ascii="宋体" w:hAnsi="宋体"/>
                <w:kern w:val="0"/>
                <w:sz w:val="24"/>
                <w:szCs w:val="24"/>
              </w:rPr>
              <w:t>构成竞争性磋商文件的其他材料</w:t>
            </w:r>
          </w:p>
        </w:tc>
        <w:tc>
          <w:tcPr>
            <w:tcW w:w="6625" w:type="dxa"/>
            <w:tcBorders>
              <w:top w:val="single" w:color="auto" w:sz="4" w:space="0"/>
              <w:left w:val="nil"/>
              <w:bottom w:val="single" w:color="auto" w:sz="4" w:space="0"/>
              <w:right w:val="single" w:color="auto" w:sz="4" w:space="0"/>
            </w:tcBorders>
            <w:noWrap w:val="0"/>
            <w:vAlign w:val="center"/>
          </w:tcPr>
          <w:p w14:paraId="360C860C">
            <w:pPr>
              <w:jc w:val="left"/>
              <w:rPr>
                <w:rFonts w:hint="eastAsia" w:ascii="宋体" w:hAnsi="宋体"/>
                <w:kern w:val="0"/>
                <w:sz w:val="24"/>
                <w:szCs w:val="24"/>
              </w:rPr>
            </w:pPr>
            <w:r>
              <w:rPr>
                <w:rFonts w:hint="eastAsia" w:ascii="宋体" w:hAnsi="宋体"/>
                <w:kern w:val="0"/>
                <w:sz w:val="24"/>
                <w:szCs w:val="24"/>
              </w:rPr>
              <w:t>澄清文件、答疑文件</w:t>
            </w:r>
          </w:p>
        </w:tc>
      </w:tr>
      <w:tr w14:paraId="332CD669">
        <w:tblPrEx>
          <w:tblCellMar>
            <w:top w:w="0" w:type="dxa"/>
            <w:left w:w="108" w:type="dxa"/>
            <w:bottom w:w="0" w:type="dxa"/>
            <w:right w:w="108" w:type="dxa"/>
          </w:tblCellMar>
        </w:tblPrEx>
        <w:trPr>
          <w:trHeight w:val="495"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82180BE">
            <w:pPr>
              <w:jc w:val="center"/>
              <w:rPr>
                <w:rFonts w:hint="eastAsia" w:ascii="宋体" w:hAnsi="宋体"/>
                <w:kern w:val="0"/>
                <w:sz w:val="24"/>
                <w:szCs w:val="24"/>
              </w:rPr>
            </w:pPr>
            <w:r>
              <w:rPr>
                <w:rFonts w:hint="eastAsia" w:ascii="宋体" w:hAnsi="宋体"/>
                <w:kern w:val="0"/>
                <w:sz w:val="24"/>
                <w:szCs w:val="24"/>
              </w:rPr>
              <w:t>19</w:t>
            </w:r>
          </w:p>
        </w:tc>
        <w:tc>
          <w:tcPr>
            <w:tcW w:w="2380" w:type="dxa"/>
            <w:tcBorders>
              <w:top w:val="single" w:color="auto" w:sz="4" w:space="0"/>
              <w:left w:val="nil"/>
              <w:bottom w:val="single" w:color="auto" w:sz="4" w:space="0"/>
              <w:right w:val="single" w:color="auto" w:sz="4" w:space="0"/>
            </w:tcBorders>
            <w:noWrap w:val="0"/>
            <w:vAlign w:val="center"/>
          </w:tcPr>
          <w:p w14:paraId="793B97AF">
            <w:pPr>
              <w:jc w:val="center"/>
              <w:rPr>
                <w:rFonts w:hint="eastAsia" w:ascii="宋体" w:hAnsi="宋体"/>
                <w:kern w:val="0"/>
                <w:sz w:val="24"/>
                <w:szCs w:val="24"/>
              </w:rPr>
            </w:pPr>
            <w:r>
              <w:rPr>
                <w:rFonts w:hint="eastAsia" w:ascii="宋体" w:hAnsi="宋体"/>
                <w:kern w:val="0"/>
                <w:sz w:val="24"/>
                <w:szCs w:val="24"/>
              </w:rPr>
              <w:t>投标有效期</w:t>
            </w:r>
          </w:p>
        </w:tc>
        <w:tc>
          <w:tcPr>
            <w:tcW w:w="6625" w:type="dxa"/>
            <w:tcBorders>
              <w:top w:val="single" w:color="auto" w:sz="4" w:space="0"/>
              <w:left w:val="nil"/>
              <w:bottom w:val="single" w:color="auto" w:sz="4" w:space="0"/>
              <w:right w:val="single" w:color="auto" w:sz="4" w:space="0"/>
            </w:tcBorders>
            <w:noWrap w:val="0"/>
            <w:vAlign w:val="center"/>
          </w:tcPr>
          <w:p w14:paraId="6C9D2CA5">
            <w:pPr>
              <w:jc w:val="left"/>
              <w:rPr>
                <w:rFonts w:hint="eastAsia" w:ascii="宋体" w:hAnsi="宋体"/>
                <w:kern w:val="0"/>
                <w:sz w:val="24"/>
                <w:szCs w:val="24"/>
              </w:rPr>
            </w:pPr>
            <w:r>
              <w:rPr>
                <w:rFonts w:hint="eastAsia" w:ascii="宋体" w:hAnsi="宋体"/>
                <w:kern w:val="0"/>
                <w:sz w:val="24"/>
                <w:szCs w:val="24"/>
              </w:rPr>
              <w:t>从投标截止之日起90日历天</w:t>
            </w:r>
          </w:p>
        </w:tc>
      </w:tr>
      <w:tr w14:paraId="600D1EFC">
        <w:tblPrEx>
          <w:tblCellMar>
            <w:top w:w="0" w:type="dxa"/>
            <w:left w:w="108" w:type="dxa"/>
            <w:bottom w:w="0" w:type="dxa"/>
            <w:right w:w="108" w:type="dxa"/>
          </w:tblCellMar>
        </w:tblPrEx>
        <w:trPr>
          <w:trHeight w:val="602"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044CBE90">
            <w:pPr>
              <w:jc w:val="center"/>
              <w:rPr>
                <w:rFonts w:hint="eastAsia" w:ascii="宋体" w:hAnsi="宋体"/>
                <w:kern w:val="0"/>
                <w:sz w:val="24"/>
                <w:szCs w:val="24"/>
              </w:rPr>
            </w:pPr>
            <w:r>
              <w:rPr>
                <w:rFonts w:hint="eastAsia" w:ascii="宋体" w:hAnsi="宋体"/>
                <w:kern w:val="0"/>
                <w:sz w:val="24"/>
                <w:szCs w:val="24"/>
              </w:rPr>
              <w:t>20</w:t>
            </w:r>
          </w:p>
        </w:tc>
        <w:tc>
          <w:tcPr>
            <w:tcW w:w="2380" w:type="dxa"/>
            <w:tcBorders>
              <w:top w:val="single" w:color="auto" w:sz="4" w:space="0"/>
              <w:left w:val="nil"/>
              <w:bottom w:val="single" w:color="auto" w:sz="4" w:space="0"/>
              <w:right w:val="single" w:color="auto" w:sz="4" w:space="0"/>
            </w:tcBorders>
            <w:noWrap w:val="0"/>
            <w:vAlign w:val="center"/>
          </w:tcPr>
          <w:p w14:paraId="7291EF68">
            <w:pPr>
              <w:jc w:val="center"/>
              <w:rPr>
                <w:rFonts w:hint="eastAsia" w:ascii="宋体" w:hAnsi="宋体"/>
                <w:kern w:val="0"/>
                <w:sz w:val="24"/>
                <w:szCs w:val="24"/>
              </w:rPr>
            </w:pPr>
            <w:r>
              <w:rPr>
                <w:rFonts w:hint="eastAsia" w:ascii="宋体" w:hAnsi="宋体"/>
                <w:kern w:val="0"/>
                <w:sz w:val="24"/>
                <w:szCs w:val="24"/>
              </w:rPr>
              <w:t>资格审查方式</w:t>
            </w:r>
          </w:p>
        </w:tc>
        <w:tc>
          <w:tcPr>
            <w:tcW w:w="6625" w:type="dxa"/>
            <w:tcBorders>
              <w:top w:val="single" w:color="auto" w:sz="4" w:space="0"/>
              <w:left w:val="nil"/>
              <w:bottom w:val="single" w:color="auto" w:sz="4" w:space="0"/>
              <w:right w:val="single" w:color="auto" w:sz="4" w:space="0"/>
            </w:tcBorders>
            <w:noWrap w:val="0"/>
            <w:vAlign w:val="center"/>
          </w:tcPr>
          <w:p w14:paraId="1D4E6D8F">
            <w:pPr>
              <w:jc w:val="left"/>
              <w:rPr>
                <w:rFonts w:hint="eastAsia" w:ascii="宋体" w:hAnsi="宋体"/>
                <w:kern w:val="0"/>
                <w:sz w:val="24"/>
                <w:szCs w:val="24"/>
              </w:rPr>
            </w:pPr>
            <w:r>
              <w:rPr>
                <w:rFonts w:hint="eastAsia" w:ascii="宋体" w:hAnsi="宋体"/>
                <w:kern w:val="0"/>
                <w:sz w:val="24"/>
                <w:szCs w:val="24"/>
              </w:rPr>
              <w:t>资格后审</w:t>
            </w:r>
          </w:p>
        </w:tc>
      </w:tr>
      <w:tr w14:paraId="121C89E8">
        <w:tblPrEx>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EA7CA40">
            <w:pPr>
              <w:jc w:val="center"/>
              <w:rPr>
                <w:rFonts w:hint="eastAsia" w:ascii="宋体" w:hAnsi="宋体"/>
                <w:kern w:val="0"/>
                <w:sz w:val="24"/>
                <w:szCs w:val="24"/>
              </w:rPr>
            </w:pPr>
            <w:r>
              <w:rPr>
                <w:rFonts w:hint="eastAsia" w:ascii="宋体" w:hAnsi="宋体"/>
                <w:kern w:val="0"/>
                <w:sz w:val="24"/>
                <w:szCs w:val="24"/>
              </w:rPr>
              <w:t>21</w:t>
            </w:r>
          </w:p>
        </w:tc>
        <w:tc>
          <w:tcPr>
            <w:tcW w:w="2380" w:type="dxa"/>
            <w:tcBorders>
              <w:top w:val="single" w:color="auto" w:sz="4" w:space="0"/>
              <w:left w:val="nil"/>
              <w:bottom w:val="single" w:color="auto" w:sz="4" w:space="0"/>
              <w:right w:val="single" w:color="auto" w:sz="4" w:space="0"/>
            </w:tcBorders>
            <w:noWrap w:val="0"/>
            <w:vAlign w:val="center"/>
          </w:tcPr>
          <w:p w14:paraId="07DE203B">
            <w:pPr>
              <w:jc w:val="center"/>
              <w:rPr>
                <w:rFonts w:hint="eastAsia" w:ascii="宋体" w:hAnsi="宋体"/>
                <w:kern w:val="0"/>
                <w:sz w:val="24"/>
                <w:szCs w:val="24"/>
              </w:rPr>
            </w:pPr>
            <w:r>
              <w:rPr>
                <w:rFonts w:hint="eastAsia" w:ascii="宋体" w:hAnsi="宋体"/>
                <w:kern w:val="0"/>
                <w:sz w:val="24"/>
                <w:szCs w:val="24"/>
              </w:rPr>
              <w:t>是否允许递交</w:t>
            </w:r>
          </w:p>
          <w:p w14:paraId="354CF25B">
            <w:pPr>
              <w:jc w:val="center"/>
              <w:rPr>
                <w:rFonts w:hint="eastAsia" w:ascii="宋体" w:hAnsi="宋体"/>
                <w:kern w:val="0"/>
                <w:sz w:val="24"/>
                <w:szCs w:val="24"/>
              </w:rPr>
            </w:pPr>
            <w:r>
              <w:rPr>
                <w:rFonts w:hint="eastAsia" w:ascii="宋体" w:hAnsi="宋体"/>
                <w:kern w:val="0"/>
                <w:sz w:val="24"/>
                <w:szCs w:val="24"/>
              </w:rPr>
              <w:t>备选投标方案</w:t>
            </w:r>
          </w:p>
        </w:tc>
        <w:tc>
          <w:tcPr>
            <w:tcW w:w="6625" w:type="dxa"/>
            <w:tcBorders>
              <w:top w:val="single" w:color="auto" w:sz="4" w:space="0"/>
              <w:left w:val="nil"/>
              <w:bottom w:val="single" w:color="auto" w:sz="4" w:space="0"/>
              <w:right w:val="single" w:color="auto" w:sz="4" w:space="0"/>
            </w:tcBorders>
            <w:noWrap w:val="0"/>
            <w:vAlign w:val="center"/>
          </w:tcPr>
          <w:p w14:paraId="6DD75F44">
            <w:pPr>
              <w:pStyle w:val="7"/>
              <w:topLinePunct/>
              <w:jc w:val="left"/>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不允许</w:t>
            </w:r>
          </w:p>
        </w:tc>
      </w:tr>
      <w:tr w14:paraId="3C923EF5">
        <w:tblPrEx>
          <w:tblCellMar>
            <w:top w:w="0" w:type="dxa"/>
            <w:left w:w="108" w:type="dxa"/>
            <w:bottom w:w="0" w:type="dxa"/>
            <w:right w:w="108" w:type="dxa"/>
          </w:tblCellMar>
        </w:tblPrEx>
        <w:trPr>
          <w:trHeight w:val="515"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00A643BC">
            <w:pPr>
              <w:jc w:val="center"/>
              <w:rPr>
                <w:rFonts w:hint="eastAsia" w:ascii="宋体" w:hAnsi="宋体"/>
                <w:kern w:val="0"/>
                <w:sz w:val="24"/>
                <w:szCs w:val="24"/>
              </w:rPr>
            </w:pPr>
            <w:r>
              <w:rPr>
                <w:rFonts w:hint="eastAsia" w:ascii="宋体" w:hAnsi="宋体"/>
                <w:kern w:val="0"/>
                <w:sz w:val="24"/>
                <w:szCs w:val="24"/>
              </w:rPr>
              <w:t>22</w:t>
            </w:r>
          </w:p>
        </w:tc>
        <w:tc>
          <w:tcPr>
            <w:tcW w:w="2380" w:type="dxa"/>
            <w:tcBorders>
              <w:top w:val="single" w:color="auto" w:sz="4" w:space="0"/>
              <w:left w:val="nil"/>
              <w:bottom w:val="single" w:color="auto" w:sz="4" w:space="0"/>
              <w:right w:val="single" w:color="auto" w:sz="4" w:space="0"/>
            </w:tcBorders>
            <w:noWrap w:val="0"/>
            <w:vAlign w:val="center"/>
          </w:tcPr>
          <w:p w14:paraId="59F0D3CB">
            <w:pPr>
              <w:jc w:val="center"/>
              <w:rPr>
                <w:rFonts w:hint="eastAsia" w:ascii="宋体" w:hAnsi="宋体"/>
                <w:kern w:val="0"/>
                <w:sz w:val="24"/>
                <w:szCs w:val="24"/>
              </w:rPr>
            </w:pPr>
            <w:r>
              <w:rPr>
                <w:rFonts w:hint="eastAsia" w:ascii="宋体" w:hAnsi="宋体"/>
                <w:kern w:val="0"/>
                <w:sz w:val="24"/>
                <w:szCs w:val="24"/>
              </w:rPr>
              <w:t>签字或盖章要求</w:t>
            </w:r>
          </w:p>
        </w:tc>
        <w:tc>
          <w:tcPr>
            <w:tcW w:w="6625" w:type="dxa"/>
            <w:tcBorders>
              <w:top w:val="single" w:color="auto" w:sz="4" w:space="0"/>
              <w:left w:val="nil"/>
              <w:bottom w:val="single" w:color="auto" w:sz="4" w:space="0"/>
              <w:right w:val="single" w:color="auto" w:sz="4" w:space="0"/>
            </w:tcBorders>
            <w:noWrap w:val="0"/>
            <w:vAlign w:val="center"/>
          </w:tcPr>
          <w:p w14:paraId="518DA962">
            <w:pPr>
              <w:jc w:val="left"/>
              <w:rPr>
                <w:rFonts w:hint="eastAsia" w:ascii="宋体" w:hAnsi="宋体"/>
                <w:kern w:val="0"/>
                <w:sz w:val="24"/>
                <w:szCs w:val="24"/>
              </w:rPr>
            </w:pPr>
            <w:r>
              <w:rPr>
                <w:rFonts w:hint="eastAsia" w:ascii="宋体" w:hAnsi="宋体"/>
                <w:kern w:val="0"/>
                <w:sz w:val="24"/>
                <w:szCs w:val="24"/>
              </w:rPr>
              <w:t>按本竞争性磋商文件规定</w:t>
            </w:r>
          </w:p>
        </w:tc>
      </w:tr>
      <w:tr w14:paraId="695F1AEC">
        <w:tblPrEx>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0A3C8AB2">
            <w:pPr>
              <w:jc w:val="center"/>
              <w:rPr>
                <w:rFonts w:hint="eastAsia" w:ascii="宋体" w:hAnsi="宋体"/>
                <w:kern w:val="0"/>
                <w:sz w:val="24"/>
                <w:szCs w:val="24"/>
              </w:rPr>
            </w:pPr>
            <w:r>
              <w:rPr>
                <w:rFonts w:hint="eastAsia" w:ascii="宋体" w:hAnsi="宋体"/>
                <w:kern w:val="0"/>
                <w:sz w:val="24"/>
                <w:szCs w:val="24"/>
              </w:rPr>
              <w:t>23</w:t>
            </w:r>
          </w:p>
        </w:tc>
        <w:tc>
          <w:tcPr>
            <w:tcW w:w="2380" w:type="dxa"/>
            <w:tcBorders>
              <w:top w:val="single" w:color="auto" w:sz="4" w:space="0"/>
              <w:left w:val="nil"/>
              <w:bottom w:val="single" w:color="auto" w:sz="4" w:space="0"/>
              <w:right w:val="single" w:color="auto" w:sz="4" w:space="0"/>
            </w:tcBorders>
            <w:noWrap w:val="0"/>
            <w:vAlign w:val="center"/>
          </w:tcPr>
          <w:p w14:paraId="77E6BA54">
            <w:pPr>
              <w:jc w:val="center"/>
              <w:rPr>
                <w:rFonts w:hint="eastAsia" w:ascii="宋体" w:hAnsi="宋体"/>
                <w:kern w:val="0"/>
                <w:sz w:val="24"/>
                <w:szCs w:val="24"/>
              </w:rPr>
            </w:pPr>
            <w:r>
              <w:rPr>
                <w:rFonts w:hint="eastAsia" w:ascii="宋体" w:hAnsi="宋体"/>
                <w:kern w:val="0"/>
                <w:sz w:val="24"/>
                <w:szCs w:val="24"/>
              </w:rPr>
              <w:t>竞争性磋商</w:t>
            </w:r>
          </w:p>
          <w:p w14:paraId="30F52A3C">
            <w:pPr>
              <w:jc w:val="center"/>
              <w:rPr>
                <w:rFonts w:hint="eastAsia" w:ascii="宋体" w:hAnsi="宋体"/>
                <w:kern w:val="0"/>
                <w:sz w:val="24"/>
                <w:szCs w:val="24"/>
              </w:rPr>
            </w:pPr>
            <w:r>
              <w:rPr>
                <w:rFonts w:hint="eastAsia" w:ascii="宋体" w:hAnsi="宋体"/>
                <w:kern w:val="0"/>
                <w:sz w:val="24"/>
                <w:szCs w:val="24"/>
              </w:rPr>
              <w:t>响应文件份数</w:t>
            </w:r>
          </w:p>
        </w:tc>
        <w:tc>
          <w:tcPr>
            <w:tcW w:w="6625" w:type="dxa"/>
            <w:tcBorders>
              <w:top w:val="single" w:color="auto" w:sz="4" w:space="0"/>
              <w:left w:val="nil"/>
              <w:bottom w:val="single" w:color="auto" w:sz="4" w:space="0"/>
              <w:right w:val="single" w:color="auto" w:sz="4" w:space="0"/>
            </w:tcBorders>
            <w:noWrap w:val="0"/>
            <w:vAlign w:val="center"/>
          </w:tcPr>
          <w:p w14:paraId="0E503BE4">
            <w:pPr>
              <w:jc w:val="left"/>
              <w:rPr>
                <w:rFonts w:hint="eastAsia" w:ascii="宋体" w:hAnsi="宋体"/>
                <w:color w:val="1F497D"/>
                <w:kern w:val="0"/>
                <w:sz w:val="24"/>
                <w:szCs w:val="24"/>
              </w:rPr>
            </w:pPr>
            <w:r>
              <w:rPr>
                <w:rFonts w:hint="eastAsia" w:ascii="宋体" w:hAnsi="宋体"/>
                <w:sz w:val="24"/>
                <w:szCs w:val="24"/>
              </w:rPr>
              <w:t>正本</w:t>
            </w:r>
            <w:r>
              <w:rPr>
                <w:rFonts w:hint="eastAsia" w:ascii="宋体" w:hAnsi="宋体"/>
                <w:sz w:val="24"/>
                <w:szCs w:val="24"/>
                <w:u w:val="single"/>
              </w:rPr>
              <w:t xml:space="preserve"> 1 </w:t>
            </w:r>
            <w:r>
              <w:rPr>
                <w:rFonts w:hint="eastAsia" w:ascii="宋体" w:hAnsi="宋体"/>
                <w:sz w:val="24"/>
                <w:szCs w:val="24"/>
              </w:rPr>
              <w:t>份，副本</w:t>
            </w:r>
            <w:r>
              <w:rPr>
                <w:rFonts w:hint="eastAsia" w:ascii="宋体" w:hAnsi="宋体"/>
                <w:sz w:val="24"/>
                <w:szCs w:val="24"/>
                <w:u w:val="single"/>
              </w:rPr>
              <w:t xml:space="preserve"> 4 </w:t>
            </w:r>
            <w:r>
              <w:rPr>
                <w:rFonts w:hint="eastAsia" w:ascii="宋体" w:hAnsi="宋体"/>
                <w:sz w:val="24"/>
                <w:szCs w:val="24"/>
              </w:rPr>
              <w:t>份，电子版投标文件优盘壹份。</w:t>
            </w:r>
          </w:p>
        </w:tc>
      </w:tr>
      <w:tr w14:paraId="20FE7C8D">
        <w:tblPrEx>
          <w:tblCellMar>
            <w:top w:w="0" w:type="dxa"/>
            <w:left w:w="108" w:type="dxa"/>
            <w:bottom w:w="0" w:type="dxa"/>
            <w:right w:w="108" w:type="dxa"/>
          </w:tblCellMar>
        </w:tblPrEx>
        <w:trPr>
          <w:trHeight w:val="456"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5FBFD948">
            <w:pPr>
              <w:jc w:val="center"/>
              <w:rPr>
                <w:rFonts w:hint="eastAsia" w:ascii="宋体" w:hAnsi="宋体"/>
                <w:kern w:val="0"/>
                <w:sz w:val="24"/>
                <w:szCs w:val="24"/>
              </w:rPr>
            </w:pPr>
            <w:r>
              <w:rPr>
                <w:rFonts w:hint="eastAsia" w:ascii="宋体" w:hAnsi="宋体"/>
                <w:kern w:val="0"/>
                <w:sz w:val="24"/>
                <w:szCs w:val="24"/>
              </w:rPr>
              <w:t>24</w:t>
            </w:r>
          </w:p>
        </w:tc>
        <w:tc>
          <w:tcPr>
            <w:tcW w:w="2380" w:type="dxa"/>
            <w:tcBorders>
              <w:top w:val="single" w:color="auto" w:sz="4" w:space="0"/>
              <w:left w:val="nil"/>
              <w:bottom w:val="single" w:color="auto" w:sz="4" w:space="0"/>
              <w:right w:val="single" w:color="auto" w:sz="4" w:space="0"/>
            </w:tcBorders>
            <w:noWrap w:val="0"/>
            <w:vAlign w:val="center"/>
          </w:tcPr>
          <w:p w14:paraId="1F6DB5A3">
            <w:pPr>
              <w:jc w:val="center"/>
              <w:rPr>
                <w:rFonts w:hint="eastAsia" w:ascii="宋体" w:hAnsi="宋体"/>
                <w:b/>
                <w:bCs/>
                <w:kern w:val="0"/>
                <w:sz w:val="24"/>
                <w:szCs w:val="24"/>
              </w:rPr>
            </w:pPr>
            <w:r>
              <w:rPr>
                <w:rFonts w:hint="eastAsia" w:ascii="宋体" w:hAnsi="宋体"/>
                <w:kern w:val="0"/>
                <w:sz w:val="24"/>
                <w:szCs w:val="24"/>
              </w:rPr>
              <w:t>递交竞争性磋商响应文件地点及截止时间</w:t>
            </w:r>
          </w:p>
        </w:tc>
        <w:tc>
          <w:tcPr>
            <w:tcW w:w="6625" w:type="dxa"/>
            <w:tcBorders>
              <w:top w:val="single" w:color="auto" w:sz="4" w:space="0"/>
              <w:left w:val="nil"/>
              <w:bottom w:val="single" w:color="auto" w:sz="4" w:space="0"/>
              <w:right w:val="single" w:color="auto" w:sz="4" w:space="0"/>
            </w:tcBorders>
            <w:noWrap w:val="0"/>
            <w:vAlign w:val="center"/>
          </w:tcPr>
          <w:p w14:paraId="61DC3F1F">
            <w:pPr>
              <w:jc w:val="left"/>
              <w:rPr>
                <w:rFonts w:hint="eastAsia" w:ascii="宋体" w:hAnsi="宋体"/>
                <w:kern w:val="0"/>
                <w:sz w:val="24"/>
                <w:szCs w:val="24"/>
              </w:rPr>
            </w:pPr>
            <w:r>
              <w:rPr>
                <w:rFonts w:hint="eastAsia" w:ascii="宋体" w:hAnsi="宋体"/>
                <w:kern w:val="0"/>
                <w:sz w:val="24"/>
                <w:szCs w:val="24"/>
              </w:rPr>
              <w:t>磋商时间：</w:t>
            </w:r>
            <w:r>
              <w:rPr>
                <w:rFonts w:hint="eastAsia" w:ascii="宋体" w:hAnsi="宋体"/>
                <w:sz w:val="24"/>
                <w:szCs w:val="24"/>
              </w:rPr>
              <w:t>2022年</w:t>
            </w:r>
            <w:r>
              <w:rPr>
                <w:rFonts w:hint="eastAsia" w:ascii="宋体" w:hAnsi="宋体"/>
                <w:sz w:val="24"/>
                <w:szCs w:val="24"/>
                <w:lang w:val="en-US" w:eastAsia="zh-CN"/>
              </w:rPr>
              <w:t>06</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w:t>
            </w:r>
            <w:r>
              <w:rPr>
                <w:rFonts w:hint="eastAsia" w:ascii="宋体" w:hAnsi="宋体"/>
                <w:sz w:val="24"/>
                <w:szCs w:val="24"/>
                <w:lang w:val="en-US" w:eastAsia="zh-CN"/>
              </w:rPr>
              <w:t>15</w:t>
            </w:r>
            <w:r>
              <w:rPr>
                <w:rFonts w:hint="eastAsia" w:ascii="宋体" w:hAnsi="宋体"/>
                <w:sz w:val="24"/>
                <w:szCs w:val="24"/>
              </w:rPr>
              <w:t>时 00 分</w:t>
            </w:r>
          </w:p>
          <w:p w14:paraId="089455F9">
            <w:pPr>
              <w:widowControl/>
              <w:jc w:val="left"/>
              <w:rPr>
                <w:rFonts w:hint="eastAsia" w:ascii="宋体" w:hAnsi="宋体"/>
                <w:b/>
                <w:bCs/>
                <w:kern w:val="0"/>
                <w:sz w:val="24"/>
                <w:szCs w:val="24"/>
              </w:rPr>
            </w:pPr>
            <w:r>
              <w:rPr>
                <w:rFonts w:hint="eastAsia" w:ascii="宋体" w:hAnsi="宋体"/>
                <w:kern w:val="0"/>
                <w:sz w:val="24"/>
                <w:szCs w:val="24"/>
              </w:rPr>
              <w:t xml:space="preserve">磋商地点：淮南经济技术开发区政务中心B楼七楼开标室 </w:t>
            </w:r>
          </w:p>
        </w:tc>
      </w:tr>
      <w:tr w14:paraId="74A359FC">
        <w:tblPrEx>
          <w:tblCellMar>
            <w:top w:w="0" w:type="dxa"/>
            <w:left w:w="108" w:type="dxa"/>
            <w:bottom w:w="0" w:type="dxa"/>
            <w:right w:w="108" w:type="dxa"/>
          </w:tblCellMar>
        </w:tblPrEx>
        <w:trPr>
          <w:trHeight w:val="448"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0FC6C970">
            <w:pPr>
              <w:jc w:val="center"/>
              <w:rPr>
                <w:rFonts w:hint="eastAsia" w:ascii="宋体" w:hAnsi="宋体"/>
                <w:kern w:val="0"/>
                <w:sz w:val="24"/>
                <w:szCs w:val="24"/>
              </w:rPr>
            </w:pPr>
            <w:r>
              <w:rPr>
                <w:rFonts w:hint="eastAsia" w:ascii="宋体" w:hAnsi="宋体"/>
                <w:kern w:val="0"/>
                <w:sz w:val="24"/>
                <w:szCs w:val="24"/>
              </w:rPr>
              <w:t>25</w:t>
            </w:r>
          </w:p>
        </w:tc>
        <w:tc>
          <w:tcPr>
            <w:tcW w:w="2380" w:type="dxa"/>
            <w:tcBorders>
              <w:top w:val="single" w:color="auto" w:sz="4" w:space="0"/>
              <w:left w:val="nil"/>
              <w:bottom w:val="single" w:color="auto" w:sz="4" w:space="0"/>
              <w:right w:val="single" w:color="auto" w:sz="4" w:space="0"/>
            </w:tcBorders>
            <w:noWrap w:val="0"/>
            <w:vAlign w:val="center"/>
          </w:tcPr>
          <w:p w14:paraId="04C0FD1A">
            <w:pPr>
              <w:jc w:val="center"/>
              <w:rPr>
                <w:rFonts w:hint="eastAsia" w:ascii="宋体" w:hAnsi="宋体"/>
                <w:kern w:val="0"/>
                <w:sz w:val="24"/>
                <w:szCs w:val="24"/>
              </w:rPr>
            </w:pPr>
            <w:r>
              <w:rPr>
                <w:rFonts w:hint="eastAsia" w:ascii="宋体" w:hAnsi="宋体"/>
                <w:kern w:val="0"/>
                <w:sz w:val="24"/>
                <w:szCs w:val="24"/>
              </w:rPr>
              <w:t>是否退还</w:t>
            </w:r>
          </w:p>
          <w:p w14:paraId="2F2BB17C">
            <w:pPr>
              <w:jc w:val="center"/>
              <w:rPr>
                <w:rFonts w:hint="eastAsia" w:ascii="宋体" w:hAnsi="宋体"/>
                <w:kern w:val="0"/>
                <w:sz w:val="24"/>
                <w:szCs w:val="24"/>
              </w:rPr>
            </w:pPr>
            <w:r>
              <w:rPr>
                <w:rFonts w:hint="eastAsia" w:ascii="宋体" w:hAnsi="宋体"/>
                <w:kern w:val="0"/>
                <w:sz w:val="24"/>
                <w:szCs w:val="24"/>
              </w:rPr>
              <w:t>竞争性磋商响应文件</w:t>
            </w:r>
          </w:p>
        </w:tc>
        <w:tc>
          <w:tcPr>
            <w:tcW w:w="6625" w:type="dxa"/>
            <w:tcBorders>
              <w:top w:val="single" w:color="auto" w:sz="4" w:space="0"/>
              <w:left w:val="nil"/>
              <w:bottom w:val="single" w:color="auto" w:sz="4" w:space="0"/>
              <w:right w:val="single" w:color="auto" w:sz="4" w:space="0"/>
            </w:tcBorders>
            <w:noWrap w:val="0"/>
            <w:vAlign w:val="center"/>
          </w:tcPr>
          <w:p w14:paraId="44486EE4">
            <w:pPr>
              <w:pStyle w:val="7"/>
              <w:topLinePunct/>
              <w:jc w:val="left"/>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否</w:t>
            </w:r>
          </w:p>
        </w:tc>
      </w:tr>
      <w:tr w14:paraId="504C708B">
        <w:tblPrEx>
          <w:tblCellMar>
            <w:top w:w="0" w:type="dxa"/>
            <w:left w:w="108" w:type="dxa"/>
            <w:bottom w:w="0" w:type="dxa"/>
            <w:right w:w="108" w:type="dxa"/>
          </w:tblCellMar>
        </w:tblPrEx>
        <w:trPr>
          <w:trHeight w:val="146"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E840BAE">
            <w:pPr>
              <w:jc w:val="center"/>
              <w:rPr>
                <w:rFonts w:hint="eastAsia" w:ascii="宋体" w:hAnsi="宋体"/>
                <w:kern w:val="0"/>
                <w:sz w:val="24"/>
                <w:szCs w:val="24"/>
              </w:rPr>
            </w:pPr>
            <w:r>
              <w:rPr>
                <w:rFonts w:hint="eastAsia" w:ascii="宋体" w:hAnsi="宋体"/>
                <w:kern w:val="0"/>
                <w:sz w:val="24"/>
                <w:szCs w:val="24"/>
              </w:rPr>
              <w:t>26</w:t>
            </w:r>
          </w:p>
        </w:tc>
        <w:tc>
          <w:tcPr>
            <w:tcW w:w="2380" w:type="dxa"/>
            <w:tcBorders>
              <w:top w:val="single" w:color="auto" w:sz="4" w:space="0"/>
              <w:left w:val="nil"/>
              <w:bottom w:val="single" w:color="auto" w:sz="4" w:space="0"/>
              <w:right w:val="single" w:color="auto" w:sz="4" w:space="0"/>
            </w:tcBorders>
            <w:noWrap w:val="0"/>
            <w:vAlign w:val="center"/>
          </w:tcPr>
          <w:p w14:paraId="04925FA0">
            <w:pPr>
              <w:jc w:val="center"/>
              <w:rPr>
                <w:rFonts w:hint="eastAsia" w:ascii="宋体" w:hAnsi="宋体"/>
                <w:kern w:val="0"/>
                <w:sz w:val="24"/>
                <w:szCs w:val="24"/>
              </w:rPr>
            </w:pPr>
            <w:r>
              <w:rPr>
                <w:rFonts w:hint="eastAsia" w:ascii="宋体" w:hAnsi="宋体"/>
                <w:kern w:val="0"/>
                <w:sz w:val="24"/>
                <w:szCs w:val="24"/>
              </w:rPr>
              <w:t>开标程序</w:t>
            </w:r>
          </w:p>
        </w:tc>
        <w:tc>
          <w:tcPr>
            <w:tcW w:w="6625" w:type="dxa"/>
            <w:tcBorders>
              <w:top w:val="single" w:color="auto" w:sz="4" w:space="0"/>
              <w:left w:val="nil"/>
              <w:bottom w:val="single" w:color="auto" w:sz="4" w:space="0"/>
              <w:right w:val="single" w:color="auto" w:sz="4" w:space="0"/>
            </w:tcBorders>
            <w:noWrap w:val="0"/>
            <w:vAlign w:val="center"/>
          </w:tcPr>
          <w:p w14:paraId="147A7E1C">
            <w:pPr>
              <w:jc w:val="left"/>
              <w:rPr>
                <w:rFonts w:hint="eastAsia" w:ascii="宋体" w:hAnsi="宋体"/>
                <w:kern w:val="0"/>
                <w:sz w:val="24"/>
                <w:szCs w:val="24"/>
              </w:rPr>
            </w:pPr>
            <w:r>
              <w:rPr>
                <w:rFonts w:hint="eastAsia" w:ascii="宋体" w:hAnsi="宋体"/>
                <w:sz w:val="24"/>
                <w:szCs w:val="24"/>
              </w:rPr>
              <w:t>1、密封情况检查：</w:t>
            </w:r>
            <w:r>
              <w:rPr>
                <w:rFonts w:hint="eastAsia" w:ascii="宋体" w:hAnsi="宋体"/>
                <w:kern w:val="0"/>
                <w:sz w:val="24"/>
                <w:szCs w:val="24"/>
              </w:rPr>
              <w:t>所有投标单位和招标人检查响应性文件的密封情况</w:t>
            </w:r>
          </w:p>
          <w:p w14:paraId="4321B7F1">
            <w:pPr>
              <w:jc w:val="left"/>
              <w:rPr>
                <w:rFonts w:hint="eastAsia" w:ascii="宋体" w:hAnsi="宋体"/>
                <w:kern w:val="0"/>
                <w:sz w:val="24"/>
                <w:szCs w:val="24"/>
              </w:rPr>
            </w:pPr>
            <w:r>
              <w:rPr>
                <w:rFonts w:hint="eastAsia" w:ascii="宋体" w:hAnsi="宋体"/>
                <w:sz w:val="24"/>
                <w:szCs w:val="24"/>
              </w:rPr>
              <w:t>2、开标顺序：</w:t>
            </w:r>
            <w:r>
              <w:rPr>
                <w:rFonts w:hint="eastAsia" w:ascii="宋体" w:hAnsi="宋体"/>
                <w:kern w:val="0"/>
                <w:sz w:val="24"/>
                <w:szCs w:val="24"/>
              </w:rPr>
              <w:t>按递交响应性文件时间顺序</w:t>
            </w:r>
          </w:p>
        </w:tc>
      </w:tr>
      <w:tr w14:paraId="658487E2">
        <w:tblPrEx>
          <w:tblCellMar>
            <w:top w:w="0" w:type="dxa"/>
            <w:left w:w="108" w:type="dxa"/>
            <w:bottom w:w="0" w:type="dxa"/>
            <w:right w:w="108" w:type="dxa"/>
          </w:tblCellMar>
        </w:tblPrEx>
        <w:trPr>
          <w:trHeight w:val="1261"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CF0A61A">
            <w:pPr>
              <w:jc w:val="center"/>
              <w:rPr>
                <w:rFonts w:hint="eastAsia" w:ascii="宋体" w:hAnsi="宋体"/>
                <w:kern w:val="0"/>
                <w:sz w:val="24"/>
                <w:szCs w:val="24"/>
              </w:rPr>
            </w:pPr>
            <w:r>
              <w:rPr>
                <w:rFonts w:hint="eastAsia" w:ascii="宋体" w:hAnsi="宋体"/>
                <w:kern w:val="0"/>
                <w:sz w:val="24"/>
                <w:szCs w:val="24"/>
              </w:rPr>
              <w:t>27</w:t>
            </w:r>
          </w:p>
        </w:tc>
        <w:tc>
          <w:tcPr>
            <w:tcW w:w="2380" w:type="dxa"/>
            <w:tcBorders>
              <w:top w:val="single" w:color="auto" w:sz="4" w:space="0"/>
              <w:left w:val="nil"/>
              <w:bottom w:val="single" w:color="auto" w:sz="4" w:space="0"/>
              <w:right w:val="single" w:color="auto" w:sz="4" w:space="0"/>
            </w:tcBorders>
            <w:noWrap w:val="0"/>
            <w:vAlign w:val="center"/>
          </w:tcPr>
          <w:p w14:paraId="16A6F495">
            <w:pPr>
              <w:jc w:val="center"/>
              <w:rPr>
                <w:rFonts w:hint="eastAsia" w:ascii="宋体" w:hAnsi="宋体"/>
                <w:kern w:val="0"/>
                <w:sz w:val="24"/>
                <w:szCs w:val="24"/>
              </w:rPr>
            </w:pPr>
            <w:r>
              <w:rPr>
                <w:rFonts w:hint="eastAsia" w:ascii="宋体" w:hAnsi="宋体"/>
                <w:kern w:val="0"/>
                <w:sz w:val="24"/>
                <w:szCs w:val="24"/>
              </w:rPr>
              <w:t>评标委员会的组建</w:t>
            </w:r>
          </w:p>
        </w:tc>
        <w:tc>
          <w:tcPr>
            <w:tcW w:w="6625" w:type="dxa"/>
            <w:tcBorders>
              <w:top w:val="single" w:color="auto" w:sz="4" w:space="0"/>
              <w:left w:val="nil"/>
              <w:bottom w:val="single" w:color="auto" w:sz="4" w:space="0"/>
              <w:right w:val="single" w:color="auto" w:sz="4" w:space="0"/>
            </w:tcBorders>
            <w:noWrap w:val="0"/>
            <w:vAlign w:val="center"/>
          </w:tcPr>
          <w:p w14:paraId="5CCACF16">
            <w:pPr>
              <w:jc w:val="left"/>
              <w:rPr>
                <w:rFonts w:hint="eastAsia" w:ascii="宋体" w:hAnsi="宋体"/>
                <w:kern w:val="0"/>
                <w:sz w:val="24"/>
                <w:szCs w:val="24"/>
              </w:rPr>
            </w:pPr>
            <w:r>
              <w:rPr>
                <w:rFonts w:hint="eastAsia" w:ascii="宋体" w:hAnsi="宋体"/>
                <w:kern w:val="0"/>
                <w:sz w:val="24"/>
                <w:szCs w:val="24"/>
              </w:rPr>
              <w:t>评标委员会构成：3人或以上单数，其中经济、技术等方面的专家不少于成员总数的三分之二</w:t>
            </w:r>
          </w:p>
          <w:p w14:paraId="4016E18B">
            <w:pPr>
              <w:jc w:val="left"/>
              <w:rPr>
                <w:rFonts w:hint="eastAsia" w:ascii="宋体" w:hAnsi="宋体"/>
                <w:kern w:val="0"/>
                <w:sz w:val="24"/>
                <w:szCs w:val="24"/>
              </w:rPr>
            </w:pPr>
            <w:r>
              <w:rPr>
                <w:rFonts w:hint="eastAsia" w:ascii="宋体" w:hAnsi="宋体"/>
                <w:kern w:val="0"/>
                <w:sz w:val="24"/>
                <w:szCs w:val="24"/>
              </w:rPr>
              <w:t>评标专家确定方式：安徽省评标专家库中成员</w:t>
            </w:r>
          </w:p>
        </w:tc>
      </w:tr>
      <w:tr w14:paraId="5FEC1C45">
        <w:tblPrEx>
          <w:tblCellMar>
            <w:top w:w="0" w:type="dxa"/>
            <w:left w:w="108" w:type="dxa"/>
            <w:bottom w:w="0" w:type="dxa"/>
            <w:right w:w="108" w:type="dxa"/>
          </w:tblCellMar>
        </w:tblPrEx>
        <w:trPr>
          <w:trHeight w:val="694"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7635DC47">
            <w:pPr>
              <w:jc w:val="center"/>
              <w:rPr>
                <w:rFonts w:hint="eastAsia" w:ascii="宋体" w:hAnsi="宋体"/>
                <w:kern w:val="0"/>
                <w:sz w:val="24"/>
                <w:szCs w:val="24"/>
              </w:rPr>
            </w:pPr>
            <w:r>
              <w:rPr>
                <w:rFonts w:hint="eastAsia" w:ascii="宋体" w:hAnsi="宋体"/>
                <w:kern w:val="0"/>
                <w:sz w:val="24"/>
                <w:szCs w:val="24"/>
              </w:rPr>
              <w:t>28</w:t>
            </w:r>
          </w:p>
        </w:tc>
        <w:tc>
          <w:tcPr>
            <w:tcW w:w="2380" w:type="dxa"/>
            <w:tcBorders>
              <w:top w:val="single" w:color="auto" w:sz="4" w:space="0"/>
              <w:left w:val="nil"/>
              <w:bottom w:val="single" w:color="auto" w:sz="4" w:space="0"/>
              <w:right w:val="single" w:color="auto" w:sz="4" w:space="0"/>
            </w:tcBorders>
            <w:noWrap w:val="0"/>
            <w:vAlign w:val="center"/>
          </w:tcPr>
          <w:p w14:paraId="332909E8">
            <w:pPr>
              <w:jc w:val="center"/>
              <w:rPr>
                <w:rFonts w:hint="eastAsia" w:ascii="宋体" w:hAnsi="宋体"/>
                <w:kern w:val="0"/>
                <w:sz w:val="24"/>
                <w:szCs w:val="24"/>
              </w:rPr>
            </w:pPr>
            <w:r>
              <w:rPr>
                <w:rFonts w:hint="eastAsia" w:ascii="宋体" w:hAnsi="宋体"/>
                <w:kern w:val="0"/>
                <w:sz w:val="24"/>
                <w:szCs w:val="24"/>
              </w:rPr>
              <w:t>是否授权评标委员会推荐成交供应商</w:t>
            </w:r>
          </w:p>
        </w:tc>
        <w:tc>
          <w:tcPr>
            <w:tcW w:w="6625" w:type="dxa"/>
            <w:tcBorders>
              <w:top w:val="single" w:color="auto" w:sz="4" w:space="0"/>
              <w:left w:val="nil"/>
              <w:bottom w:val="single" w:color="auto" w:sz="4" w:space="0"/>
              <w:right w:val="single" w:color="auto" w:sz="4" w:space="0"/>
            </w:tcBorders>
            <w:noWrap w:val="0"/>
            <w:vAlign w:val="center"/>
          </w:tcPr>
          <w:p w14:paraId="11975AEF">
            <w:pPr>
              <w:jc w:val="left"/>
              <w:rPr>
                <w:rFonts w:hint="eastAsia" w:ascii="宋体" w:hAnsi="宋体"/>
                <w:b/>
                <w:bCs/>
                <w:kern w:val="0"/>
                <w:sz w:val="24"/>
                <w:szCs w:val="24"/>
              </w:rPr>
            </w:pPr>
            <w:r>
              <w:rPr>
                <w:rFonts w:hint="eastAsia" w:ascii="宋体" w:hAnsi="宋体"/>
                <w:kern w:val="0"/>
                <w:sz w:val="24"/>
                <w:szCs w:val="24"/>
              </w:rPr>
              <w:t>是</w:t>
            </w:r>
          </w:p>
        </w:tc>
      </w:tr>
      <w:tr w14:paraId="4E1B3F4E">
        <w:tblPrEx>
          <w:tblCellMar>
            <w:top w:w="0" w:type="dxa"/>
            <w:left w:w="108" w:type="dxa"/>
            <w:bottom w:w="0" w:type="dxa"/>
            <w:right w:w="108" w:type="dxa"/>
          </w:tblCellMar>
        </w:tblPrEx>
        <w:trPr>
          <w:trHeight w:val="694"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7831A9BB">
            <w:pPr>
              <w:jc w:val="center"/>
              <w:rPr>
                <w:rFonts w:hint="eastAsia" w:ascii="宋体" w:hAnsi="宋体"/>
                <w:kern w:val="0"/>
                <w:sz w:val="24"/>
                <w:szCs w:val="24"/>
              </w:rPr>
            </w:pPr>
            <w:r>
              <w:rPr>
                <w:rFonts w:hint="eastAsia" w:ascii="宋体" w:hAnsi="宋体"/>
                <w:kern w:val="0"/>
                <w:sz w:val="24"/>
                <w:szCs w:val="24"/>
              </w:rPr>
              <w:t>29</w:t>
            </w:r>
          </w:p>
        </w:tc>
        <w:tc>
          <w:tcPr>
            <w:tcW w:w="2380" w:type="dxa"/>
            <w:tcBorders>
              <w:top w:val="single" w:color="auto" w:sz="4" w:space="0"/>
              <w:left w:val="nil"/>
              <w:bottom w:val="single" w:color="auto" w:sz="4" w:space="0"/>
              <w:right w:val="single" w:color="auto" w:sz="4" w:space="0"/>
            </w:tcBorders>
            <w:noWrap w:val="0"/>
            <w:vAlign w:val="center"/>
          </w:tcPr>
          <w:p w14:paraId="5A1D21D8">
            <w:pPr>
              <w:jc w:val="center"/>
              <w:rPr>
                <w:rFonts w:hint="eastAsia" w:ascii="宋体" w:hAnsi="宋体"/>
                <w:kern w:val="0"/>
                <w:sz w:val="24"/>
                <w:szCs w:val="24"/>
              </w:rPr>
            </w:pPr>
            <w:r>
              <w:rPr>
                <w:rFonts w:hint="eastAsia" w:ascii="宋体" w:hAnsi="宋体"/>
                <w:kern w:val="0"/>
                <w:sz w:val="24"/>
                <w:szCs w:val="24"/>
              </w:rPr>
              <w:t>履约保证金</w:t>
            </w:r>
          </w:p>
        </w:tc>
        <w:tc>
          <w:tcPr>
            <w:tcW w:w="6625" w:type="dxa"/>
            <w:tcBorders>
              <w:top w:val="single" w:color="auto" w:sz="4" w:space="0"/>
              <w:left w:val="nil"/>
              <w:bottom w:val="single" w:color="auto" w:sz="4" w:space="0"/>
              <w:right w:val="single" w:color="auto" w:sz="4" w:space="0"/>
            </w:tcBorders>
            <w:noWrap w:val="0"/>
            <w:vAlign w:val="center"/>
          </w:tcPr>
          <w:p w14:paraId="78A5E399">
            <w:pPr>
              <w:jc w:val="left"/>
              <w:rPr>
                <w:rFonts w:hint="eastAsia" w:ascii="宋体" w:hAnsi="宋体"/>
                <w:kern w:val="0"/>
                <w:sz w:val="24"/>
                <w:szCs w:val="24"/>
              </w:rPr>
            </w:pPr>
            <w:r>
              <w:rPr>
                <w:rFonts w:hint="eastAsia" w:ascii="宋体" w:hAnsi="宋体"/>
                <w:kern w:val="0"/>
                <w:sz w:val="24"/>
                <w:szCs w:val="24"/>
              </w:rPr>
              <w:t>履约保证金数额：中标价的2%（人民币）</w:t>
            </w:r>
          </w:p>
          <w:p w14:paraId="7FAE7F75">
            <w:pPr>
              <w:jc w:val="left"/>
              <w:rPr>
                <w:rFonts w:hint="eastAsia" w:ascii="宋体" w:hAnsi="宋体"/>
                <w:kern w:val="0"/>
                <w:sz w:val="24"/>
                <w:szCs w:val="24"/>
              </w:rPr>
            </w:pPr>
            <w:r>
              <w:rPr>
                <w:rFonts w:hint="eastAsia" w:ascii="宋体" w:hAnsi="宋体"/>
                <w:kern w:val="0"/>
                <w:sz w:val="24"/>
                <w:szCs w:val="24"/>
              </w:rPr>
              <w:t>履约保证金提交时间：中标单位与业主单位签订合同前提交。具体收款单位及账号信息：由业主单位提供。</w:t>
            </w:r>
          </w:p>
          <w:p w14:paraId="5DCF6D53">
            <w:pPr>
              <w:jc w:val="left"/>
              <w:rPr>
                <w:rFonts w:hint="eastAsia" w:ascii="宋体" w:hAnsi="宋体"/>
                <w:kern w:val="0"/>
                <w:sz w:val="24"/>
                <w:szCs w:val="24"/>
              </w:rPr>
            </w:pPr>
            <w:r>
              <w:rPr>
                <w:rFonts w:hint="eastAsia" w:ascii="宋体" w:hAnsi="宋体"/>
                <w:kern w:val="0"/>
                <w:sz w:val="24"/>
                <w:szCs w:val="24"/>
              </w:rPr>
              <w:t>方案评审工作结束后无息退还。</w:t>
            </w:r>
          </w:p>
        </w:tc>
      </w:tr>
      <w:tr w14:paraId="2726A8D4">
        <w:tblPrEx>
          <w:tblCellMar>
            <w:top w:w="0" w:type="dxa"/>
            <w:left w:w="108" w:type="dxa"/>
            <w:bottom w:w="0" w:type="dxa"/>
            <w:right w:w="108" w:type="dxa"/>
          </w:tblCellMar>
        </w:tblPrEx>
        <w:trPr>
          <w:trHeight w:val="520"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59EB8049">
            <w:pPr>
              <w:jc w:val="center"/>
              <w:rPr>
                <w:rFonts w:hint="eastAsia" w:ascii="宋体" w:hAnsi="宋体"/>
                <w:kern w:val="0"/>
                <w:sz w:val="24"/>
                <w:szCs w:val="24"/>
              </w:rPr>
            </w:pPr>
            <w:r>
              <w:rPr>
                <w:rFonts w:hint="eastAsia" w:ascii="宋体" w:hAnsi="宋体"/>
                <w:kern w:val="0"/>
                <w:sz w:val="24"/>
                <w:szCs w:val="24"/>
              </w:rPr>
              <w:t>30</w:t>
            </w:r>
          </w:p>
        </w:tc>
        <w:tc>
          <w:tcPr>
            <w:tcW w:w="2380" w:type="dxa"/>
            <w:tcBorders>
              <w:top w:val="single" w:color="auto" w:sz="4" w:space="0"/>
              <w:left w:val="nil"/>
              <w:bottom w:val="single" w:color="auto" w:sz="4" w:space="0"/>
              <w:right w:val="single" w:color="auto" w:sz="4" w:space="0"/>
            </w:tcBorders>
            <w:noWrap w:val="0"/>
            <w:vAlign w:val="center"/>
          </w:tcPr>
          <w:p w14:paraId="67CBC07F">
            <w:pPr>
              <w:jc w:val="center"/>
              <w:rPr>
                <w:rFonts w:hint="eastAsia" w:ascii="宋体" w:hAnsi="宋体"/>
                <w:color w:val="000000"/>
                <w:kern w:val="0"/>
                <w:sz w:val="24"/>
                <w:szCs w:val="24"/>
              </w:rPr>
            </w:pPr>
            <w:r>
              <w:rPr>
                <w:rFonts w:hint="eastAsia" w:ascii="宋体" w:hAnsi="宋体"/>
                <w:color w:val="000000"/>
                <w:kern w:val="0"/>
                <w:sz w:val="24"/>
                <w:szCs w:val="24"/>
              </w:rPr>
              <w:t>付款方式</w:t>
            </w:r>
          </w:p>
        </w:tc>
        <w:tc>
          <w:tcPr>
            <w:tcW w:w="6625" w:type="dxa"/>
            <w:tcBorders>
              <w:top w:val="single" w:color="auto" w:sz="4" w:space="0"/>
              <w:left w:val="nil"/>
              <w:bottom w:val="single" w:color="auto" w:sz="4" w:space="0"/>
              <w:right w:val="single" w:color="auto" w:sz="4" w:space="0"/>
            </w:tcBorders>
            <w:noWrap w:val="0"/>
            <w:vAlign w:val="center"/>
          </w:tcPr>
          <w:p w14:paraId="327724F9">
            <w:pPr>
              <w:rPr>
                <w:rFonts w:hint="eastAsia" w:cs="Times New Roman"/>
                <w:sz w:val="24"/>
                <w:szCs w:val="24"/>
              </w:rPr>
            </w:pPr>
            <w:r>
              <w:rPr>
                <w:rFonts w:hint="eastAsia" w:ascii="宋体" w:hAnsi="宋体"/>
                <w:kern w:val="0"/>
                <w:sz w:val="24"/>
                <w:szCs w:val="24"/>
              </w:rPr>
              <w:t xml:space="preserve">规划方案评审通过后支付合同价的70%，余款待项目申报工作结束后一次性支付（无息）。               </w:t>
            </w:r>
            <w:r>
              <w:rPr>
                <w:rFonts w:hint="eastAsia" w:cs="Times New Roman"/>
                <w:color w:val="0000FF"/>
                <w:sz w:val="24"/>
                <w:szCs w:val="24"/>
              </w:rPr>
              <w:t xml:space="preserve">       </w:t>
            </w:r>
            <w:r>
              <w:rPr>
                <w:rFonts w:hint="eastAsia" w:cs="Times New Roman"/>
                <w:sz w:val="24"/>
                <w:szCs w:val="24"/>
              </w:rPr>
              <w:t xml:space="preserve">  </w:t>
            </w:r>
          </w:p>
        </w:tc>
      </w:tr>
      <w:tr w14:paraId="4BABFAA0">
        <w:tblPrEx>
          <w:tblCellMar>
            <w:top w:w="0" w:type="dxa"/>
            <w:left w:w="108" w:type="dxa"/>
            <w:bottom w:w="0" w:type="dxa"/>
            <w:right w:w="108" w:type="dxa"/>
          </w:tblCellMar>
        </w:tblPrEx>
        <w:trPr>
          <w:trHeight w:val="516"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73D6E07A">
            <w:pPr>
              <w:jc w:val="center"/>
              <w:rPr>
                <w:rFonts w:hint="eastAsia" w:ascii="宋体" w:hAnsi="宋体"/>
                <w:kern w:val="0"/>
                <w:sz w:val="24"/>
                <w:szCs w:val="24"/>
              </w:rPr>
            </w:pPr>
            <w:r>
              <w:rPr>
                <w:rFonts w:hint="eastAsia" w:ascii="宋体" w:hAnsi="宋体"/>
                <w:kern w:val="0"/>
                <w:sz w:val="24"/>
                <w:szCs w:val="24"/>
              </w:rPr>
              <w:t>31</w:t>
            </w:r>
          </w:p>
        </w:tc>
        <w:tc>
          <w:tcPr>
            <w:tcW w:w="2380" w:type="dxa"/>
            <w:tcBorders>
              <w:top w:val="single" w:color="auto" w:sz="4" w:space="0"/>
              <w:left w:val="nil"/>
              <w:bottom w:val="single" w:color="auto" w:sz="4" w:space="0"/>
              <w:right w:val="single" w:color="auto" w:sz="4" w:space="0"/>
            </w:tcBorders>
            <w:noWrap w:val="0"/>
            <w:vAlign w:val="center"/>
          </w:tcPr>
          <w:p w14:paraId="3900430A">
            <w:pPr>
              <w:jc w:val="center"/>
              <w:rPr>
                <w:rFonts w:hint="eastAsia" w:ascii="宋体" w:hAnsi="宋体"/>
                <w:kern w:val="0"/>
                <w:sz w:val="24"/>
                <w:szCs w:val="24"/>
              </w:rPr>
            </w:pPr>
            <w:r>
              <w:rPr>
                <w:rFonts w:hint="eastAsia" w:ascii="宋体" w:hAnsi="宋体"/>
                <w:kern w:val="0"/>
                <w:sz w:val="24"/>
                <w:szCs w:val="24"/>
              </w:rPr>
              <w:t>其他要求</w:t>
            </w:r>
          </w:p>
        </w:tc>
        <w:tc>
          <w:tcPr>
            <w:tcW w:w="6625" w:type="dxa"/>
            <w:tcBorders>
              <w:top w:val="single" w:color="auto" w:sz="4" w:space="0"/>
              <w:left w:val="nil"/>
              <w:bottom w:val="single" w:color="auto" w:sz="4" w:space="0"/>
              <w:right w:val="single" w:color="auto" w:sz="4" w:space="0"/>
            </w:tcBorders>
            <w:noWrap w:val="0"/>
            <w:vAlign w:val="center"/>
          </w:tcPr>
          <w:p w14:paraId="284923A9">
            <w:pPr>
              <w:jc w:val="left"/>
              <w:rPr>
                <w:rFonts w:hint="eastAsia" w:ascii="宋体" w:hAnsi="宋体"/>
                <w:kern w:val="0"/>
                <w:sz w:val="24"/>
                <w:szCs w:val="24"/>
              </w:rPr>
            </w:pPr>
            <w:r>
              <w:rPr>
                <w:rFonts w:hint="eastAsia" w:ascii="宋体" w:hAnsi="宋体"/>
                <w:kern w:val="0"/>
                <w:sz w:val="24"/>
                <w:szCs w:val="24"/>
              </w:rPr>
              <w:t>本竞争性磋商文件解释权归采购人所有。</w:t>
            </w:r>
          </w:p>
        </w:tc>
      </w:tr>
      <w:tr w14:paraId="4B9600DF">
        <w:tblPrEx>
          <w:tblCellMar>
            <w:top w:w="0" w:type="dxa"/>
            <w:left w:w="108" w:type="dxa"/>
            <w:bottom w:w="0" w:type="dxa"/>
            <w:right w:w="108" w:type="dxa"/>
          </w:tblCellMar>
        </w:tblPrEx>
        <w:trPr>
          <w:trHeight w:val="616"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CC4ECBC">
            <w:pPr>
              <w:jc w:val="center"/>
              <w:rPr>
                <w:rFonts w:hint="eastAsia" w:ascii="宋体" w:hAnsi="宋体"/>
                <w:kern w:val="0"/>
                <w:sz w:val="24"/>
                <w:szCs w:val="24"/>
              </w:rPr>
            </w:pPr>
            <w:r>
              <w:rPr>
                <w:rFonts w:hint="eastAsia" w:ascii="宋体" w:hAnsi="宋体"/>
                <w:kern w:val="0"/>
                <w:sz w:val="24"/>
                <w:szCs w:val="24"/>
              </w:rPr>
              <w:t>32</w:t>
            </w:r>
          </w:p>
        </w:tc>
        <w:tc>
          <w:tcPr>
            <w:tcW w:w="2380" w:type="dxa"/>
            <w:tcBorders>
              <w:top w:val="single" w:color="auto" w:sz="4" w:space="0"/>
              <w:left w:val="nil"/>
              <w:bottom w:val="single" w:color="auto" w:sz="4" w:space="0"/>
              <w:right w:val="single" w:color="auto" w:sz="4" w:space="0"/>
            </w:tcBorders>
            <w:noWrap w:val="0"/>
            <w:vAlign w:val="center"/>
          </w:tcPr>
          <w:p w14:paraId="50CB3691">
            <w:pPr>
              <w:jc w:val="center"/>
              <w:rPr>
                <w:rFonts w:hint="eastAsia" w:ascii="宋体" w:hAnsi="宋体"/>
                <w:kern w:val="0"/>
                <w:sz w:val="24"/>
                <w:szCs w:val="24"/>
              </w:rPr>
            </w:pPr>
            <w:r>
              <w:rPr>
                <w:rFonts w:hint="eastAsia" w:ascii="宋体" w:hAnsi="宋体"/>
                <w:kern w:val="0"/>
                <w:sz w:val="24"/>
                <w:szCs w:val="24"/>
              </w:rPr>
              <w:t>代理服务费</w:t>
            </w:r>
          </w:p>
        </w:tc>
        <w:tc>
          <w:tcPr>
            <w:tcW w:w="6625" w:type="dxa"/>
            <w:tcBorders>
              <w:top w:val="single" w:color="auto" w:sz="4" w:space="0"/>
              <w:left w:val="nil"/>
              <w:bottom w:val="single" w:color="auto" w:sz="4" w:space="0"/>
              <w:right w:val="single" w:color="auto" w:sz="4" w:space="0"/>
            </w:tcBorders>
            <w:noWrap w:val="0"/>
            <w:vAlign w:val="center"/>
          </w:tcPr>
          <w:p w14:paraId="3D524B1D">
            <w:pPr>
              <w:jc w:val="left"/>
              <w:rPr>
                <w:rFonts w:hint="eastAsia" w:ascii="宋体" w:hAnsi="宋体"/>
                <w:kern w:val="0"/>
                <w:sz w:val="24"/>
                <w:szCs w:val="24"/>
              </w:rPr>
            </w:pPr>
            <w:r>
              <w:rPr>
                <w:rFonts w:hint="eastAsia" w:ascii="宋体" w:hAnsi="宋体"/>
                <w:kern w:val="0"/>
                <w:sz w:val="24"/>
                <w:szCs w:val="24"/>
              </w:rPr>
              <w:t>本项目中标服务费由中标单位在中标通知书时一次性支付。</w:t>
            </w:r>
          </w:p>
          <w:p w14:paraId="058DF039">
            <w:pPr>
              <w:jc w:val="left"/>
              <w:rPr>
                <w:rFonts w:hint="eastAsia" w:ascii="宋体" w:hAnsi="宋体"/>
                <w:kern w:val="0"/>
                <w:sz w:val="24"/>
                <w:szCs w:val="24"/>
              </w:rPr>
            </w:pPr>
            <w:r>
              <w:rPr>
                <w:rFonts w:hint="eastAsia" w:ascii="宋体" w:hAnsi="宋体"/>
                <w:kern w:val="0"/>
                <w:sz w:val="24"/>
                <w:szCs w:val="24"/>
              </w:rPr>
              <w:t>招标代理服务费：按国家计委《招标代理服务收费管理暂行办法》（计价格[2002]1980号）文件收费标准收取，不足叁仟元按叁仟元计取，另专家评审费以实际支付为准（不提供发票）。</w:t>
            </w:r>
          </w:p>
        </w:tc>
      </w:tr>
      <w:tr w14:paraId="3098CAD4">
        <w:tblPrEx>
          <w:tblCellMar>
            <w:top w:w="0" w:type="dxa"/>
            <w:left w:w="108" w:type="dxa"/>
            <w:bottom w:w="0" w:type="dxa"/>
            <w:right w:w="108" w:type="dxa"/>
          </w:tblCellMar>
        </w:tblPrEx>
        <w:trPr>
          <w:trHeight w:val="616" w:hRule="atLeast"/>
          <w:jc w:val="center"/>
        </w:trPr>
        <w:tc>
          <w:tcPr>
            <w:tcW w:w="9933" w:type="dxa"/>
            <w:gridSpan w:val="3"/>
            <w:tcBorders>
              <w:top w:val="single" w:color="auto" w:sz="4" w:space="0"/>
              <w:left w:val="single" w:color="auto" w:sz="4" w:space="0"/>
              <w:bottom w:val="single" w:color="auto" w:sz="4" w:space="0"/>
              <w:right w:val="single" w:color="auto" w:sz="4" w:space="0"/>
            </w:tcBorders>
            <w:noWrap w:val="0"/>
            <w:vAlign w:val="center"/>
          </w:tcPr>
          <w:p w14:paraId="70C0CFAB">
            <w:pPr>
              <w:jc w:val="left"/>
              <w:rPr>
                <w:rFonts w:hint="eastAsia" w:ascii="宋体" w:hAnsi="宋体"/>
                <w:kern w:val="0"/>
                <w:sz w:val="24"/>
                <w:szCs w:val="24"/>
              </w:rPr>
            </w:pPr>
            <w:r>
              <w:rPr>
                <w:rFonts w:hint="eastAsia" w:ascii="宋体" w:hAnsi="宋体"/>
                <w:kern w:val="0"/>
                <w:sz w:val="24"/>
                <w:szCs w:val="24"/>
              </w:rPr>
              <w:t>注：竞争性磋商文件中如有与磋商须知前附表不一致之处，以磋商须知前附表为准。</w:t>
            </w:r>
          </w:p>
        </w:tc>
      </w:tr>
    </w:tbl>
    <w:p w14:paraId="7F02745B">
      <w:pPr>
        <w:pStyle w:val="2"/>
        <w:rPr>
          <w:rFonts w:hint="eastAsia" w:hAnsi="宋体"/>
        </w:rPr>
      </w:pPr>
    </w:p>
    <w:p w14:paraId="4D06FFC4">
      <w:pPr>
        <w:rPr>
          <w:rFonts w:hint="eastAsia" w:ascii="宋体" w:hAnsi="宋体"/>
        </w:rPr>
      </w:pPr>
    </w:p>
    <w:p w14:paraId="74659015">
      <w:pPr>
        <w:pStyle w:val="5"/>
        <w:numPr>
          <w:ilvl w:val="0"/>
          <w:numId w:val="3"/>
        </w:numPr>
        <w:spacing w:line="240" w:lineRule="atLeast"/>
        <w:ind w:firstLine="0"/>
        <w:rPr>
          <w:rFonts w:hint="eastAsia" w:ascii="宋体" w:hAnsi="宋体" w:eastAsia="宋体"/>
          <w:highlight w:val="white"/>
        </w:rPr>
      </w:pPr>
      <w:r>
        <w:rPr>
          <w:rFonts w:hint="eastAsia" w:ascii="宋体" w:hAnsi="宋体" w:eastAsia="宋体"/>
          <w:highlight w:val="white"/>
        </w:rPr>
        <w:t>采购需求</w:t>
      </w:r>
    </w:p>
    <w:p w14:paraId="4021DE53">
      <w:pPr>
        <w:adjustRightInd w:val="0"/>
        <w:snapToGrid w:val="0"/>
        <w:spacing w:line="360" w:lineRule="auto"/>
        <w:ind w:right="-10"/>
        <w:rPr>
          <w:rFonts w:hint="eastAsia" w:ascii="宋体" w:hAnsi="宋体" w:eastAsia="宋体"/>
          <w:sz w:val="24"/>
          <w:szCs w:val="24"/>
          <w:highlight w:val="white"/>
          <w:lang w:eastAsia="zh-CN"/>
        </w:rPr>
      </w:pPr>
      <w:r>
        <w:rPr>
          <w:rFonts w:hint="eastAsia" w:ascii="宋体" w:hAnsi="宋体"/>
          <w:sz w:val="24"/>
          <w:szCs w:val="24"/>
          <w:highlight w:val="white"/>
        </w:rPr>
        <w:t>一、项目名称：淮南农场有限公司林网规划设计</w:t>
      </w:r>
      <w:r>
        <w:rPr>
          <w:rFonts w:hint="eastAsia" w:ascii="宋体" w:hAnsi="宋体"/>
          <w:sz w:val="24"/>
          <w:szCs w:val="24"/>
          <w:highlight w:val="white"/>
          <w:lang w:eastAsia="zh-CN"/>
        </w:rPr>
        <w:t>项目</w:t>
      </w:r>
    </w:p>
    <w:p w14:paraId="74BC83AF">
      <w:pPr>
        <w:adjustRightInd w:val="0"/>
        <w:snapToGrid w:val="0"/>
        <w:spacing w:line="360" w:lineRule="auto"/>
        <w:ind w:right="-10"/>
        <w:rPr>
          <w:rFonts w:hint="eastAsia" w:ascii="宋体" w:hAnsi="宋体"/>
          <w:sz w:val="24"/>
          <w:szCs w:val="24"/>
          <w:highlight w:val="white"/>
        </w:rPr>
      </w:pPr>
      <w:r>
        <w:rPr>
          <w:rFonts w:hint="eastAsia" w:ascii="宋体" w:hAnsi="宋体"/>
          <w:sz w:val="24"/>
          <w:szCs w:val="24"/>
          <w:highlight w:val="white"/>
        </w:rPr>
        <w:t>二、服务内容：淮南农场范围内的林网规划设计编制工作，包含方案评审报批、设计概算编制、可研编制、环评配合、造价咨询配合等设计内容。</w:t>
      </w:r>
    </w:p>
    <w:p w14:paraId="344F179E">
      <w:pPr>
        <w:adjustRightInd w:val="0"/>
        <w:snapToGrid w:val="0"/>
        <w:spacing w:line="360" w:lineRule="auto"/>
        <w:ind w:right="-10"/>
        <w:rPr>
          <w:rFonts w:hint="eastAsia" w:ascii="宋体" w:hAnsi="宋体"/>
          <w:sz w:val="24"/>
          <w:szCs w:val="24"/>
          <w:highlight w:val="white"/>
        </w:rPr>
      </w:pPr>
      <w:r>
        <w:rPr>
          <w:rFonts w:hint="eastAsia" w:ascii="宋体" w:hAnsi="宋体"/>
          <w:sz w:val="24"/>
          <w:szCs w:val="24"/>
          <w:highlight w:val="white"/>
        </w:rPr>
        <w:t>三、服务期：20日历天。因中标人原因造成工期延误，每拖延一天支付1000元/天违约金，因甲方原因所造成的设计工期延误，工期予以顺延，但延期造成的损失甲方不予承担。</w:t>
      </w:r>
    </w:p>
    <w:p w14:paraId="6E5C7FD5">
      <w:pPr>
        <w:adjustRightInd w:val="0"/>
        <w:snapToGrid w:val="0"/>
        <w:spacing w:line="360" w:lineRule="auto"/>
        <w:ind w:right="-10"/>
        <w:rPr>
          <w:rFonts w:hint="eastAsia" w:ascii="宋体" w:hAnsi="宋体"/>
          <w:sz w:val="24"/>
          <w:szCs w:val="24"/>
          <w:highlight w:val="white"/>
        </w:rPr>
      </w:pPr>
      <w:r>
        <w:rPr>
          <w:rFonts w:hint="eastAsia" w:ascii="宋体" w:hAnsi="宋体"/>
          <w:sz w:val="24"/>
          <w:szCs w:val="24"/>
          <w:highlight w:val="white"/>
        </w:rPr>
        <w:t>四、其他要求：</w:t>
      </w:r>
    </w:p>
    <w:p w14:paraId="2706F3DA">
      <w:pPr>
        <w:adjustRightInd w:val="0"/>
        <w:snapToGrid w:val="0"/>
        <w:spacing w:line="360" w:lineRule="auto"/>
        <w:ind w:right="-10"/>
        <w:rPr>
          <w:rFonts w:hint="eastAsia" w:ascii="宋体" w:hAnsi="宋体"/>
          <w:b/>
          <w:bCs/>
          <w:sz w:val="32"/>
          <w:szCs w:val="32"/>
          <w:highlight w:val="white"/>
        </w:rPr>
      </w:pPr>
      <w:r>
        <w:rPr>
          <w:rFonts w:hint="eastAsia" w:ascii="宋体" w:hAnsi="宋体"/>
          <w:sz w:val="24"/>
          <w:szCs w:val="24"/>
          <w:highlight w:val="white"/>
        </w:rPr>
        <w:t xml:space="preserve">付款方式：规划方案评审通过后支付合同价的70%，余款待项目申报工作结束后一次性支付（无息）。 </w:t>
      </w:r>
      <w:r>
        <w:rPr>
          <w:rFonts w:hint="eastAsia"/>
          <w:sz w:val="24"/>
          <w:szCs w:val="24"/>
        </w:rPr>
        <w:t xml:space="preserve"> </w:t>
      </w:r>
    </w:p>
    <w:p w14:paraId="43A993F4">
      <w:pPr>
        <w:pStyle w:val="3"/>
        <w:rPr>
          <w:rFonts w:hint="eastAsia" w:ascii="宋体" w:hAnsi="宋体"/>
          <w:b/>
          <w:bCs/>
          <w:sz w:val="32"/>
          <w:szCs w:val="32"/>
          <w:highlight w:val="white"/>
        </w:rPr>
      </w:pPr>
    </w:p>
    <w:p w14:paraId="29D0468D">
      <w:pPr>
        <w:spacing w:line="500" w:lineRule="exact"/>
        <w:ind w:firstLine="2891" w:firstLineChars="900"/>
        <w:rPr>
          <w:rFonts w:hint="eastAsia" w:ascii="宋体" w:hAnsi="宋体"/>
          <w:sz w:val="24"/>
          <w:szCs w:val="24"/>
        </w:rPr>
      </w:pPr>
      <w:r>
        <w:rPr>
          <w:rFonts w:hint="eastAsia" w:ascii="宋体" w:hAnsi="宋体"/>
          <w:b/>
          <w:bCs/>
          <w:sz w:val="32"/>
          <w:szCs w:val="32"/>
          <w:highlight w:val="white"/>
        </w:rPr>
        <w:t>第四章 评标办法</w:t>
      </w:r>
      <w:bookmarkStart w:id="52" w:name="EB85e39523cc2b4b9cbf8d23e78c066b7a"/>
      <w:bookmarkEnd w:id="52"/>
    </w:p>
    <w:p w14:paraId="0DB37020">
      <w:pPr>
        <w:adjustRightInd w:val="0"/>
        <w:snapToGrid w:val="0"/>
        <w:spacing w:line="360" w:lineRule="auto"/>
        <w:ind w:right="-21" w:rightChars="-10"/>
        <w:jc w:val="center"/>
        <w:rPr>
          <w:rFonts w:hint="eastAsia" w:ascii="宋体" w:hAnsi="宋体"/>
          <w:b/>
          <w:bCs/>
          <w:sz w:val="24"/>
          <w:szCs w:val="24"/>
        </w:rPr>
      </w:pPr>
      <w:r>
        <w:rPr>
          <w:rFonts w:hint="eastAsia" w:ascii="宋体" w:hAnsi="宋体"/>
          <w:b/>
          <w:bCs/>
          <w:sz w:val="24"/>
          <w:szCs w:val="24"/>
          <w:highlight w:val="white"/>
        </w:rPr>
        <w:t>一．总  则</w:t>
      </w:r>
    </w:p>
    <w:p w14:paraId="093C3520">
      <w:pPr>
        <w:ind w:firstLine="470" w:firstLineChars="196"/>
        <w:rPr>
          <w:rFonts w:hint="eastAsia" w:ascii="宋体" w:hAnsi="宋体"/>
          <w:sz w:val="24"/>
          <w:szCs w:val="24"/>
          <w:highlight w:val="magenta"/>
        </w:rPr>
      </w:pPr>
      <w:bookmarkStart w:id="53" w:name="EBb8c6178d97f243d29a0aeda120a76b87"/>
      <w:bookmarkEnd w:id="53"/>
    </w:p>
    <w:p w14:paraId="40FA49AA">
      <w:pPr>
        <w:adjustRightInd w:val="0"/>
        <w:snapToGrid w:val="0"/>
        <w:spacing w:line="360" w:lineRule="auto"/>
        <w:ind w:right="-10"/>
        <w:rPr>
          <w:rFonts w:hint="eastAsia" w:ascii="宋体" w:hAnsi="宋体"/>
          <w:sz w:val="24"/>
          <w:szCs w:val="24"/>
        </w:rPr>
      </w:pPr>
      <w:bookmarkStart w:id="54" w:name="_Toc144974566"/>
      <w:bookmarkEnd w:id="54"/>
      <w:bookmarkStart w:id="55" w:name="_Toc152042376"/>
      <w:bookmarkEnd w:id="55"/>
      <w:bookmarkStart w:id="56" w:name="_Toc152045599"/>
      <w:bookmarkEnd w:id="56"/>
      <w:bookmarkStart w:id="57" w:name="_Toc381974398"/>
      <w:bookmarkEnd w:id="57"/>
      <w:bookmarkStart w:id="58" w:name="EB3d4af2d507734cbc8a3de65689bb2fcc"/>
      <w:r>
        <w:rPr>
          <w:rFonts w:hint="eastAsia" w:ascii="宋体" w:hAnsi="宋体"/>
          <w:b/>
          <w:bCs/>
          <w:sz w:val="24"/>
          <w:szCs w:val="24"/>
          <w:highlight w:val="white"/>
        </w:rPr>
        <w:t xml:space="preserve">第一条 </w:t>
      </w:r>
      <w:bookmarkEnd w:id="58"/>
      <w:r>
        <w:rPr>
          <w:rFonts w:hint="eastAsia" w:ascii="宋体" w:hAnsi="宋体"/>
          <w:sz w:val="24"/>
          <w:szCs w:val="24"/>
          <w:highlight w:val="white"/>
        </w:rPr>
        <w:t>为了做好</w:t>
      </w:r>
      <w:bookmarkStart w:id="59" w:name="EBefd672fb60444b7ea5efc17f86dd5f95"/>
      <w:bookmarkEnd w:id="59"/>
      <w:r>
        <w:rPr>
          <w:rFonts w:hint="eastAsia" w:ascii="宋体" w:hAnsi="宋体"/>
          <w:b/>
          <w:sz w:val="24"/>
          <w:szCs w:val="24"/>
          <w:u w:val="single"/>
        </w:rPr>
        <w:t xml:space="preserve">  淮南农场有限公司林网规划设计</w:t>
      </w:r>
      <w:r>
        <w:rPr>
          <w:rFonts w:hint="eastAsia" w:ascii="宋体" w:hAnsi="宋体"/>
          <w:b/>
          <w:sz w:val="24"/>
          <w:szCs w:val="24"/>
          <w:u w:val="single"/>
          <w:lang w:eastAsia="zh-CN"/>
        </w:rPr>
        <w:t>项目</w:t>
      </w:r>
      <w:r>
        <w:rPr>
          <w:rFonts w:hint="eastAsia" w:ascii="宋体" w:hAnsi="宋体"/>
          <w:b/>
          <w:sz w:val="24"/>
          <w:szCs w:val="24"/>
          <w:u w:val="single"/>
        </w:rPr>
        <w:t xml:space="preserve"> </w:t>
      </w:r>
      <w:r>
        <w:rPr>
          <w:rFonts w:hint="eastAsia" w:ascii="宋体" w:hAnsi="宋体"/>
          <w:bCs/>
          <w:sz w:val="24"/>
          <w:szCs w:val="24"/>
          <w:u w:val="single"/>
        </w:rPr>
        <w:t xml:space="preserve"> </w:t>
      </w:r>
      <w:r>
        <w:rPr>
          <w:rFonts w:hint="eastAsia" w:ascii="宋体" w:hAnsi="宋体"/>
          <w:sz w:val="24"/>
          <w:szCs w:val="24"/>
          <w:highlight w:val="white"/>
        </w:rPr>
        <w:t>采购评标工作，保证项目评审工作的正常有序进行，维护采购人、磋商供应商的合法权益，依据《中华人民共和国政府采购法》和实施条例及其它相关法律法规，本着公开、公平、公正的原则，制定评标办法。</w:t>
      </w:r>
    </w:p>
    <w:p w14:paraId="3216B65D">
      <w:pPr>
        <w:adjustRightInd w:val="0"/>
        <w:snapToGrid w:val="0"/>
        <w:spacing w:line="360" w:lineRule="auto"/>
        <w:ind w:right="-10"/>
        <w:rPr>
          <w:rFonts w:hint="eastAsia" w:ascii="宋体" w:hAnsi="宋体"/>
          <w:sz w:val="24"/>
          <w:szCs w:val="24"/>
        </w:rPr>
      </w:pPr>
      <w:r>
        <w:rPr>
          <w:rFonts w:hint="eastAsia" w:ascii="宋体" w:hAnsi="宋体"/>
          <w:b/>
          <w:bCs/>
          <w:sz w:val="24"/>
          <w:szCs w:val="24"/>
          <w:highlight w:val="white"/>
        </w:rPr>
        <w:t xml:space="preserve">第二条 </w:t>
      </w:r>
      <w:r>
        <w:rPr>
          <w:rFonts w:hint="eastAsia" w:ascii="宋体" w:hAnsi="宋体"/>
          <w:sz w:val="24"/>
          <w:szCs w:val="24"/>
          <w:highlight w:val="white"/>
        </w:rPr>
        <w:t>本次项目评标采用</w:t>
      </w:r>
      <w:r>
        <w:rPr>
          <w:rFonts w:hint="eastAsia" w:ascii="宋体" w:hAnsi="宋体"/>
          <w:sz w:val="24"/>
          <w:szCs w:val="24"/>
          <w:highlight w:val="white"/>
          <w:u w:val="single"/>
        </w:rPr>
        <w:t>综合评分法</w:t>
      </w:r>
      <w:r>
        <w:rPr>
          <w:rFonts w:hint="eastAsia" w:ascii="宋体" w:hAnsi="宋体"/>
          <w:sz w:val="24"/>
          <w:szCs w:val="24"/>
          <w:highlight w:val="white"/>
        </w:rPr>
        <w:t>作为对磋商供应商响应文件的比较方法。</w:t>
      </w:r>
    </w:p>
    <w:p w14:paraId="54F306E7">
      <w:pPr>
        <w:adjustRightInd w:val="0"/>
        <w:snapToGrid w:val="0"/>
        <w:spacing w:line="360" w:lineRule="auto"/>
        <w:rPr>
          <w:rFonts w:hint="eastAsia" w:ascii="宋体" w:hAnsi="宋体"/>
          <w:sz w:val="24"/>
          <w:szCs w:val="24"/>
        </w:rPr>
      </w:pPr>
      <w:r>
        <w:rPr>
          <w:rFonts w:hint="eastAsia" w:ascii="宋体" w:hAnsi="宋体"/>
          <w:b/>
          <w:bCs/>
          <w:sz w:val="24"/>
          <w:szCs w:val="24"/>
          <w:highlight w:val="white"/>
        </w:rPr>
        <w:t xml:space="preserve">第三条 </w:t>
      </w:r>
      <w:r>
        <w:rPr>
          <w:rFonts w:hint="eastAsia" w:ascii="宋体" w:hAnsi="宋体"/>
          <w:sz w:val="24"/>
          <w:szCs w:val="24"/>
          <w:highlight w:val="white"/>
        </w:rPr>
        <w:t>采购人负责抽取组织不少于</w:t>
      </w:r>
      <w:r>
        <w:rPr>
          <w:rFonts w:hint="eastAsia" w:ascii="宋体" w:hAnsi="宋体"/>
          <w:b/>
          <w:bCs/>
          <w:sz w:val="24"/>
          <w:szCs w:val="24"/>
          <w:highlight w:val="white"/>
          <w:u w:val="single"/>
        </w:rPr>
        <w:t>3</w:t>
      </w:r>
      <w:r>
        <w:rPr>
          <w:rFonts w:hint="eastAsia" w:ascii="宋体" w:hAnsi="宋体"/>
          <w:sz w:val="24"/>
          <w:szCs w:val="24"/>
          <w:highlight w:val="white"/>
        </w:rPr>
        <w:t>人</w:t>
      </w:r>
      <w:r>
        <w:rPr>
          <w:rFonts w:hint="eastAsia" w:ascii="宋体" w:hAnsi="宋体"/>
          <w:sz w:val="24"/>
          <w:szCs w:val="24"/>
        </w:rPr>
        <w:t>（含业主评委）</w:t>
      </w:r>
      <w:r>
        <w:rPr>
          <w:rFonts w:hint="eastAsia" w:ascii="宋体" w:hAnsi="宋体"/>
          <w:sz w:val="24"/>
          <w:szCs w:val="24"/>
          <w:highlight w:val="white"/>
        </w:rPr>
        <w:t>组成的评标委员会（以下简称磋商小组），负责本项目的评标工作。</w:t>
      </w:r>
    </w:p>
    <w:p w14:paraId="74D8D95F">
      <w:pPr>
        <w:adjustRightInd w:val="0"/>
        <w:snapToGrid w:val="0"/>
        <w:spacing w:line="360" w:lineRule="auto"/>
        <w:ind w:right="-10"/>
        <w:rPr>
          <w:rFonts w:hint="eastAsia" w:ascii="宋体" w:hAnsi="宋体"/>
          <w:sz w:val="24"/>
          <w:szCs w:val="24"/>
          <w:highlight w:val="white"/>
        </w:rPr>
      </w:pPr>
      <w:r>
        <w:rPr>
          <w:rFonts w:hint="eastAsia" w:ascii="宋体" w:hAnsi="宋体"/>
          <w:b/>
          <w:bCs/>
          <w:sz w:val="24"/>
          <w:szCs w:val="24"/>
          <w:highlight w:val="white"/>
        </w:rPr>
        <w:t xml:space="preserve">第四条 </w:t>
      </w:r>
      <w:r>
        <w:rPr>
          <w:rFonts w:hint="eastAsia" w:ascii="宋体" w:hAnsi="宋体"/>
          <w:sz w:val="24"/>
          <w:szCs w:val="24"/>
          <w:highlight w:val="white"/>
        </w:rPr>
        <w:t>磋商小组按照“客观公正，实事求是”的原则，评价参加本次采购的磋商供应商所提供的质量、服务、价格及对竞争性磋商文件的符合性及响应性。</w:t>
      </w:r>
    </w:p>
    <w:p w14:paraId="06AA7CBC">
      <w:pPr>
        <w:pStyle w:val="2"/>
        <w:rPr>
          <w:rFonts w:hint="eastAsia" w:hAnsi="宋体" w:cs="宋体"/>
        </w:rPr>
      </w:pPr>
    </w:p>
    <w:p w14:paraId="5AE6DF40">
      <w:pPr>
        <w:adjustRightInd w:val="0"/>
        <w:snapToGrid w:val="0"/>
        <w:spacing w:line="360" w:lineRule="auto"/>
        <w:ind w:right="-10"/>
        <w:jc w:val="center"/>
        <w:rPr>
          <w:rFonts w:hint="eastAsia" w:ascii="宋体" w:hAnsi="宋体"/>
          <w:sz w:val="24"/>
          <w:szCs w:val="24"/>
        </w:rPr>
      </w:pPr>
      <w:r>
        <w:rPr>
          <w:rFonts w:hint="eastAsia" w:ascii="宋体" w:hAnsi="宋体"/>
          <w:b/>
          <w:bCs/>
          <w:sz w:val="24"/>
          <w:szCs w:val="24"/>
          <w:highlight w:val="white"/>
        </w:rPr>
        <w:t>二．   评标程序及评审细则</w:t>
      </w:r>
    </w:p>
    <w:p w14:paraId="0E026234">
      <w:pPr>
        <w:adjustRightInd w:val="0"/>
        <w:snapToGrid w:val="0"/>
        <w:spacing w:line="360" w:lineRule="auto"/>
        <w:ind w:right="-10"/>
        <w:rPr>
          <w:rFonts w:hint="eastAsia" w:ascii="宋体" w:hAnsi="宋体"/>
          <w:sz w:val="24"/>
          <w:szCs w:val="24"/>
        </w:rPr>
      </w:pPr>
      <w:r>
        <w:rPr>
          <w:rFonts w:hint="eastAsia" w:ascii="宋体" w:hAnsi="宋体"/>
          <w:b/>
          <w:bCs/>
          <w:sz w:val="24"/>
          <w:szCs w:val="24"/>
          <w:highlight w:val="white"/>
        </w:rPr>
        <w:t>第五条</w:t>
      </w:r>
      <w:r>
        <w:rPr>
          <w:rFonts w:hint="eastAsia" w:ascii="宋体" w:hAnsi="宋体"/>
          <w:sz w:val="24"/>
          <w:szCs w:val="24"/>
          <w:highlight w:val="white"/>
        </w:rPr>
        <w:t xml:space="preserve"> 评标工作于开标后进行。磋商小组应认真研究竞争性磋商文件，至少应了解和熟悉以下内容：</w:t>
      </w:r>
    </w:p>
    <w:p w14:paraId="487A5CE3">
      <w:pPr>
        <w:spacing w:line="360" w:lineRule="auto"/>
        <w:ind w:right="-10"/>
        <w:rPr>
          <w:rFonts w:hint="eastAsia" w:ascii="宋体" w:hAnsi="宋体"/>
          <w:sz w:val="24"/>
          <w:szCs w:val="24"/>
        </w:rPr>
      </w:pPr>
      <w:r>
        <w:rPr>
          <w:rFonts w:hint="eastAsia" w:ascii="宋体" w:hAnsi="宋体"/>
          <w:sz w:val="24"/>
          <w:szCs w:val="24"/>
          <w:highlight w:val="white"/>
        </w:rPr>
        <w:t>（一）采购的目标；</w:t>
      </w:r>
    </w:p>
    <w:p w14:paraId="798B316B">
      <w:pPr>
        <w:spacing w:line="360" w:lineRule="auto"/>
        <w:ind w:right="-10"/>
        <w:rPr>
          <w:rFonts w:hint="eastAsia" w:ascii="宋体" w:hAnsi="宋体"/>
          <w:sz w:val="24"/>
          <w:szCs w:val="24"/>
        </w:rPr>
      </w:pPr>
      <w:r>
        <w:rPr>
          <w:rFonts w:hint="eastAsia" w:ascii="宋体" w:hAnsi="宋体"/>
          <w:sz w:val="24"/>
          <w:szCs w:val="24"/>
          <w:highlight w:val="white"/>
        </w:rPr>
        <w:t>（二）采购项目的范围和性质；</w:t>
      </w:r>
    </w:p>
    <w:p w14:paraId="15E7C8BD">
      <w:pPr>
        <w:spacing w:line="360" w:lineRule="auto"/>
        <w:ind w:right="-10"/>
        <w:rPr>
          <w:rFonts w:hint="eastAsia" w:ascii="宋体" w:hAnsi="宋体"/>
          <w:sz w:val="24"/>
          <w:szCs w:val="24"/>
        </w:rPr>
      </w:pPr>
      <w:r>
        <w:rPr>
          <w:rFonts w:hint="eastAsia" w:ascii="宋体" w:hAnsi="宋体"/>
          <w:sz w:val="24"/>
          <w:szCs w:val="24"/>
          <w:highlight w:val="white"/>
        </w:rPr>
        <w:t>（三）竞争性磋商文件中规定的主要技术要求、标准和商务条款；</w:t>
      </w:r>
    </w:p>
    <w:p w14:paraId="4D51EAF7">
      <w:pPr>
        <w:pStyle w:val="23"/>
        <w:adjustRightInd w:val="0"/>
        <w:snapToGrid w:val="0"/>
        <w:spacing w:line="324" w:lineRule="auto"/>
        <w:outlineLvl w:val="9"/>
        <w:rPr>
          <w:rFonts w:hint="eastAsia" w:ascii="宋体" w:hAnsi="宋体"/>
          <w:sz w:val="24"/>
          <w:szCs w:val="24"/>
        </w:rPr>
      </w:pPr>
      <w:r>
        <w:rPr>
          <w:rFonts w:hint="eastAsia" w:ascii="宋体" w:hAnsi="宋体"/>
          <w:sz w:val="24"/>
          <w:szCs w:val="24"/>
          <w:highlight w:val="white"/>
        </w:rPr>
        <w:t>（四）竞争性磋商文件规定的评标标准、评标方法和在评标过程中考虑的相关因素。</w:t>
      </w:r>
      <w:bookmarkStart w:id="60" w:name="_Toc527039458"/>
    </w:p>
    <w:p w14:paraId="70A47C8D">
      <w:pPr>
        <w:pStyle w:val="23"/>
        <w:adjustRightInd w:val="0"/>
        <w:snapToGrid w:val="0"/>
        <w:spacing w:line="324" w:lineRule="auto"/>
        <w:outlineLvl w:val="9"/>
        <w:rPr>
          <w:rFonts w:hint="eastAsia" w:hAnsi="宋体" w:cs="宋体"/>
          <w:sz w:val="24"/>
          <w:szCs w:val="24"/>
        </w:rPr>
      </w:pPr>
      <w:r>
        <w:rPr>
          <w:rFonts w:hint="eastAsia" w:ascii="宋体" w:hAnsi="宋体"/>
          <w:sz w:val="24"/>
          <w:szCs w:val="24"/>
          <w:highlight w:val="white"/>
        </w:rPr>
        <w:t xml:space="preserve">    </w:t>
      </w:r>
      <w:r>
        <w:rPr>
          <w:rFonts w:hint="eastAsia" w:hAnsi="宋体" w:cs="宋体"/>
          <w:sz w:val="24"/>
          <w:szCs w:val="24"/>
        </w:rPr>
        <w:t>评标委员会依据磋商文件的规定，采购对响应文件的有效性、完整性和对磋商文件的响应程度进行审查，以确定是否对磋商文件的要求做出实质性响应。未对磋商文件做实质性响应的供应商，不得进入具体磋商程序。</w:t>
      </w:r>
      <w:bookmarkEnd w:id="60"/>
    </w:p>
    <w:p w14:paraId="5C4C87EE">
      <w:pPr>
        <w:pStyle w:val="23"/>
        <w:adjustRightInd w:val="0"/>
        <w:snapToGrid w:val="0"/>
        <w:spacing w:line="324" w:lineRule="auto"/>
        <w:ind w:firstLine="720" w:firstLineChars="300"/>
        <w:outlineLvl w:val="9"/>
        <w:rPr>
          <w:rFonts w:hint="eastAsia" w:hAnsi="宋体" w:cs="宋体"/>
          <w:sz w:val="24"/>
          <w:szCs w:val="24"/>
        </w:rPr>
      </w:pPr>
      <w:bookmarkStart w:id="61" w:name="_Toc527039459"/>
      <w:r>
        <w:rPr>
          <w:rFonts w:hint="eastAsia" w:hAnsi="宋体" w:cs="宋体"/>
          <w:sz w:val="24"/>
          <w:szCs w:val="24"/>
        </w:rPr>
        <w:t>磋商开始，与供应商谈各项内容：</w:t>
      </w:r>
      <w:bookmarkEnd w:id="61"/>
    </w:p>
    <w:p w14:paraId="145BC412">
      <w:pPr>
        <w:pStyle w:val="23"/>
        <w:snapToGrid w:val="0"/>
        <w:spacing w:line="324" w:lineRule="auto"/>
        <w:ind w:firstLine="480" w:firstLineChars="200"/>
        <w:outlineLvl w:val="9"/>
        <w:rPr>
          <w:rFonts w:hint="eastAsia" w:hAnsi="宋体" w:cs="宋体"/>
          <w:sz w:val="24"/>
          <w:szCs w:val="24"/>
        </w:rPr>
      </w:pPr>
      <w:bookmarkStart w:id="62" w:name="_Toc527039460"/>
      <w:r>
        <w:rPr>
          <w:rFonts w:hint="eastAsia" w:hAnsi="宋体" w:cs="宋体"/>
          <w:sz w:val="24"/>
          <w:szCs w:val="24"/>
        </w:rPr>
        <w:t>评标委员会所有成员集中与单一供应商按照投标签到先后的磋商次序分别进行磋商。评标委员会可根据供应商的报价，响应内容及磋商的情况，给予每个正在参加磋商的供应商相同的磋商机会。</w:t>
      </w:r>
      <w:bookmarkEnd w:id="62"/>
      <w:bookmarkStart w:id="63" w:name="_Toc527039464"/>
    </w:p>
    <w:p w14:paraId="7CC45DDB">
      <w:pPr>
        <w:pStyle w:val="23"/>
        <w:snapToGrid w:val="0"/>
        <w:spacing w:line="324" w:lineRule="auto"/>
        <w:ind w:firstLine="482" w:firstLineChars="200"/>
        <w:outlineLvl w:val="9"/>
        <w:rPr>
          <w:rFonts w:hint="eastAsia" w:hAnsi="宋体" w:cs="宋体"/>
          <w:b/>
          <w:bCs/>
          <w:sz w:val="24"/>
          <w:szCs w:val="24"/>
          <w:u w:val="single"/>
        </w:rPr>
      </w:pPr>
      <w:r>
        <w:rPr>
          <w:rFonts w:hint="eastAsia" w:hAnsi="宋体" w:cs="宋体"/>
          <w:b/>
          <w:bCs/>
          <w:sz w:val="24"/>
          <w:szCs w:val="24"/>
          <w:u w:val="single"/>
        </w:rPr>
        <w:t>各供应商进行报价：要求参加磋商的供应商在规定时间内提交最后报价，并由全权代表签章。（二次报价或最终报价不得高于首轮报价）。</w:t>
      </w:r>
      <w:bookmarkEnd w:id="63"/>
    </w:p>
    <w:p w14:paraId="7EAA9146">
      <w:pPr>
        <w:spacing w:line="360" w:lineRule="auto"/>
        <w:ind w:right="-10"/>
        <w:rPr>
          <w:rFonts w:hint="eastAsia" w:ascii="宋体" w:hAnsi="宋体"/>
          <w:sz w:val="24"/>
          <w:szCs w:val="24"/>
        </w:rPr>
      </w:pPr>
    </w:p>
    <w:p w14:paraId="4F24BEFB">
      <w:pPr>
        <w:adjustRightInd w:val="0"/>
        <w:snapToGrid w:val="0"/>
        <w:spacing w:line="360" w:lineRule="auto"/>
        <w:ind w:right="-10"/>
        <w:rPr>
          <w:rFonts w:hint="eastAsia" w:ascii="宋体" w:hAnsi="宋体"/>
          <w:sz w:val="24"/>
          <w:szCs w:val="24"/>
        </w:rPr>
      </w:pPr>
      <w:r>
        <w:rPr>
          <w:rFonts w:hint="eastAsia" w:ascii="宋体" w:hAnsi="宋体"/>
          <w:b/>
          <w:bCs/>
          <w:sz w:val="24"/>
          <w:szCs w:val="24"/>
          <w:highlight w:val="white"/>
        </w:rPr>
        <w:t>第六条</w:t>
      </w:r>
      <w:r>
        <w:rPr>
          <w:rFonts w:hint="eastAsia" w:ascii="宋体" w:hAnsi="宋体"/>
          <w:sz w:val="24"/>
          <w:szCs w:val="24"/>
          <w:highlight w:val="white"/>
        </w:rPr>
        <w:t xml:space="preserve"> 有效投标应符合以下原则：</w:t>
      </w:r>
    </w:p>
    <w:p w14:paraId="4FB27F4E">
      <w:pPr>
        <w:spacing w:line="360" w:lineRule="auto"/>
        <w:ind w:right="-10"/>
        <w:rPr>
          <w:rFonts w:hint="eastAsia" w:ascii="宋体" w:hAnsi="宋体"/>
          <w:sz w:val="24"/>
          <w:szCs w:val="24"/>
        </w:rPr>
      </w:pPr>
      <w:r>
        <w:rPr>
          <w:rFonts w:hint="eastAsia" w:ascii="宋体" w:hAnsi="宋体"/>
          <w:sz w:val="24"/>
          <w:szCs w:val="24"/>
          <w:highlight w:val="white"/>
        </w:rPr>
        <w:t>（一）满足竞争性磋商文件的实质性要求；</w:t>
      </w:r>
    </w:p>
    <w:p w14:paraId="7422D70D">
      <w:pPr>
        <w:spacing w:line="360" w:lineRule="auto"/>
        <w:ind w:right="-10"/>
        <w:rPr>
          <w:rFonts w:hint="eastAsia" w:ascii="宋体" w:hAnsi="宋体"/>
          <w:sz w:val="24"/>
          <w:szCs w:val="24"/>
        </w:rPr>
      </w:pPr>
      <w:r>
        <w:rPr>
          <w:rFonts w:hint="eastAsia" w:ascii="宋体" w:hAnsi="宋体"/>
          <w:sz w:val="24"/>
          <w:szCs w:val="24"/>
          <w:highlight w:val="white"/>
        </w:rPr>
        <w:t>（二）无重大偏离、保留或采购人不能接受的附加条件；</w:t>
      </w:r>
    </w:p>
    <w:p w14:paraId="731B34F5">
      <w:pPr>
        <w:spacing w:line="360" w:lineRule="auto"/>
        <w:ind w:right="-10"/>
        <w:rPr>
          <w:rFonts w:hint="eastAsia" w:ascii="宋体" w:hAnsi="宋体"/>
          <w:sz w:val="24"/>
          <w:szCs w:val="24"/>
        </w:rPr>
      </w:pPr>
      <w:r>
        <w:rPr>
          <w:rFonts w:hint="eastAsia" w:ascii="宋体" w:hAnsi="宋体"/>
          <w:sz w:val="24"/>
          <w:szCs w:val="24"/>
          <w:highlight w:val="white"/>
        </w:rPr>
        <w:t>（三）通过投标有效性评审；</w:t>
      </w:r>
    </w:p>
    <w:p w14:paraId="5901F17F">
      <w:pPr>
        <w:adjustRightInd w:val="0"/>
        <w:snapToGrid w:val="0"/>
        <w:spacing w:line="360" w:lineRule="auto"/>
        <w:ind w:right="-10"/>
        <w:rPr>
          <w:rFonts w:hint="eastAsia" w:ascii="宋体" w:hAnsi="宋体"/>
          <w:sz w:val="24"/>
          <w:szCs w:val="24"/>
        </w:rPr>
      </w:pPr>
      <w:r>
        <w:rPr>
          <w:rFonts w:hint="eastAsia" w:ascii="宋体" w:hAnsi="宋体"/>
          <w:sz w:val="24"/>
          <w:szCs w:val="24"/>
          <w:highlight w:val="white"/>
        </w:rPr>
        <w:t>（四）磋商小组依据竞争性磋商文件认定的其他原则。</w:t>
      </w:r>
    </w:p>
    <w:p w14:paraId="1B1FCD74">
      <w:pPr>
        <w:snapToGrid w:val="0"/>
        <w:spacing w:line="324" w:lineRule="auto"/>
        <w:ind w:firstLine="482" w:firstLineChars="200"/>
        <w:rPr>
          <w:rFonts w:hint="eastAsia" w:ascii="宋体" w:hAnsi="宋体"/>
          <w:sz w:val="24"/>
          <w:szCs w:val="24"/>
        </w:rPr>
      </w:pPr>
      <w:r>
        <w:rPr>
          <w:rFonts w:hint="eastAsia" w:ascii="宋体" w:hAnsi="宋体"/>
          <w:b/>
          <w:bCs/>
          <w:sz w:val="24"/>
          <w:szCs w:val="24"/>
          <w:highlight w:val="white"/>
        </w:rPr>
        <w:t xml:space="preserve">第七条 </w:t>
      </w:r>
      <w:r>
        <w:rPr>
          <w:rFonts w:hint="eastAsia" w:ascii="宋体" w:hAnsi="宋体"/>
          <w:sz w:val="24"/>
          <w:szCs w:val="24"/>
          <w:highlight w:val="white"/>
        </w:rPr>
        <w:t>磋商小组对竞争性磋商响应文件独立评审，按照综合评审后得分由高到低的原则确定成交供应商。</w:t>
      </w:r>
    </w:p>
    <w:p w14:paraId="3D3831D8">
      <w:pPr>
        <w:snapToGrid w:val="0"/>
        <w:spacing w:line="324" w:lineRule="auto"/>
        <w:ind w:firstLine="482" w:firstLineChars="200"/>
        <w:rPr>
          <w:rFonts w:hint="eastAsia" w:ascii="宋体" w:hAnsi="宋体"/>
          <w:b/>
          <w:bCs/>
          <w:sz w:val="24"/>
        </w:rPr>
      </w:pPr>
      <w:r>
        <w:rPr>
          <w:rFonts w:hint="eastAsia" w:ascii="宋体" w:hAnsi="宋体"/>
          <w:b/>
          <w:bCs/>
          <w:sz w:val="24"/>
        </w:rPr>
        <w:t>供应商实际得分为技术标评审和商务标评审两项得分之和。 评标委员会通过综合打分，评定出供应商排名顺序（从高分到低分），评标委员会按照供应商排名顺序，推荐排名第 1 名的供应商作为唯一中标候选人</w:t>
      </w:r>
    </w:p>
    <w:p w14:paraId="4141E460">
      <w:pPr>
        <w:adjustRightInd w:val="0"/>
        <w:snapToGrid w:val="0"/>
        <w:spacing w:line="360" w:lineRule="auto"/>
        <w:ind w:right="-10"/>
        <w:rPr>
          <w:rFonts w:hint="eastAsia" w:ascii="宋体" w:hAnsi="宋体"/>
          <w:sz w:val="24"/>
          <w:szCs w:val="24"/>
        </w:rPr>
      </w:pPr>
      <w:r>
        <w:rPr>
          <w:rFonts w:hint="eastAsia" w:ascii="宋体" w:hAnsi="宋体"/>
          <w:b/>
          <w:bCs/>
          <w:sz w:val="24"/>
          <w:szCs w:val="24"/>
          <w:highlight w:val="white"/>
        </w:rPr>
        <w:t xml:space="preserve">第八条 </w:t>
      </w:r>
      <w:r>
        <w:rPr>
          <w:rFonts w:hint="eastAsia" w:ascii="宋体" w:hAnsi="宋体"/>
          <w:sz w:val="24"/>
          <w:szCs w:val="24"/>
          <w:highlight w:val="white"/>
        </w:rPr>
        <w:t>评审中，磋商小组发现磋商供应商的竞争性磋商响应文件中对同类问题表述不一致、前后矛盾、有明显文字和计算错误的内容、有可能不符合竞争性磋商文件规定等情况需要澄清时，磋商小组将以询标的方式告知并要求磋商供应商以书面方式进行必要的澄清、说明或补正。对于询标后判定为不符合竞争性磋商文件的竞争性磋商响应文件，评委要提出充足的否定理由。最终对磋商供应商的评审结论分为通过和未通过。</w:t>
      </w:r>
    </w:p>
    <w:p w14:paraId="542EF666">
      <w:pPr>
        <w:adjustRightInd w:val="0"/>
        <w:snapToGrid w:val="0"/>
        <w:spacing w:line="360" w:lineRule="auto"/>
        <w:ind w:right="-10"/>
        <w:rPr>
          <w:rFonts w:hint="eastAsia" w:ascii="宋体" w:hAnsi="宋体"/>
          <w:b/>
          <w:bCs/>
          <w:sz w:val="24"/>
          <w:szCs w:val="24"/>
          <w:highlight w:val="white"/>
        </w:rPr>
      </w:pPr>
      <w:r>
        <w:rPr>
          <w:rFonts w:hint="eastAsia" w:ascii="宋体" w:hAnsi="宋体"/>
          <w:b/>
          <w:bCs/>
          <w:sz w:val="24"/>
          <w:szCs w:val="24"/>
          <w:highlight w:val="white"/>
        </w:rPr>
        <w:t>第九条</w:t>
      </w:r>
      <w:r>
        <w:rPr>
          <w:rFonts w:hint="eastAsia" w:ascii="宋体" w:hAnsi="宋体"/>
          <w:sz w:val="24"/>
          <w:szCs w:val="24"/>
          <w:highlight w:val="white"/>
        </w:rPr>
        <w:t xml:space="preserve"> 磋商小组按下表内容进行投标有效性评审。</w:t>
      </w:r>
      <w:r>
        <w:rPr>
          <w:rFonts w:hint="eastAsia" w:ascii="宋体" w:hAnsi="宋体"/>
          <w:b/>
          <w:bCs/>
          <w:sz w:val="24"/>
          <w:u w:val="single"/>
        </w:rPr>
        <w:t>根据《财政部关于政府采购竞争性磋商采购方式管理暂行办法有关问题的补充通知》采用竞争性磋商采购方式采购的政府购买服务项目，在采购过程中符合要求的供应商只有2家的，竞争性磋商采购活动可以继续进行。</w:t>
      </w:r>
    </w:p>
    <w:p w14:paraId="6B82EEA1">
      <w:pPr>
        <w:jc w:val="center"/>
        <w:rPr>
          <w:rFonts w:hint="eastAsia" w:ascii="宋体" w:hAnsi="宋体"/>
          <w:b/>
          <w:bCs/>
          <w:sz w:val="24"/>
          <w:szCs w:val="24"/>
          <w:highlight w:val="white"/>
        </w:rPr>
      </w:pPr>
    </w:p>
    <w:p w14:paraId="2B979E25">
      <w:pPr>
        <w:jc w:val="center"/>
      </w:pPr>
      <w:r>
        <w:rPr>
          <w:rFonts w:hint="eastAsia" w:ascii="宋体" w:hAnsi="宋体"/>
          <w:b/>
          <w:bCs/>
          <w:sz w:val="24"/>
          <w:szCs w:val="24"/>
          <w:highlight w:val="white"/>
        </w:rPr>
        <w:t>一、</w:t>
      </w:r>
      <w:r>
        <w:rPr>
          <w:rFonts w:hint="eastAsia"/>
          <w:sz w:val="32"/>
          <w:szCs w:val="32"/>
        </w:rPr>
        <w:t>评标办法前附表</w:t>
      </w:r>
    </w:p>
    <w:p w14:paraId="4834A074">
      <w:pPr>
        <w:spacing w:line="360" w:lineRule="auto"/>
        <w:jc w:val="center"/>
        <w:rPr>
          <w:rFonts w:hint="eastAsia" w:ascii="宋体" w:hAnsi="宋体" w:cs="Times New Roman"/>
          <w:sz w:val="24"/>
          <w:szCs w:val="24"/>
          <w:highlight w:val="white"/>
          <w:lang w:val="zh-CN"/>
        </w:rPr>
      </w:pPr>
      <w:r>
        <w:rPr>
          <w:rFonts w:hint="eastAsia" w:ascii="宋体" w:hAnsi="宋体" w:cs="Times New Roman"/>
          <w:sz w:val="24"/>
          <w:szCs w:val="24"/>
          <w:highlight w:val="white"/>
          <w:lang w:val="zh-CN"/>
        </w:rPr>
        <w:t>初步评审表</w:t>
      </w:r>
    </w:p>
    <w:tbl>
      <w:tblPr>
        <w:tblStyle w:val="19"/>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1345"/>
        <w:gridCol w:w="2831"/>
        <w:gridCol w:w="2414"/>
        <w:gridCol w:w="1445"/>
      </w:tblGrid>
      <w:tr w14:paraId="3843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2" w:type="dxa"/>
            <w:gridSpan w:val="2"/>
            <w:shd w:val="clear" w:color="auto" w:fill="D7D7D7"/>
            <w:noWrap w:val="0"/>
            <w:vAlign w:val="center"/>
          </w:tcPr>
          <w:p w14:paraId="35921804">
            <w:pPr>
              <w:adjustRightInd w:val="0"/>
              <w:snapToGrid w:val="0"/>
              <w:spacing w:line="360" w:lineRule="auto"/>
              <w:ind w:right="-10"/>
              <w:jc w:val="center"/>
              <w:rPr>
                <w:rFonts w:hint="eastAsia" w:ascii="宋体" w:hAnsi="宋体" w:cs="Times New Roman"/>
                <w:kern w:val="0"/>
                <w:sz w:val="24"/>
                <w:szCs w:val="24"/>
                <w:highlight w:val="none"/>
              </w:rPr>
            </w:pPr>
            <w:r>
              <w:rPr>
                <w:rFonts w:hint="eastAsia" w:ascii="宋体" w:hAnsi="宋体" w:cs="Times New Roman"/>
                <w:kern w:val="0"/>
                <w:sz w:val="24"/>
                <w:szCs w:val="24"/>
                <w:highlight w:val="none"/>
              </w:rPr>
              <w:t>条款号</w:t>
            </w:r>
          </w:p>
        </w:tc>
        <w:tc>
          <w:tcPr>
            <w:tcW w:w="1345" w:type="dxa"/>
            <w:shd w:val="clear" w:color="auto" w:fill="D7D7D7"/>
            <w:noWrap w:val="0"/>
            <w:vAlign w:val="center"/>
          </w:tcPr>
          <w:p w14:paraId="0A59B8EC">
            <w:pPr>
              <w:adjustRightInd w:val="0"/>
              <w:snapToGrid w:val="0"/>
              <w:spacing w:line="360" w:lineRule="auto"/>
              <w:ind w:right="-10"/>
              <w:jc w:val="center"/>
              <w:rPr>
                <w:rFonts w:hint="eastAsia" w:ascii="宋体" w:hAnsi="宋体" w:cs="Times New Roman"/>
                <w:kern w:val="0"/>
                <w:sz w:val="24"/>
                <w:szCs w:val="24"/>
                <w:highlight w:val="none"/>
              </w:rPr>
            </w:pPr>
            <w:r>
              <w:rPr>
                <w:rFonts w:hint="eastAsia" w:ascii="宋体" w:hAnsi="宋体" w:cs="Times New Roman"/>
                <w:kern w:val="0"/>
                <w:sz w:val="24"/>
                <w:szCs w:val="24"/>
                <w:highlight w:val="none"/>
              </w:rPr>
              <w:t>评审项</w:t>
            </w:r>
          </w:p>
        </w:tc>
        <w:tc>
          <w:tcPr>
            <w:tcW w:w="2831" w:type="dxa"/>
            <w:shd w:val="clear" w:color="auto" w:fill="D7D7D7"/>
            <w:noWrap w:val="0"/>
            <w:vAlign w:val="center"/>
          </w:tcPr>
          <w:p w14:paraId="06D68D93">
            <w:pPr>
              <w:adjustRightInd w:val="0"/>
              <w:snapToGrid w:val="0"/>
              <w:spacing w:line="360" w:lineRule="auto"/>
              <w:ind w:right="-10"/>
              <w:jc w:val="center"/>
              <w:rPr>
                <w:rFonts w:hint="eastAsia" w:ascii="宋体" w:hAnsi="宋体" w:cs="Times New Roman"/>
                <w:kern w:val="0"/>
                <w:sz w:val="24"/>
                <w:szCs w:val="24"/>
                <w:highlight w:val="none"/>
              </w:rPr>
            </w:pPr>
            <w:r>
              <w:rPr>
                <w:rFonts w:hint="eastAsia" w:ascii="宋体" w:hAnsi="宋体" w:cs="Times New Roman"/>
                <w:kern w:val="0"/>
                <w:sz w:val="24"/>
                <w:szCs w:val="24"/>
                <w:highlight w:val="none"/>
              </w:rPr>
              <w:t>指标要求</w:t>
            </w:r>
          </w:p>
        </w:tc>
        <w:tc>
          <w:tcPr>
            <w:tcW w:w="2414" w:type="dxa"/>
            <w:shd w:val="clear" w:color="auto" w:fill="D7D7D7"/>
            <w:noWrap w:val="0"/>
            <w:vAlign w:val="center"/>
          </w:tcPr>
          <w:p w14:paraId="7D223DF9">
            <w:pPr>
              <w:adjustRightInd w:val="0"/>
              <w:snapToGrid w:val="0"/>
              <w:spacing w:line="360" w:lineRule="auto"/>
              <w:ind w:right="-10"/>
              <w:jc w:val="center"/>
              <w:rPr>
                <w:rFonts w:hint="eastAsia" w:ascii="宋体" w:hAnsi="宋体" w:cs="Times New Roman"/>
                <w:kern w:val="0"/>
                <w:sz w:val="24"/>
                <w:szCs w:val="24"/>
                <w:highlight w:val="none"/>
              </w:rPr>
            </w:pPr>
            <w:r>
              <w:rPr>
                <w:rFonts w:hint="eastAsia" w:ascii="宋体" w:hAnsi="宋体" w:cs="Times New Roman"/>
                <w:kern w:val="0"/>
                <w:sz w:val="24"/>
                <w:szCs w:val="24"/>
                <w:highlight w:val="none"/>
              </w:rPr>
              <w:t>格式或提交资料要求</w:t>
            </w:r>
          </w:p>
        </w:tc>
        <w:tc>
          <w:tcPr>
            <w:tcW w:w="1445" w:type="dxa"/>
            <w:shd w:val="clear" w:color="auto" w:fill="D7D7D7"/>
            <w:noWrap w:val="0"/>
            <w:vAlign w:val="top"/>
          </w:tcPr>
          <w:p w14:paraId="27C721C3">
            <w:pPr>
              <w:adjustRightInd w:val="0"/>
              <w:snapToGrid w:val="0"/>
              <w:spacing w:line="360" w:lineRule="auto"/>
              <w:ind w:right="-10"/>
              <w:jc w:val="center"/>
              <w:rPr>
                <w:rFonts w:hint="eastAsia" w:ascii="宋体" w:hAnsi="宋体" w:cs="Times New Roman"/>
                <w:kern w:val="0"/>
                <w:sz w:val="24"/>
                <w:szCs w:val="24"/>
                <w:highlight w:val="none"/>
              </w:rPr>
            </w:pPr>
            <w:r>
              <w:rPr>
                <w:rFonts w:hint="eastAsia" w:ascii="宋体" w:hAnsi="宋体" w:cs="Times New Roman"/>
                <w:kern w:val="0"/>
                <w:sz w:val="24"/>
                <w:szCs w:val="24"/>
                <w:highlight w:val="none"/>
              </w:rPr>
              <w:t>是否通过</w:t>
            </w:r>
          </w:p>
        </w:tc>
      </w:tr>
      <w:tr w14:paraId="48CF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34" w:type="dxa"/>
            <w:vMerge w:val="restart"/>
            <w:noWrap w:val="0"/>
            <w:vAlign w:val="center"/>
          </w:tcPr>
          <w:p w14:paraId="73606F36">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1</w:t>
            </w:r>
          </w:p>
        </w:tc>
        <w:tc>
          <w:tcPr>
            <w:tcW w:w="708" w:type="dxa"/>
            <w:vMerge w:val="restart"/>
            <w:noWrap w:val="0"/>
            <w:vAlign w:val="center"/>
          </w:tcPr>
          <w:p w14:paraId="4836E153">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形式评审</w:t>
            </w:r>
          </w:p>
        </w:tc>
        <w:tc>
          <w:tcPr>
            <w:tcW w:w="1345" w:type="dxa"/>
            <w:noWrap w:val="0"/>
            <w:vAlign w:val="center"/>
          </w:tcPr>
          <w:p w14:paraId="2D54CDAA">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营业执照</w:t>
            </w:r>
          </w:p>
        </w:tc>
        <w:tc>
          <w:tcPr>
            <w:tcW w:w="2831" w:type="dxa"/>
            <w:noWrap w:val="0"/>
            <w:vAlign w:val="center"/>
          </w:tcPr>
          <w:p w14:paraId="2B1F439C">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合法有效，名称是否与供应商一致</w:t>
            </w:r>
          </w:p>
        </w:tc>
        <w:tc>
          <w:tcPr>
            <w:tcW w:w="2414" w:type="dxa"/>
            <w:noWrap w:val="0"/>
            <w:vAlign w:val="center"/>
          </w:tcPr>
          <w:p w14:paraId="4AED4176">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提供三证合一的营业执照扫描件，或者提供营业执照、税务登记证、组织机构代码证扫描件</w:t>
            </w:r>
          </w:p>
        </w:tc>
        <w:tc>
          <w:tcPr>
            <w:tcW w:w="1445" w:type="dxa"/>
            <w:noWrap w:val="0"/>
            <w:vAlign w:val="top"/>
          </w:tcPr>
          <w:p w14:paraId="7757C678">
            <w:pPr>
              <w:adjustRightInd w:val="0"/>
              <w:snapToGrid w:val="0"/>
              <w:spacing w:line="360" w:lineRule="auto"/>
              <w:ind w:right="-10"/>
              <w:rPr>
                <w:rFonts w:hint="eastAsia" w:ascii="宋体" w:hAnsi="宋体" w:cs="Times New Roman"/>
                <w:kern w:val="0"/>
                <w:sz w:val="24"/>
                <w:szCs w:val="24"/>
                <w:highlight w:val="white"/>
              </w:rPr>
            </w:pPr>
          </w:p>
        </w:tc>
      </w:tr>
      <w:tr w14:paraId="6004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534" w:type="dxa"/>
            <w:vMerge w:val="continue"/>
            <w:noWrap w:val="0"/>
            <w:vAlign w:val="center"/>
          </w:tcPr>
          <w:p w14:paraId="0DE6786C">
            <w:pPr>
              <w:adjustRightInd w:val="0"/>
              <w:snapToGrid w:val="0"/>
              <w:spacing w:line="360" w:lineRule="auto"/>
              <w:ind w:right="-10"/>
              <w:rPr>
                <w:rFonts w:hint="eastAsia" w:ascii="宋体" w:hAnsi="宋体" w:cs="Times New Roman"/>
                <w:kern w:val="0"/>
                <w:sz w:val="24"/>
                <w:szCs w:val="24"/>
                <w:highlight w:val="white"/>
              </w:rPr>
            </w:pPr>
          </w:p>
        </w:tc>
        <w:tc>
          <w:tcPr>
            <w:tcW w:w="708" w:type="dxa"/>
            <w:vMerge w:val="continue"/>
            <w:noWrap w:val="0"/>
            <w:vAlign w:val="center"/>
          </w:tcPr>
          <w:p w14:paraId="08CA75CE">
            <w:pPr>
              <w:adjustRightInd w:val="0"/>
              <w:snapToGrid w:val="0"/>
              <w:spacing w:line="360" w:lineRule="auto"/>
              <w:ind w:right="-10"/>
              <w:rPr>
                <w:rFonts w:hint="eastAsia" w:ascii="宋体" w:hAnsi="宋体" w:cs="Times New Roman"/>
                <w:kern w:val="0"/>
                <w:sz w:val="24"/>
                <w:szCs w:val="24"/>
                <w:highlight w:val="white"/>
              </w:rPr>
            </w:pPr>
          </w:p>
        </w:tc>
        <w:tc>
          <w:tcPr>
            <w:tcW w:w="1345" w:type="dxa"/>
            <w:noWrap w:val="0"/>
            <w:vAlign w:val="center"/>
          </w:tcPr>
          <w:p w14:paraId="0341C856">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投标函</w:t>
            </w:r>
          </w:p>
        </w:tc>
        <w:tc>
          <w:tcPr>
            <w:tcW w:w="2831" w:type="dxa"/>
            <w:noWrap w:val="0"/>
            <w:vAlign w:val="center"/>
          </w:tcPr>
          <w:p w14:paraId="5748BE65">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符合磋商文件要求</w:t>
            </w:r>
          </w:p>
        </w:tc>
        <w:tc>
          <w:tcPr>
            <w:tcW w:w="2414" w:type="dxa"/>
            <w:noWrap w:val="0"/>
            <w:vAlign w:val="center"/>
          </w:tcPr>
          <w:p w14:paraId="18305DD3">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 xml:space="preserve"> </w:t>
            </w:r>
          </w:p>
        </w:tc>
        <w:tc>
          <w:tcPr>
            <w:tcW w:w="1445" w:type="dxa"/>
            <w:noWrap w:val="0"/>
            <w:vAlign w:val="top"/>
          </w:tcPr>
          <w:p w14:paraId="21181B24">
            <w:pPr>
              <w:adjustRightInd w:val="0"/>
              <w:snapToGrid w:val="0"/>
              <w:spacing w:line="360" w:lineRule="auto"/>
              <w:ind w:right="-10"/>
              <w:rPr>
                <w:rFonts w:hint="eastAsia" w:ascii="宋体" w:hAnsi="宋体" w:cs="Times New Roman"/>
                <w:kern w:val="0"/>
                <w:sz w:val="24"/>
                <w:szCs w:val="24"/>
                <w:highlight w:val="white"/>
              </w:rPr>
            </w:pPr>
          </w:p>
        </w:tc>
      </w:tr>
      <w:tr w14:paraId="590E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34" w:type="dxa"/>
            <w:vMerge w:val="restart"/>
            <w:noWrap w:val="0"/>
            <w:vAlign w:val="center"/>
          </w:tcPr>
          <w:p w14:paraId="164189DD">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2</w:t>
            </w:r>
          </w:p>
        </w:tc>
        <w:tc>
          <w:tcPr>
            <w:tcW w:w="708" w:type="dxa"/>
            <w:vMerge w:val="restart"/>
            <w:noWrap w:val="0"/>
            <w:vAlign w:val="center"/>
          </w:tcPr>
          <w:p w14:paraId="3965ADB0">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资格评审</w:t>
            </w:r>
          </w:p>
        </w:tc>
        <w:tc>
          <w:tcPr>
            <w:tcW w:w="1345" w:type="dxa"/>
            <w:noWrap w:val="0"/>
            <w:vAlign w:val="center"/>
          </w:tcPr>
          <w:p w14:paraId="3313DE2F">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资质证书</w:t>
            </w:r>
          </w:p>
        </w:tc>
        <w:tc>
          <w:tcPr>
            <w:tcW w:w="2831" w:type="dxa"/>
            <w:noWrap w:val="0"/>
            <w:vAlign w:val="center"/>
          </w:tcPr>
          <w:p w14:paraId="06F22B2D">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符合磋商文件要求</w:t>
            </w:r>
          </w:p>
        </w:tc>
        <w:tc>
          <w:tcPr>
            <w:tcW w:w="2414" w:type="dxa"/>
            <w:noWrap w:val="0"/>
            <w:vAlign w:val="center"/>
          </w:tcPr>
          <w:p w14:paraId="4DB411FD">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提供资质证书扫描件</w:t>
            </w:r>
          </w:p>
        </w:tc>
        <w:tc>
          <w:tcPr>
            <w:tcW w:w="1445" w:type="dxa"/>
            <w:noWrap w:val="0"/>
            <w:vAlign w:val="top"/>
          </w:tcPr>
          <w:p w14:paraId="4B86AF46">
            <w:pPr>
              <w:adjustRightInd w:val="0"/>
              <w:snapToGrid w:val="0"/>
              <w:spacing w:line="360" w:lineRule="auto"/>
              <w:ind w:right="-10"/>
              <w:rPr>
                <w:rFonts w:hint="eastAsia" w:ascii="宋体" w:hAnsi="宋体" w:cs="Times New Roman"/>
                <w:kern w:val="0"/>
                <w:sz w:val="24"/>
                <w:szCs w:val="24"/>
                <w:highlight w:val="white"/>
              </w:rPr>
            </w:pPr>
          </w:p>
        </w:tc>
      </w:tr>
      <w:tr w14:paraId="1BF5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34" w:type="dxa"/>
            <w:vMerge w:val="continue"/>
            <w:noWrap w:val="0"/>
            <w:vAlign w:val="center"/>
          </w:tcPr>
          <w:p w14:paraId="2CC96A92">
            <w:pPr>
              <w:adjustRightInd w:val="0"/>
              <w:snapToGrid w:val="0"/>
              <w:spacing w:line="360" w:lineRule="auto"/>
              <w:ind w:right="-10"/>
              <w:rPr>
                <w:rFonts w:hint="eastAsia" w:ascii="宋体" w:hAnsi="宋体" w:cs="Times New Roman"/>
                <w:kern w:val="0"/>
                <w:sz w:val="24"/>
                <w:szCs w:val="24"/>
                <w:highlight w:val="white"/>
              </w:rPr>
            </w:pPr>
          </w:p>
        </w:tc>
        <w:tc>
          <w:tcPr>
            <w:tcW w:w="708" w:type="dxa"/>
            <w:vMerge w:val="continue"/>
            <w:noWrap w:val="0"/>
            <w:vAlign w:val="center"/>
          </w:tcPr>
          <w:p w14:paraId="1C42515E">
            <w:pPr>
              <w:adjustRightInd w:val="0"/>
              <w:snapToGrid w:val="0"/>
              <w:spacing w:line="360" w:lineRule="auto"/>
              <w:ind w:right="-10"/>
              <w:rPr>
                <w:rFonts w:hint="eastAsia" w:ascii="宋体" w:hAnsi="宋体" w:cs="Times New Roman"/>
                <w:kern w:val="0"/>
                <w:sz w:val="24"/>
                <w:szCs w:val="24"/>
                <w:highlight w:val="white"/>
              </w:rPr>
            </w:pPr>
          </w:p>
        </w:tc>
        <w:tc>
          <w:tcPr>
            <w:tcW w:w="1345" w:type="dxa"/>
            <w:noWrap w:val="0"/>
            <w:vAlign w:val="center"/>
          </w:tcPr>
          <w:p w14:paraId="3D38AD50">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供应商信誉要求</w:t>
            </w:r>
          </w:p>
        </w:tc>
        <w:tc>
          <w:tcPr>
            <w:tcW w:w="2831" w:type="dxa"/>
            <w:noWrap w:val="0"/>
            <w:vAlign w:val="center"/>
          </w:tcPr>
          <w:p w14:paraId="3708DD83">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符合磋商公告要求</w:t>
            </w:r>
          </w:p>
        </w:tc>
        <w:tc>
          <w:tcPr>
            <w:tcW w:w="2414" w:type="dxa"/>
            <w:noWrap w:val="0"/>
            <w:vAlign w:val="center"/>
          </w:tcPr>
          <w:p w14:paraId="0FA18377">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提供信誉截图或供应商信誉承诺书</w:t>
            </w:r>
          </w:p>
        </w:tc>
        <w:tc>
          <w:tcPr>
            <w:tcW w:w="1445" w:type="dxa"/>
            <w:noWrap w:val="0"/>
            <w:vAlign w:val="top"/>
          </w:tcPr>
          <w:p w14:paraId="0829BC19">
            <w:pPr>
              <w:adjustRightInd w:val="0"/>
              <w:snapToGrid w:val="0"/>
              <w:spacing w:line="360" w:lineRule="auto"/>
              <w:ind w:right="-10"/>
              <w:rPr>
                <w:rFonts w:hint="eastAsia" w:ascii="宋体" w:hAnsi="宋体" w:cs="Times New Roman"/>
                <w:kern w:val="0"/>
                <w:sz w:val="24"/>
                <w:szCs w:val="24"/>
                <w:highlight w:val="white"/>
              </w:rPr>
            </w:pPr>
          </w:p>
        </w:tc>
      </w:tr>
      <w:tr w14:paraId="6D4C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534" w:type="dxa"/>
            <w:vMerge w:val="restart"/>
            <w:noWrap w:val="0"/>
            <w:vAlign w:val="center"/>
          </w:tcPr>
          <w:p w14:paraId="1F49EFE0">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3</w:t>
            </w:r>
          </w:p>
        </w:tc>
        <w:tc>
          <w:tcPr>
            <w:tcW w:w="708" w:type="dxa"/>
            <w:vMerge w:val="restart"/>
            <w:noWrap w:val="0"/>
            <w:vAlign w:val="center"/>
          </w:tcPr>
          <w:p w14:paraId="384F7142">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响应性评审</w:t>
            </w:r>
          </w:p>
        </w:tc>
        <w:tc>
          <w:tcPr>
            <w:tcW w:w="1345" w:type="dxa"/>
            <w:noWrap w:val="0"/>
            <w:vAlign w:val="center"/>
          </w:tcPr>
          <w:p w14:paraId="62F3F327">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投标文件响应情况</w:t>
            </w:r>
          </w:p>
        </w:tc>
        <w:tc>
          <w:tcPr>
            <w:tcW w:w="2831" w:type="dxa"/>
            <w:noWrap w:val="0"/>
            <w:vAlign w:val="center"/>
          </w:tcPr>
          <w:p w14:paraId="48803FAA">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采购需求响应；服务期响应；质保期响应；投标有效期响应；</w:t>
            </w:r>
          </w:p>
        </w:tc>
        <w:tc>
          <w:tcPr>
            <w:tcW w:w="2414" w:type="dxa"/>
            <w:noWrap w:val="0"/>
            <w:vAlign w:val="center"/>
          </w:tcPr>
          <w:p w14:paraId="6D5ADCD2">
            <w:pPr>
              <w:adjustRightInd w:val="0"/>
              <w:snapToGrid w:val="0"/>
              <w:spacing w:line="360" w:lineRule="auto"/>
              <w:ind w:right="-10"/>
              <w:rPr>
                <w:rFonts w:hint="eastAsia" w:ascii="宋体" w:hAnsi="宋体" w:cs="Times New Roman"/>
                <w:kern w:val="0"/>
                <w:sz w:val="24"/>
                <w:szCs w:val="24"/>
                <w:highlight w:val="white"/>
              </w:rPr>
            </w:pPr>
          </w:p>
        </w:tc>
        <w:tc>
          <w:tcPr>
            <w:tcW w:w="1445" w:type="dxa"/>
            <w:noWrap w:val="0"/>
            <w:vAlign w:val="top"/>
          </w:tcPr>
          <w:p w14:paraId="2BECA4CD">
            <w:pPr>
              <w:adjustRightInd w:val="0"/>
              <w:snapToGrid w:val="0"/>
              <w:spacing w:line="360" w:lineRule="auto"/>
              <w:ind w:right="-10"/>
              <w:rPr>
                <w:rFonts w:hint="eastAsia" w:ascii="宋体" w:hAnsi="宋体" w:cs="Times New Roman"/>
                <w:kern w:val="0"/>
                <w:sz w:val="24"/>
                <w:szCs w:val="24"/>
                <w:highlight w:val="white"/>
              </w:rPr>
            </w:pPr>
          </w:p>
        </w:tc>
      </w:tr>
      <w:tr w14:paraId="4A5C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534" w:type="dxa"/>
            <w:vMerge w:val="continue"/>
            <w:noWrap w:val="0"/>
            <w:vAlign w:val="center"/>
          </w:tcPr>
          <w:p w14:paraId="1E79CC44">
            <w:pPr>
              <w:adjustRightInd w:val="0"/>
              <w:snapToGrid w:val="0"/>
              <w:spacing w:line="360" w:lineRule="auto"/>
              <w:ind w:right="-10"/>
              <w:rPr>
                <w:rFonts w:hint="eastAsia" w:ascii="宋体" w:hAnsi="宋体" w:cs="Times New Roman"/>
                <w:kern w:val="0"/>
                <w:sz w:val="24"/>
                <w:szCs w:val="24"/>
                <w:highlight w:val="white"/>
              </w:rPr>
            </w:pPr>
          </w:p>
        </w:tc>
        <w:tc>
          <w:tcPr>
            <w:tcW w:w="708" w:type="dxa"/>
            <w:vMerge w:val="continue"/>
            <w:noWrap w:val="0"/>
            <w:vAlign w:val="center"/>
          </w:tcPr>
          <w:p w14:paraId="6CCCC645">
            <w:pPr>
              <w:adjustRightInd w:val="0"/>
              <w:snapToGrid w:val="0"/>
              <w:spacing w:line="360" w:lineRule="auto"/>
              <w:ind w:right="-10"/>
              <w:rPr>
                <w:rFonts w:hint="eastAsia" w:ascii="宋体" w:hAnsi="宋体" w:cs="Times New Roman"/>
                <w:kern w:val="0"/>
                <w:sz w:val="24"/>
                <w:szCs w:val="24"/>
                <w:highlight w:val="white"/>
              </w:rPr>
            </w:pPr>
          </w:p>
        </w:tc>
        <w:tc>
          <w:tcPr>
            <w:tcW w:w="1345" w:type="dxa"/>
            <w:noWrap w:val="0"/>
            <w:vAlign w:val="center"/>
          </w:tcPr>
          <w:p w14:paraId="0CE958C4">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投标报价</w:t>
            </w:r>
          </w:p>
        </w:tc>
        <w:tc>
          <w:tcPr>
            <w:tcW w:w="2831" w:type="dxa"/>
            <w:noWrap w:val="0"/>
            <w:vAlign w:val="center"/>
          </w:tcPr>
          <w:p w14:paraId="5CE91FD4">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投标报价不超过最高限价，且报价唯一</w:t>
            </w:r>
          </w:p>
        </w:tc>
        <w:tc>
          <w:tcPr>
            <w:tcW w:w="2414" w:type="dxa"/>
            <w:noWrap w:val="0"/>
            <w:vAlign w:val="center"/>
          </w:tcPr>
          <w:p w14:paraId="27D642D6">
            <w:pPr>
              <w:adjustRightInd w:val="0"/>
              <w:snapToGrid w:val="0"/>
              <w:spacing w:line="360" w:lineRule="auto"/>
              <w:ind w:right="-10"/>
              <w:rPr>
                <w:rFonts w:hint="eastAsia" w:ascii="宋体" w:hAnsi="宋体" w:cs="Times New Roman"/>
                <w:kern w:val="0"/>
                <w:sz w:val="24"/>
                <w:szCs w:val="24"/>
                <w:highlight w:val="white"/>
              </w:rPr>
            </w:pPr>
          </w:p>
        </w:tc>
        <w:tc>
          <w:tcPr>
            <w:tcW w:w="1445" w:type="dxa"/>
            <w:noWrap w:val="0"/>
            <w:vAlign w:val="top"/>
          </w:tcPr>
          <w:p w14:paraId="434F399D">
            <w:pPr>
              <w:adjustRightInd w:val="0"/>
              <w:snapToGrid w:val="0"/>
              <w:spacing w:line="360" w:lineRule="auto"/>
              <w:ind w:right="-10"/>
              <w:rPr>
                <w:rFonts w:hint="eastAsia" w:ascii="宋体" w:hAnsi="宋体" w:cs="Times New Roman"/>
                <w:kern w:val="0"/>
                <w:sz w:val="24"/>
                <w:szCs w:val="24"/>
                <w:highlight w:val="white"/>
              </w:rPr>
            </w:pPr>
          </w:p>
        </w:tc>
      </w:tr>
      <w:tr w14:paraId="4672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34" w:type="dxa"/>
            <w:vMerge w:val="continue"/>
            <w:noWrap w:val="0"/>
            <w:vAlign w:val="center"/>
          </w:tcPr>
          <w:p w14:paraId="28032B28">
            <w:pPr>
              <w:adjustRightInd w:val="0"/>
              <w:snapToGrid w:val="0"/>
              <w:spacing w:line="360" w:lineRule="auto"/>
              <w:ind w:right="-10"/>
              <w:rPr>
                <w:rFonts w:hint="eastAsia" w:ascii="宋体" w:hAnsi="宋体" w:cs="Times New Roman"/>
                <w:kern w:val="0"/>
                <w:sz w:val="24"/>
                <w:szCs w:val="24"/>
                <w:highlight w:val="white"/>
              </w:rPr>
            </w:pPr>
          </w:p>
        </w:tc>
        <w:tc>
          <w:tcPr>
            <w:tcW w:w="708" w:type="dxa"/>
            <w:vMerge w:val="continue"/>
            <w:noWrap w:val="0"/>
            <w:vAlign w:val="center"/>
          </w:tcPr>
          <w:p w14:paraId="035F538F">
            <w:pPr>
              <w:adjustRightInd w:val="0"/>
              <w:snapToGrid w:val="0"/>
              <w:spacing w:line="360" w:lineRule="auto"/>
              <w:ind w:right="-10"/>
              <w:rPr>
                <w:rFonts w:hint="eastAsia" w:ascii="宋体" w:hAnsi="宋体" w:cs="Times New Roman"/>
                <w:kern w:val="0"/>
                <w:sz w:val="24"/>
                <w:szCs w:val="24"/>
                <w:highlight w:val="white"/>
              </w:rPr>
            </w:pPr>
          </w:p>
        </w:tc>
        <w:tc>
          <w:tcPr>
            <w:tcW w:w="1345" w:type="dxa"/>
            <w:noWrap w:val="0"/>
            <w:vAlign w:val="center"/>
          </w:tcPr>
          <w:p w14:paraId="1BDF8138">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投标保证金</w:t>
            </w:r>
          </w:p>
        </w:tc>
        <w:tc>
          <w:tcPr>
            <w:tcW w:w="2831" w:type="dxa"/>
            <w:noWrap w:val="0"/>
            <w:vAlign w:val="center"/>
          </w:tcPr>
          <w:p w14:paraId="19252F81">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提供投标保证金承诺函</w:t>
            </w:r>
          </w:p>
        </w:tc>
        <w:tc>
          <w:tcPr>
            <w:tcW w:w="2414" w:type="dxa"/>
            <w:noWrap w:val="0"/>
            <w:vAlign w:val="center"/>
          </w:tcPr>
          <w:p w14:paraId="5215BB27">
            <w:pPr>
              <w:adjustRightInd w:val="0"/>
              <w:snapToGrid w:val="0"/>
              <w:spacing w:line="360" w:lineRule="auto"/>
              <w:ind w:right="-10"/>
              <w:rPr>
                <w:rFonts w:hint="eastAsia" w:ascii="宋体" w:hAnsi="宋体" w:cs="Times New Roman"/>
                <w:kern w:val="0"/>
                <w:sz w:val="24"/>
                <w:szCs w:val="24"/>
                <w:highlight w:val="white"/>
              </w:rPr>
            </w:pPr>
          </w:p>
        </w:tc>
        <w:tc>
          <w:tcPr>
            <w:tcW w:w="1445" w:type="dxa"/>
            <w:noWrap w:val="0"/>
            <w:vAlign w:val="top"/>
          </w:tcPr>
          <w:p w14:paraId="47D3A4AC">
            <w:pPr>
              <w:adjustRightInd w:val="0"/>
              <w:snapToGrid w:val="0"/>
              <w:spacing w:line="360" w:lineRule="auto"/>
              <w:ind w:right="-10"/>
              <w:rPr>
                <w:rFonts w:hint="eastAsia" w:ascii="宋体" w:hAnsi="宋体" w:cs="Times New Roman"/>
                <w:kern w:val="0"/>
                <w:sz w:val="24"/>
                <w:szCs w:val="24"/>
                <w:highlight w:val="white"/>
              </w:rPr>
            </w:pPr>
          </w:p>
        </w:tc>
      </w:tr>
      <w:tr w14:paraId="4BD2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277" w:type="dxa"/>
            <w:gridSpan w:val="6"/>
            <w:noWrap w:val="0"/>
            <w:vAlign w:val="center"/>
          </w:tcPr>
          <w:p w14:paraId="56A54A30">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注：以上资料均须提供扫描件放在投标文件中。</w:t>
            </w:r>
          </w:p>
        </w:tc>
      </w:tr>
      <w:tr w14:paraId="65F9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277" w:type="dxa"/>
            <w:gridSpan w:val="6"/>
            <w:noWrap w:val="0"/>
            <w:vAlign w:val="center"/>
          </w:tcPr>
          <w:p w14:paraId="33F81D8A">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评审指标通过标准：供应商必须通过上述全部指标，有一项未通过将不进入后续评审。</w:t>
            </w:r>
          </w:p>
          <w:p w14:paraId="7C0AFA4F">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注：通过打√，未通过打×。</w:t>
            </w:r>
          </w:p>
        </w:tc>
      </w:tr>
      <w:tr w14:paraId="1F43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277" w:type="dxa"/>
            <w:gridSpan w:val="6"/>
            <w:noWrap w:val="0"/>
            <w:vAlign w:val="center"/>
          </w:tcPr>
          <w:p w14:paraId="413DDD2B">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评委签字：</w:t>
            </w:r>
          </w:p>
        </w:tc>
      </w:tr>
      <w:tr w14:paraId="241D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9277" w:type="dxa"/>
            <w:gridSpan w:val="6"/>
            <w:noWrap w:val="0"/>
            <w:vAlign w:val="center"/>
          </w:tcPr>
          <w:p w14:paraId="2B9CCCEE">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注：1、若供应商提供虚假材料将依据《政府采购法》及其实施条例追究责任。</w:t>
            </w:r>
          </w:p>
          <w:p w14:paraId="0EDFF6A2">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2、扫描件需保证清晰易于辨认，若因为扫描件不清晰影响评标委员会评标的，其后果由供应商自行承担。</w:t>
            </w:r>
          </w:p>
          <w:p w14:paraId="58FE8F95">
            <w:pPr>
              <w:adjustRightInd w:val="0"/>
              <w:snapToGrid w:val="0"/>
              <w:spacing w:line="360" w:lineRule="auto"/>
              <w:ind w:right="-10"/>
              <w:rPr>
                <w:rFonts w:hint="eastAsia" w:ascii="宋体" w:hAnsi="宋体" w:cs="Times New Roman"/>
                <w:kern w:val="0"/>
                <w:sz w:val="24"/>
                <w:szCs w:val="24"/>
                <w:highlight w:val="white"/>
              </w:rPr>
            </w:pPr>
            <w:r>
              <w:rPr>
                <w:rFonts w:hint="eastAsia" w:ascii="宋体" w:hAnsi="宋体" w:cs="Times New Roman"/>
                <w:kern w:val="0"/>
                <w:sz w:val="24"/>
                <w:szCs w:val="24"/>
                <w:highlight w:val="white"/>
              </w:rPr>
              <w:t>3、落实政府采购政策进行价格调整的，调整后的价格只参与评审排名，不作为定标合同价。</w:t>
            </w:r>
          </w:p>
        </w:tc>
      </w:tr>
    </w:tbl>
    <w:p w14:paraId="66CD0D07">
      <w:pPr>
        <w:jc w:val="center"/>
        <w:rPr>
          <w:rFonts w:hint="eastAsia" w:ascii="宋体" w:hAnsi="宋体"/>
          <w:b/>
          <w:bCs/>
          <w:sz w:val="24"/>
          <w:szCs w:val="24"/>
          <w:highlight w:val="white"/>
        </w:rPr>
      </w:pPr>
      <w:r>
        <w:rPr>
          <w:rFonts w:hint="eastAsia" w:ascii="宋体" w:hAnsi="宋体"/>
          <w:b/>
          <w:bCs/>
          <w:sz w:val="24"/>
          <w:szCs w:val="24"/>
          <w:highlight w:val="white"/>
        </w:rPr>
        <w:t>二、详细评审表</w:t>
      </w:r>
    </w:p>
    <w:p w14:paraId="05B97D2C">
      <w:pPr>
        <w:rPr>
          <w:rFonts w:hint="eastAsia" w:ascii="宋体" w:hAnsi="宋体" w:cs="Times New Roman"/>
          <w:kern w:val="0"/>
          <w:sz w:val="24"/>
          <w:szCs w:val="24"/>
          <w:highlight w:val="white"/>
        </w:rPr>
      </w:pPr>
      <w:r>
        <w:rPr>
          <w:rFonts w:hint="eastAsia" w:ascii="宋体" w:hAnsi="宋体" w:cs="Times New Roman"/>
          <w:kern w:val="0"/>
          <w:sz w:val="24"/>
          <w:szCs w:val="24"/>
          <w:highlight w:val="white"/>
        </w:rPr>
        <w:t>初步评审合格的响应文件，磋商小组对其作进一步评审、比较，并量化打分。总分为100分，其中商务标：10分；技术标：90分。技术标分值取磋商小组全部成员的评分平均值作为供应商得分。</w:t>
      </w:r>
    </w:p>
    <w:tbl>
      <w:tblPr>
        <w:tblStyle w:val="1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55"/>
        <w:gridCol w:w="825"/>
        <w:gridCol w:w="5970"/>
      </w:tblGrid>
      <w:tr w14:paraId="43B9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2C1C98FD">
            <w:pPr>
              <w:spacing w:line="360" w:lineRule="auto"/>
              <w:jc w:val="center"/>
              <w:rPr>
                <w:rFonts w:hint="eastAsia" w:ascii="宋体" w:hAnsi="宋体" w:cs="Times New Roman"/>
                <w:sz w:val="24"/>
                <w:szCs w:val="24"/>
                <w:highlight w:val="white"/>
              </w:rPr>
            </w:pPr>
            <w:bookmarkStart w:id="64" w:name="_Toc256691313"/>
            <w:bookmarkStart w:id="65" w:name="_Toc256695189"/>
            <w:bookmarkStart w:id="66" w:name="_Hlk511216519"/>
            <w:r>
              <w:rPr>
                <w:rFonts w:hint="eastAsia" w:ascii="宋体" w:hAnsi="宋体" w:cs="Times New Roman"/>
                <w:sz w:val="24"/>
                <w:szCs w:val="24"/>
                <w:highlight w:val="white"/>
              </w:rPr>
              <w:t>一</w:t>
            </w:r>
            <w:bookmarkEnd w:id="64"/>
            <w:bookmarkEnd w:id="65"/>
          </w:p>
        </w:tc>
        <w:tc>
          <w:tcPr>
            <w:tcW w:w="1555" w:type="dxa"/>
            <w:noWrap w:val="0"/>
            <w:vAlign w:val="center"/>
          </w:tcPr>
          <w:p w14:paraId="07535C06">
            <w:pPr>
              <w:spacing w:line="360" w:lineRule="auto"/>
              <w:jc w:val="center"/>
              <w:rPr>
                <w:rFonts w:hint="eastAsia" w:ascii="宋体" w:hAnsi="宋体" w:cs="Times New Roman"/>
                <w:sz w:val="24"/>
                <w:szCs w:val="24"/>
                <w:highlight w:val="white"/>
                <w:lang w:val="zh-CN"/>
              </w:rPr>
            </w:pPr>
            <w:bookmarkStart w:id="67" w:name="_Toc256691314"/>
            <w:bookmarkStart w:id="68" w:name="_Toc256695190"/>
            <w:r>
              <w:rPr>
                <w:rFonts w:hint="eastAsia" w:ascii="宋体" w:hAnsi="宋体" w:cs="Times New Roman"/>
                <w:sz w:val="24"/>
                <w:szCs w:val="24"/>
                <w:highlight w:val="white"/>
                <w:lang w:val="zh-CN"/>
              </w:rPr>
              <w:t>投标报价</w:t>
            </w:r>
            <w:bookmarkEnd w:id="67"/>
            <w:bookmarkEnd w:id="68"/>
          </w:p>
        </w:tc>
        <w:tc>
          <w:tcPr>
            <w:tcW w:w="825" w:type="dxa"/>
            <w:noWrap w:val="0"/>
            <w:vAlign w:val="center"/>
          </w:tcPr>
          <w:p w14:paraId="13B593B9">
            <w:pPr>
              <w:spacing w:line="360" w:lineRule="auto"/>
              <w:jc w:val="center"/>
              <w:rPr>
                <w:rFonts w:hint="eastAsia" w:ascii="宋体" w:hAnsi="宋体" w:cs="Times New Roman"/>
                <w:sz w:val="24"/>
                <w:szCs w:val="24"/>
                <w:highlight w:val="white"/>
              </w:rPr>
            </w:pPr>
            <w:r>
              <w:rPr>
                <w:rFonts w:hint="eastAsia" w:ascii="宋体" w:hAnsi="宋体" w:cs="Times New Roman"/>
                <w:sz w:val="24"/>
                <w:szCs w:val="24"/>
                <w:highlight w:val="white"/>
              </w:rPr>
              <w:t>10</w:t>
            </w:r>
          </w:p>
        </w:tc>
        <w:tc>
          <w:tcPr>
            <w:tcW w:w="5970" w:type="dxa"/>
            <w:noWrap w:val="0"/>
            <w:vAlign w:val="center"/>
          </w:tcPr>
          <w:p w14:paraId="3953B154">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lang w:val="zh-CN"/>
              </w:rPr>
              <w:t>偏差率</w:t>
            </w:r>
            <w:r>
              <w:rPr>
                <w:rFonts w:hint="eastAsia" w:ascii="宋体" w:hAnsi="宋体" w:cs="Times New Roman"/>
                <w:sz w:val="24"/>
                <w:szCs w:val="24"/>
                <w:highlight w:val="white"/>
              </w:rPr>
              <w:t>=</w:t>
            </w:r>
            <w:r>
              <w:rPr>
                <w:rFonts w:hint="eastAsia" w:ascii="宋体" w:hAnsi="宋体" w:cs="Times New Roman"/>
                <w:sz w:val="24"/>
                <w:szCs w:val="24"/>
                <w:highlight w:val="white"/>
                <w:lang w:val="zh-CN"/>
              </w:rPr>
              <w:t>（最高投标限价</w:t>
            </w:r>
            <w:r>
              <w:rPr>
                <w:rFonts w:hint="eastAsia" w:ascii="宋体" w:hAnsi="宋体" w:cs="Times New Roman"/>
                <w:sz w:val="24"/>
                <w:szCs w:val="24"/>
                <w:highlight w:val="white"/>
              </w:rPr>
              <w:t>-</w:t>
            </w:r>
            <w:r>
              <w:rPr>
                <w:rFonts w:hint="eastAsia" w:ascii="宋体" w:hAnsi="宋体" w:cs="Times New Roman"/>
                <w:sz w:val="24"/>
                <w:szCs w:val="24"/>
                <w:highlight w:val="white"/>
                <w:lang w:val="zh-CN"/>
              </w:rPr>
              <w:t>有效投标报价）</w:t>
            </w:r>
            <w:r>
              <w:rPr>
                <w:rFonts w:hint="eastAsia" w:ascii="宋体" w:hAnsi="宋体" w:cs="Times New Roman"/>
                <w:sz w:val="24"/>
                <w:szCs w:val="24"/>
                <w:highlight w:val="white"/>
              </w:rPr>
              <w:t>/</w:t>
            </w:r>
            <w:r>
              <w:rPr>
                <w:rFonts w:hint="eastAsia" w:ascii="宋体" w:hAnsi="宋体" w:cs="Times New Roman"/>
                <w:sz w:val="24"/>
                <w:szCs w:val="24"/>
                <w:highlight w:val="white"/>
                <w:lang w:val="zh-CN"/>
              </w:rPr>
              <w:t>最高投标限价</w:t>
            </w:r>
            <w:r>
              <w:rPr>
                <w:rFonts w:hint="eastAsia" w:ascii="宋体" w:hAnsi="宋体" w:cs="Times New Roman"/>
                <w:sz w:val="24"/>
                <w:szCs w:val="24"/>
                <w:highlight w:val="white"/>
              </w:rPr>
              <w:t>*100%。</w:t>
            </w:r>
          </w:p>
          <w:p w14:paraId="54639234">
            <w:pPr>
              <w:spacing w:line="360" w:lineRule="auto"/>
              <w:rPr>
                <w:rFonts w:hint="eastAsia" w:ascii="宋体" w:hAnsi="宋体" w:cs="Times New Roman"/>
                <w:sz w:val="24"/>
                <w:szCs w:val="24"/>
                <w:highlight w:val="white"/>
                <w:lang w:val="zh-CN"/>
              </w:rPr>
            </w:pPr>
            <w:r>
              <w:rPr>
                <w:rFonts w:hint="eastAsia" w:ascii="宋体" w:hAnsi="宋体" w:cs="Times New Roman"/>
                <w:sz w:val="24"/>
                <w:szCs w:val="24"/>
                <w:highlight w:val="white"/>
              </w:rPr>
              <w:t>根据投标报价与</w:t>
            </w:r>
            <w:r>
              <w:rPr>
                <w:rFonts w:hint="eastAsia" w:ascii="宋体" w:hAnsi="宋体" w:cs="Times New Roman"/>
                <w:sz w:val="24"/>
                <w:szCs w:val="24"/>
                <w:highlight w:val="white"/>
                <w:lang w:val="zh-CN"/>
              </w:rPr>
              <w:t>最高投标限价</w:t>
            </w:r>
            <w:r>
              <w:rPr>
                <w:rFonts w:hint="eastAsia" w:ascii="宋体" w:hAnsi="宋体" w:cs="Times New Roman"/>
                <w:sz w:val="24"/>
                <w:szCs w:val="24"/>
                <w:highlight w:val="white"/>
              </w:rPr>
              <w:t>的偏差值计算得分，投标报价与控制价相比每下浮1%得2分，不足1%的按插入法计算，下浮5%(或以上）得满分10分。</w:t>
            </w:r>
          </w:p>
        </w:tc>
      </w:tr>
      <w:tr w14:paraId="68DE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5" w:type="dxa"/>
            <w:noWrap w:val="0"/>
            <w:vAlign w:val="center"/>
          </w:tcPr>
          <w:p w14:paraId="382D2553">
            <w:pPr>
              <w:jc w:val="center"/>
              <w:rPr>
                <w:rFonts w:hint="eastAsia" w:ascii="宋体" w:hAnsi="宋体" w:cs="Times New Roman"/>
                <w:kern w:val="0"/>
                <w:sz w:val="24"/>
                <w:szCs w:val="24"/>
                <w:highlight w:val="white"/>
              </w:rPr>
            </w:pPr>
            <w:r>
              <w:rPr>
                <w:rFonts w:hint="eastAsia" w:ascii="宋体" w:hAnsi="宋体" w:cs="Times New Roman"/>
                <w:kern w:val="0"/>
                <w:sz w:val="24"/>
                <w:szCs w:val="24"/>
                <w:highlight w:val="white"/>
              </w:rPr>
              <w:t>二</w:t>
            </w:r>
          </w:p>
        </w:tc>
        <w:tc>
          <w:tcPr>
            <w:tcW w:w="1555" w:type="dxa"/>
            <w:noWrap w:val="0"/>
            <w:vAlign w:val="center"/>
          </w:tcPr>
          <w:p w14:paraId="17308F54">
            <w:pPr>
              <w:jc w:val="center"/>
              <w:rPr>
                <w:rFonts w:hint="eastAsia" w:ascii="宋体" w:hAnsi="宋体" w:cs="Times New Roman"/>
                <w:kern w:val="0"/>
                <w:sz w:val="24"/>
                <w:szCs w:val="24"/>
                <w:highlight w:val="white"/>
                <w:lang w:val="zh-CN"/>
              </w:rPr>
            </w:pPr>
            <w:r>
              <w:rPr>
                <w:rFonts w:hint="eastAsia" w:ascii="宋体" w:hAnsi="宋体" w:cs="Times New Roman"/>
                <w:kern w:val="0"/>
                <w:sz w:val="24"/>
                <w:szCs w:val="24"/>
                <w:highlight w:val="white"/>
                <w:lang w:val="zh-CN"/>
              </w:rPr>
              <w:t>技术评审</w:t>
            </w:r>
          </w:p>
        </w:tc>
        <w:tc>
          <w:tcPr>
            <w:tcW w:w="825" w:type="dxa"/>
            <w:noWrap w:val="0"/>
            <w:vAlign w:val="center"/>
          </w:tcPr>
          <w:p w14:paraId="4826A1C9">
            <w:pPr>
              <w:jc w:val="center"/>
              <w:rPr>
                <w:rFonts w:hint="eastAsia" w:ascii="宋体" w:hAnsi="宋体" w:cs="Times New Roman"/>
                <w:kern w:val="0"/>
                <w:sz w:val="24"/>
                <w:szCs w:val="24"/>
                <w:highlight w:val="white"/>
              </w:rPr>
            </w:pPr>
            <w:r>
              <w:rPr>
                <w:rFonts w:hint="eastAsia" w:ascii="宋体" w:hAnsi="宋体" w:cs="Times New Roman"/>
                <w:kern w:val="0"/>
                <w:sz w:val="24"/>
                <w:szCs w:val="24"/>
                <w:highlight w:val="white"/>
              </w:rPr>
              <w:t>90</w:t>
            </w:r>
          </w:p>
        </w:tc>
        <w:tc>
          <w:tcPr>
            <w:tcW w:w="5970" w:type="dxa"/>
            <w:noWrap w:val="0"/>
            <w:vAlign w:val="center"/>
          </w:tcPr>
          <w:p w14:paraId="4B85FABD">
            <w:pPr>
              <w:rPr>
                <w:rFonts w:hint="eastAsia" w:ascii="宋体" w:hAnsi="宋体" w:cs="Times New Roman"/>
                <w:kern w:val="0"/>
                <w:sz w:val="24"/>
                <w:szCs w:val="24"/>
                <w:highlight w:val="white"/>
                <w:lang w:val="zh-CN"/>
              </w:rPr>
            </w:pPr>
          </w:p>
        </w:tc>
      </w:tr>
      <w:tr w14:paraId="00AF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4863BC54">
            <w:pPr>
              <w:spacing w:line="360" w:lineRule="auto"/>
              <w:jc w:val="center"/>
              <w:rPr>
                <w:rFonts w:hint="eastAsia" w:ascii="宋体" w:hAnsi="宋体" w:cs="Times New Roman"/>
                <w:sz w:val="24"/>
                <w:szCs w:val="24"/>
                <w:highlight w:val="white"/>
              </w:rPr>
            </w:pPr>
            <w:bookmarkStart w:id="69" w:name="_Hlk40947597"/>
            <w:r>
              <w:rPr>
                <w:rFonts w:hint="eastAsia" w:ascii="宋体" w:hAnsi="宋体" w:cs="Times New Roman"/>
                <w:sz w:val="24"/>
                <w:szCs w:val="24"/>
                <w:highlight w:val="white"/>
              </w:rPr>
              <w:t>1</w:t>
            </w:r>
          </w:p>
        </w:tc>
        <w:tc>
          <w:tcPr>
            <w:tcW w:w="1555" w:type="dxa"/>
            <w:noWrap w:val="0"/>
            <w:vAlign w:val="center"/>
          </w:tcPr>
          <w:p w14:paraId="454A0989">
            <w:pPr>
              <w:spacing w:line="360" w:lineRule="auto"/>
              <w:jc w:val="center"/>
              <w:rPr>
                <w:rFonts w:hint="eastAsia" w:ascii="宋体" w:hAnsi="宋体" w:cs="Times New Roman"/>
                <w:sz w:val="24"/>
                <w:szCs w:val="24"/>
                <w:highlight w:val="white"/>
                <w:lang w:val="zh-CN"/>
              </w:rPr>
            </w:pPr>
            <w:r>
              <w:rPr>
                <w:rFonts w:hint="eastAsia" w:ascii="宋体" w:hAnsi="宋体" w:cs="Times New Roman"/>
                <w:sz w:val="24"/>
                <w:szCs w:val="24"/>
                <w:highlight w:val="white"/>
                <w:lang w:val="zh-CN"/>
              </w:rPr>
              <w:t>业绩</w:t>
            </w:r>
          </w:p>
        </w:tc>
        <w:tc>
          <w:tcPr>
            <w:tcW w:w="825" w:type="dxa"/>
            <w:noWrap w:val="0"/>
            <w:vAlign w:val="center"/>
          </w:tcPr>
          <w:p w14:paraId="38631FEC">
            <w:pPr>
              <w:spacing w:line="360" w:lineRule="auto"/>
              <w:jc w:val="center"/>
              <w:rPr>
                <w:rFonts w:hint="eastAsia" w:ascii="宋体" w:hAnsi="宋体" w:cs="Times New Roman"/>
                <w:sz w:val="24"/>
                <w:szCs w:val="24"/>
                <w:highlight w:val="white"/>
              </w:rPr>
            </w:pPr>
            <w:r>
              <w:rPr>
                <w:rFonts w:hint="eastAsia" w:ascii="宋体" w:hAnsi="宋体" w:cs="Times New Roman"/>
                <w:sz w:val="24"/>
                <w:szCs w:val="24"/>
                <w:highlight w:val="white"/>
              </w:rPr>
              <w:t>32</w:t>
            </w:r>
          </w:p>
        </w:tc>
        <w:tc>
          <w:tcPr>
            <w:tcW w:w="5970" w:type="dxa"/>
            <w:noWrap w:val="0"/>
            <w:vAlign w:val="center"/>
          </w:tcPr>
          <w:p w14:paraId="7CA02C4F">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投标</w:t>
            </w:r>
            <w:r>
              <w:rPr>
                <w:rFonts w:hint="eastAsia" w:ascii="宋体" w:hAnsi="宋体" w:cs="Times New Roman"/>
                <w:sz w:val="24"/>
                <w:szCs w:val="24"/>
                <w:highlight w:val="white"/>
                <w:lang w:val="zh-CN"/>
              </w:rPr>
              <w:t>供应商每具有一个</w:t>
            </w:r>
            <w:r>
              <w:rPr>
                <w:rFonts w:hint="eastAsia" w:ascii="宋体" w:hAnsi="宋体" w:cs="Times New Roman"/>
                <w:sz w:val="24"/>
                <w:szCs w:val="24"/>
                <w:highlight w:val="white"/>
              </w:rPr>
              <w:t>类似园林景观工程或规划设计工程设计业绩，得8分，满分32分。</w:t>
            </w:r>
          </w:p>
          <w:p w14:paraId="2EACC8CF">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类似业绩：</w:t>
            </w:r>
          </w:p>
          <w:p w14:paraId="022AFC1C">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2017年1月1日以来，单项设计合同金额不低于10万元的园林景观工程或规划设计工程设计业绩。</w:t>
            </w:r>
          </w:p>
          <w:p w14:paraId="31F15203">
            <w:pPr>
              <w:spacing w:line="360" w:lineRule="auto"/>
              <w:rPr>
                <w:rFonts w:hint="eastAsia" w:ascii="宋体" w:hAnsi="宋体" w:cs="Times New Roman"/>
                <w:sz w:val="24"/>
                <w:szCs w:val="24"/>
                <w:highlight w:val="white"/>
                <w:lang w:val="zh-CN"/>
              </w:rPr>
            </w:pPr>
            <w:r>
              <w:rPr>
                <w:rFonts w:hint="eastAsia" w:ascii="宋体" w:hAnsi="宋体" w:cs="Times New Roman"/>
                <w:sz w:val="24"/>
                <w:szCs w:val="24"/>
                <w:highlight w:val="white"/>
              </w:rPr>
              <w:t>业绩证明材料需要提供 合同协议书 扫描件，业绩时间以合同协议书签订时间为准。</w:t>
            </w:r>
          </w:p>
        </w:tc>
      </w:tr>
      <w:tr w14:paraId="2908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705DED0B">
            <w:pPr>
              <w:spacing w:line="360" w:lineRule="auto"/>
              <w:jc w:val="center"/>
              <w:rPr>
                <w:rFonts w:hint="eastAsia" w:ascii="宋体" w:hAnsi="宋体" w:cs="Times New Roman"/>
                <w:sz w:val="24"/>
                <w:szCs w:val="24"/>
                <w:highlight w:val="white"/>
              </w:rPr>
            </w:pPr>
            <w:r>
              <w:rPr>
                <w:rFonts w:hint="eastAsia" w:ascii="宋体" w:hAnsi="宋体" w:cs="Times New Roman"/>
                <w:sz w:val="24"/>
                <w:szCs w:val="24"/>
                <w:highlight w:val="white"/>
              </w:rPr>
              <w:t>2</w:t>
            </w:r>
          </w:p>
        </w:tc>
        <w:tc>
          <w:tcPr>
            <w:tcW w:w="1555" w:type="dxa"/>
            <w:noWrap w:val="0"/>
            <w:vAlign w:val="center"/>
          </w:tcPr>
          <w:p w14:paraId="3BC66D08">
            <w:pPr>
              <w:spacing w:line="360" w:lineRule="auto"/>
              <w:jc w:val="center"/>
              <w:rPr>
                <w:rFonts w:hint="eastAsia" w:ascii="宋体" w:hAnsi="宋体" w:cs="Times New Roman"/>
                <w:sz w:val="24"/>
                <w:szCs w:val="24"/>
                <w:highlight w:val="white"/>
              </w:rPr>
            </w:pPr>
            <w:r>
              <w:rPr>
                <w:rFonts w:hint="eastAsia" w:ascii="宋体" w:hAnsi="宋体" w:cs="Times New Roman"/>
                <w:sz w:val="24"/>
                <w:szCs w:val="24"/>
                <w:highlight w:val="white"/>
              </w:rPr>
              <w:t>企业荣誉</w:t>
            </w:r>
          </w:p>
        </w:tc>
        <w:tc>
          <w:tcPr>
            <w:tcW w:w="825" w:type="dxa"/>
            <w:noWrap w:val="0"/>
            <w:vAlign w:val="center"/>
          </w:tcPr>
          <w:p w14:paraId="1D8A7D9C">
            <w:pPr>
              <w:spacing w:line="360" w:lineRule="auto"/>
              <w:jc w:val="center"/>
              <w:rPr>
                <w:rFonts w:hint="eastAsia" w:ascii="宋体" w:hAnsi="宋体" w:cs="Times New Roman"/>
                <w:sz w:val="24"/>
                <w:szCs w:val="24"/>
                <w:highlight w:val="white"/>
                <w:lang w:val="zh-CN"/>
              </w:rPr>
            </w:pPr>
            <w:r>
              <w:rPr>
                <w:rFonts w:hint="eastAsia" w:ascii="宋体" w:hAnsi="宋体" w:cs="Times New Roman"/>
                <w:sz w:val="24"/>
                <w:szCs w:val="24"/>
                <w:highlight w:val="white"/>
              </w:rPr>
              <w:t>8</w:t>
            </w:r>
          </w:p>
        </w:tc>
        <w:tc>
          <w:tcPr>
            <w:tcW w:w="5970" w:type="dxa"/>
            <w:noWrap w:val="0"/>
            <w:vAlign w:val="center"/>
          </w:tcPr>
          <w:p w14:paraId="193F4789">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1、投标人未被淮南市（含一县六区）公共资源交易监督管理部门记不良行为记录的，或者投标人未被淮南市（含一县六区）公共资源交易监督管理部门记录并披露的不良行为记录，的4分。</w:t>
            </w:r>
          </w:p>
          <w:p w14:paraId="2680E1C7">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 xml:space="preserve">2、投标人信誉良好，获得“A”级及以上信用等级证书的得 4 分。 </w:t>
            </w:r>
          </w:p>
          <w:p w14:paraId="630CE3FD">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 xml:space="preserve">以上需提供证书扫描件证书须在有效期内。 </w:t>
            </w:r>
          </w:p>
        </w:tc>
      </w:tr>
      <w:tr w14:paraId="4FE4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1846D266">
            <w:pPr>
              <w:spacing w:line="360" w:lineRule="auto"/>
              <w:jc w:val="center"/>
              <w:rPr>
                <w:rFonts w:hint="eastAsia" w:ascii="宋体" w:hAnsi="宋体" w:cs="Times New Roman"/>
                <w:sz w:val="24"/>
                <w:szCs w:val="24"/>
                <w:highlight w:val="white"/>
              </w:rPr>
            </w:pPr>
            <w:r>
              <w:rPr>
                <w:rFonts w:hint="eastAsia" w:ascii="宋体" w:hAnsi="宋体" w:cs="Times New Roman"/>
                <w:sz w:val="24"/>
                <w:szCs w:val="24"/>
                <w:highlight w:val="white"/>
              </w:rPr>
              <w:t>3</w:t>
            </w:r>
          </w:p>
        </w:tc>
        <w:tc>
          <w:tcPr>
            <w:tcW w:w="1555" w:type="dxa"/>
            <w:noWrap w:val="0"/>
            <w:vAlign w:val="center"/>
          </w:tcPr>
          <w:p w14:paraId="4CEACC2D">
            <w:pPr>
              <w:spacing w:line="360" w:lineRule="auto"/>
              <w:jc w:val="center"/>
              <w:rPr>
                <w:rFonts w:hint="eastAsia" w:ascii="宋体" w:hAnsi="宋体" w:cs="Times New Roman"/>
                <w:sz w:val="24"/>
                <w:szCs w:val="24"/>
                <w:highlight w:val="white"/>
                <w:lang w:val="zh-CN"/>
              </w:rPr>
            </w:pPr>
            <w:r>
              <w:rPr>
                <w:rFonts w:hint="eastAsia" w:ascii="宋体" w:hAnsi="宋体" w:cs="Times New Roman"/>
                <w:sz w:val="24"/>
                <w:szCs w:val="24"/>
                <w:highlight w:val="white"/>
                <w:lang w:val="zh-CN"/>
              </w:rPr>
              <w:t>人员配置</w:t>
            </w:r>
          </w:p>
        </w:tc>
        <w:tc>
          <w:tcPr>
            <w:tcW w:w="825" w:type="dxa"/>
            <w:noWrap w:val="0"/>
            <w:vAlign w:val="center"/>
          </w:tcPr>
          <w:p w14:paraId="0AAE5A08">
            <w:pPr>
              <w:spacing w:line="360" w:lineRule="auto"/>
              <w:jc w:val="center"/>
              <w:rPr>
                <w:rFonts w:hint="eastAsia" w:ascii="宋体" w:hAnsi="宋体" w:cs="Times New Roman"/>
                <w:sz w:val="24"/>
                <w:szCs w:val="24"/>
                <w:highlight w:val="white"/>
              </w:rPr>
            </w:pPr>
            <w:r>
              <w:rPr>
                <w:rFonts w:hint="eastAsia" w:ascii="宋体" w:hAnsi="宋体" w:cs="Times New Roman"/>
                <w:sz w:val="24"/>
                <w:szCs w:val="24"/>
                <w:highlight w:val="white"/>
              </w:rPr>
              <w:t>14</w:t>
            </w:r>
          </w:p>
        </w:tc>
        <w:tc>
          <w:tcPr>
            <w:tcW w:w="5970" w:type="dxa"/>
            <w:noWrap w:val="0"/>
            <w:vAlign w:val="center"/>
          </w:tcPr>
          <w:p w14:paraId="6579B237">
            <w:pPr>
              <w:spacing w:line="360" w:lineRule="auto"/>
              <w:rPr>
                <w:rFonts w:hint="eastAsia" w:ascii="宋体" w:hAnsi="宋体" w:cs="Times New Roman"/>
                <w:sz w:val="24"/>
                <w:szCs w:val="24"/>
                <w:highlight w:val="white"/>
                <w:lang w:val="zh-CN"/>
              </w:rPr>
            </w:pPr>
            <w:r>
              <w:rPr>
                <w:rFonts w:hint="eastAsia" w:ascii="宋体" w:hAnsi="宋体" w:cs="Times New Roman"/>
                <w:b/>
                <w:sz w:val="24"/>
                <w:szCs w:val="24"/>
                <w:highlight w:val="white"/>
              </w:rPr>
              <w:t>1、</w:t>
            </w:r>
            <w:r>
              <w:rPr>
                <w:rFonts w:hint="eastAsia" w:ascii="宋体" w:hAnsi="宋体" w:cs="Times New Roman"/>
                <w:b/>
                <w:sz w:val="24"/>
                <w:szCs w:val="24"/>
                <w:highlight w:val="white"/>
                <w:lang w:val="zh-CN"/>
              </w:rPr>
              <w:t>项目负责人</w:t>
            </w:r>
            <w:r>
              <w:rPr>
                <w:rFonts w:hint="eastAsia" w:ascii="宋体" w:hAnsi="宋体" w:cs="Times New Roman"/>
                <w:sz w:val="24"/>
                <w:szCs w:val="24"/>
                <w:highlight w:val="white"/>
                <w:lang w:val="zh-CN"/>
              </w:rPr>
              <w:t>：</w:t>
            </w:r>
          </w:p>
          <w:p w14:paraId="378FDEEE">
            <w:pPr>
              <w:spacing w:line="360" w:lineRule="auto"/>
              <w:rPr>
                <w:rFonts w:hint="eastAsia" w:ascii="宋体" w:hAnsi="宋体" w:cs="Times New Roman"/>
                <w:sz w:val="24"/>
                <w:szCs w:val="24"/>
                <w:highlight w:val="white"/>
                <w:lang w:val="zh-CN"/>
              </w:rPr>
            </w:pPr>
            <w:r>
              <w:rPr>
                <w:rFonts w:hint="eastAsia" w:ascii="宋体" w:hAnsi="宋体" w:cs="Times New Roman"/>
                <w:sz w:val="24"/>
                <w:szCs w:val="24"/>
                <w:highlight w:val="white"/>
              </w:rPr>
              <w:t>1.1具有风景园林专业高级工程师（或规划专业注册师）技术职称</w:t>
            </w:r>
            <w:r>
              <w:rPr>
                <w:rFonts w:hint="eastAsia" w:ascii="宋体" w:hAnsi="宋体" w:cs="Times New Roman"/>
                <w:sz w:val="24"/>
                <w:szCs w:val="24"/>
                <w:highlight w:val="white"/>
                <w:lang w:val="zh-CN"/>
              </w:rPr>
              <w:t>证书，得</w:t>
            </w:r>
            <w:r>
              <w:rPr>
                <w:rFonts w:hint="eastAsia" w:ascii="宋体" w:hAnsi="宋体" w:cs="Times New Roman"/>
                <w:sz w:val="24"/>
                <w:szCs w:val="24"/>
                <w:highlight w:val="white"/>
              </w:rPr>
              <w:t>4</w:t>
            </w:r>
            <w:r>
              <w:rPr>
                <w:rFonts w:hint="eastAsia" w:ascii="宋体" w:hAnsi="宋体" w:cs="Times New Roman"/>
                <w:sz w:val="24"/>
                <w:szCs w:val="24"/>
                <w:highlight w:val="white"/>
                <w:lang w:val="zh-CN"/>
              </w:rPr>
              <w:t>分。提供证书扫描件。</w:t>
            </w:r>
          </w:p>
          <w:p w14:paraId="2D2F88CA">
            <w:pPr>
              <w:spacing w:line="360" w:lineRule="auto"/>
              <w:rPr>
                <w:rFonts w:hint="eastAsia" w:ascii="宋体" w:hAnsi="宋体" w:cs="Times New Roman"/>
                <w:sz w:val="24"/>
                <w:szCs w:val="24"/>
                <w:highlight w:val="white"/>
                <w:lang w:val="zh-CN"/>
              </w:rPr>
            </w:pPr>
            <w:r>
              <w:rPr>
                <w:rFonts w:hint="eastAsia" w:ascii="宋体" w:hAnsi="宋体" w:cs="Times New Roman"/>
                <w:sz w:val="24"/>
                <w:szCs w:val="24"/>
                <w:highlight w:val="white"/>
              </w:rPr>
              <w:t>1.2具有规划专业规划注册师技术职称</w:t>
            </w:r>
            <w:r>
              <w:rPr>
                <w:rFonts w:hint="eastAsia" w:ascii="宋体" w:hAnsi="宋体" w:cs="Times New Roman"/>
                <w:sz w:val="24"/>
                <w:szCs w:val="24"/>
                <w:highlight w:val="white"/>
                <w:lang w:val="zh-CN"/>
              </w:rPr>
              <w:t>证书，得</w:t>
            </w:r>
            <w:r>
              <w:rPr>
                <w:rFonts w:hint="eastAsia" w:ascii="宋体" w:hAnsi="宋体" w:cs="Times New Roman"/>
                <w:sz w:val="24"/>
                <w:szCs w:val="24"/>
                <w:highlight w:val="white"/>
              </w:rPr>
              <w:t>4</w:t>
            </w:r>
            <w:r>
              <w:rPr>
                <w:rFonts w:hint="eastAsia" w:ascii="宋体" w:hAnsi="宋体" w:cs="Times New Roman"/>
                <w:sz w:val="24"/>
                <w:szCs w:val="24"/>
                <w:highlight w:val="white"/>
                <w:lang w:val="zh-CN"/>
              </w:rPr>
              <w:t>分。提供证书扫描件。</w:t>
            </w:r>
          </w:p>
          <w:p w14:paraId="6662862F">
            <w:pPr>
              <w:spacing w:line="360" w:lineRule="auto"/>
              <w:rPr>
                <w:rFonts w:hint="eastAsia" w:ascii="宋体" w:hAnsi="宋体" w:cs="Times New Roman"/>
                <w:b/>
                <w:sz w:val="24"/>
                <w:szCs w:val="24"/>
                <w:highlight w:val="white"/>
              </w:rPr>
            </w:pPr>
            <w:r>
              <w:rPr>
                <w:rFonts w:hint="eastAsia" w:ascii="宋体" w:hAnsi="宋体" w:cs="Times New Roman"/>
                <w:b/>
                <w:sz w:val="24"/>
                <w:szCs w:val="24"/>
                <w:highlight w:val="white"/>
              </w:rPr>
              <w:t>2、项目团队：</w:t>
            </w:r>
          </w:p>
          <w:p w14:paraId="4A2B12C9">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lang w:val="zh-CN"/>
              </w:rPr>
              <w:t>项目团队（</w:t>
            </w:r>
            <w:r>
              <w:rPr>
                <w:rFonts w:hint="eastAsia" w:ascii="宋体" w:hAnsi="宋体" w:cs="Times New Roman"/>
                <w:sz w:val="24"/>
                <w:szCs w:val="24"/>
                <w:highlight w:val="white"/>
              </w:rPr>
              <w:t>不含项目负责人</w:t>
            </w:r>
            <w:r>
              <w:rPr>
                <w:rFonts w:hint="eastAsia" w:ascii="宋体" w:hAnsi="宋体" w:cs="Times New Roman"/>
                <w:sz w:val="24"/>
                <w:szCs w:val="24"/>
                <w:highlight w:val="white"/>
                <w:lang w:val="zh-CN"/>
              </w:rPr>
              <w:t>）至少</w:t>
            </w:r>
            <w:r>
              <w:rPr>
                <w:rFonts w:hint="eastAsia" w:ascii="宋体" w:hAnsi="宋体" w:cs="Times New Roman"/>
                <w:sz w:val="24"/>
                <w:szCs w:val="24"/>
                <w:highlight w:val="white"/>
              </w:rPr>
              <w:t>5</w:t>
            </w:r>
            <w:r>
              <w:rPr>
                <w:rFonts w:hint="eastAsia" w:ascii="宋体" w:hAnsi="宋体" w:cs="Times New Roman"/>
                <w:sz w:val="24"/>
                <w:szCs w:val="24"/>
                <w:highlight w:val="white"/>
                <w:lang w:val="zh-CN"/>
              </w:rPr>
              <w:t>人，须配备有园林、结构、给排水、</w:t>
            </w:r>
            <w:r>
              <w:rPr>
                <w:rFonts w:hint="eastAsia" w:ascii="宋体" w:hAnsi="宋体" w:cs="Times New Roman"/>
                <w:sz w:val="24"/>
                <w:szCs w:val="24"/>
                <w:highlight w:val="white"/>
              </w:rPr>
              <w:t>电气</w:t>
            </w:r>
            <w:r>
              <w:rPr>
                <w:rFonts w:hint="eastAsia" w:ascii="宋体" w:hAnsi="宋体" w:cs="Times New Roman"/>
                <w:sz w:val="24"/>
                <w:szCs w:val="24"/>
                <w:highlight w:val="white"/>
                <w:lang w:val="zh-CN"/>
              </w:rPr>
              <w:t>专业技术人员各</w:t>
            </w:r>
            <w:r>
              <w:rPr>
                <w:rFonts w:hint="eastAsia" w:ascii="宋体" w:hAnsi="宋体" w:cs="Times New Roman"/>
                <w:sz w:val="24"/>
                <w:szCs w:val="24"/>
                <w:highlight w:val="white"/>
              </w:rPr>
              <w:t>1</w:t>
            </w:r>
            <w:r>
              <w:rPr>
                <w:rFonts w:hint="eastAsia" w:ascii="宋体" w:hAnsi="宋体" w:cs="Times New Roman"/>
                <w:sz w:val="24"/>
                <w:szCs w:val="24"/>
                <w:highlight w:val="white"/>
                <w:lang w:val="zh-CN"/>
              </w:rPr>
              <w:t>名（须</w:t>
            </w:r>
            <w:r>
              <w:rPr>
                <w:rFonts w:hint="eastAsia" w:ascii="宋体" w:hAnsi="宋体" w:cs="Times New Roman"/>
                <w:sz w:val="24"/>
                <w:szCs w:val="24"/>
                <w:highlight w:val="white"/>
              </w:rPr>
              <w:t>中</w:t>
            </w:r>
            <w:r>
              <w:rPr>
                <w:rFonts w:hint="eastAsia" w:ascii="宋体" w:hAnsi="宋体" w:cs="Times New Roman"/>
                <w:sz w:val="24"/>
                <w:szCs w:val="24"/>
                <w:highlight w:val="white"/>
                <w:lang w:val="zh-CN"/>
              </w:rPr>
              <w:t>级</w:t>
            </w:r>
            <w:r>
              <w:rPr>
                <w:rFonts w:hint="eastAsia" w:ascii="宋体" w:hAnsi="宋体" w:cs="Times New Roman"/>
                <w:sz w:val="24"/>
                <w:szCs w:val="24"/>
                <w:highlight w:val="white"/>
              </w:rPr>
              <w:t>及以上</w:t>
            </w:r>
            <w:r>
              <w:rPr>
                <w:rFonts w:hint="eastAsia" w:ascii="宋体" w:hAnsi="宋体" w:cs="Times New Roman"/>
                <w:sz w:val="24"/>
                <w:szCs w:val="24"/>
                <w:highlight w:val="white"/>
                <w:lang w:val="zh-CN"/>
              </w:rPr>
              <w:t>工程师职称资格），</w:t>
            </w:r>
            <w:r>
              <w:rPr>
                <w:rFonts w:hint="eastAsia" w:ascii="宋体" w:hAnsi="宋体" w:cs="Times New Roman"/>
                <w:sz w:val="24"/>
                <w:szCs w:val="24"/>
                <w:highlight w:val="white"/>
              </w:rPr>
              <w:t>规划注册</w:t>
            </w:r>
            <w:r>
              <w:rPr>
                <w:rFonts w:hint="eastAsia" w:ascii="宋体" w:hAnsi="宋体" w:cs="Times New Roman"/>
                <w:sz w:val="24"/>
                <w:szCs w:val="24"/>
                <w:highlight w:val="white"/>
                <w:lang w:val="zh-CN"/>
              </w:rPr>
              <w:t>师，</w:t>
            </w:r>
            <w:r>
              <w:rPr>
                <w:rFonts w:hint="eastAsia" w:ascii="宋体" w:hAnsi="宋体" w:cs="Times New Roman"/>
                <w:sz w:val="24"/>
                <w:szCs w:val="24"/>
                <w:highlight w:val="white"/>
              </w:rPr>
              <w:t>给排水注册</w:t>
            </w:r>
            <w:r>
              <w:rPr>
                <w:rFonts w:hint="eastAsia" w:ascii="宋体" w:hAnsi="宋体" w:cs="Times New Roman"/>
                <w:sz w:val="24"/>
                <w:szCs w:val="24"/>
                <w:highlight w:val="white"/>
                <w:lang w:val="zh-CN"/>
              </w:rPr>
              <w:t>师、</w:t>
            </w:r>
            <w:r>
              <w:rPr>
                <w:rFonts w:hint="eastAsia" w:ascii="宋体" w:hAnsi="宋体" w:cs="Times New Roman"/>
                <w:sz w:val="24"/>
                <w:szCs w:val="24"/>
                <w:highlight w:val="white"/>
              </w:rPr>
              <w:t>供配电注册师</w:t>
            </w:r>
            <w:r>
              <w:rPr>
                <w:rFonts w:hint="eastAsia" w:ascii="宋体" w:hAnsi="宋体" w:cs="Times New Roman"/>
                <w:sz w:val="24"/>
                <w:szCs w:val="24"/>
                <w:highlight w:val="white"/>
                <w:lang w:val="zh-CN"/>
              </w:rPr>
              <w:t>每提供一个专业得</w:t>
            </w:r>
            <w:r>
              <w:rPr>
                <w:rFonts w:hint="eastAsia" w:ascii="宋体" w:hAnsi="宋体" w:cs="Times New Roman"/>
                <w:sz w:val="24"/>
                <w:szCs w:val="24"/>
                <w:highlight w:val="white"/>
              </w:rPr>
              <w:t>2分，最高得10分。</w:t>
            </w:r>
          </w:p>
          <w:p w14:paraId="7B7E172B">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lang w:val="zh-CN"/>
              </w:rPr>
              <w:t>提供</w:t>
            </w:r>
            <w:r>
              <w:rPr>
                <w:rFonts w:hint="eastAsia" w:ascii="宋体" w:hAnsi="宋体" w:cs="Times New Roman"/>
                <w:sz w:val="24"/>
                <w:szCs w:val="24"/>
                <w:highlight w:val="white"/>
              </w:rPr>
              <w:t>人员配置安排表，并附人员</w:t>
            </w:r>
            <w:r>
              <w:rPr>
                <w:rFonts w:hint="eastAsia" w:ascii="宋体" w:hAnsi="宋体" w:cs="Times New Roman"/>
                <w:sz w:val="24"/>
                <w:szCs w:val="24"/>
                <w:highlight w:val="white"/>
                <w:lang w:val="zh-CN"/>
              </w:rPr>
              <w:t>证书扫描件。</w:t>
            </w:r>
          </w:p>
        </w:tc>
      </w:tr>
      <w:tr w14:paraId="6638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52703A95">
            <w:pPr>
              <w:spacing w:line="360" w:lineRule="auto"/>
              <w:jc w:val="center"/>
              <w:rPr>
                <w:rFonts w:hint="eastAsia" w:ascii="宋体" w:hAnsi="宋体" w:cs="Times New Roman"/>
                <w:sz w:val="24"/>
                <w:szCs w:val="24"/>
                <w:highlight w:val="white"/>
              </w:rPr>
            </w:pPr>
            <w:r>
              <w:rPr>
                <w:rFonts w:hint="eastAsia" w:ascii="宋体" w:hAnsi="宋体" w:cs="Times New Roman"/>
                <w:sz w:val="24"/>
                <w:szCs w:val="24"/>
                <w:highlight w:val="white"/>
              </w:rPr>
              <w:t>4</w:t>
            </w:r>
          </w:p>
        </w:tc>
        <w:tc>
          <w:tcPr>
            <w:tcW w:w="1555" w:type="dxa"/>
            <w:noWrap w:val="0"/>
            <w:vAlign w:val="center"/>
          </w:tcPr>
          <w:p w14:paraId="08D8DE96">
            <w:pPr>
              <w:spacing w:line="360" w:lineRule="auto"/>
              <w:jc w:val="center"/>
              <w:rPr>
                <w:rFonts w:hint="default" w:ascii="宋体" w:hAnsi="宋体" w:eastAsia="宋体" w:cs="Times New Roman"/>
                <w:sz w:val="24"/>
                <w:szCs w:val="24"/>
                <w:highlight w:val="white"/>
                <w:lang w:val="en-US" w:eastAsia="zh-CN"/>
              </w:rPr>
            </w:pPr>
            <w:r>
              <w:rPr>
                <w:rFonts w:hint="eastAsia" w:ascii="宋体" w:hAnsi="宋体" w:cs="Times New Roman"/>
                <w:sz w:val="24"/>
                <w:szCs w:val="24"/>
                <w:highlight w:val="white"/>
              </w:rPr>
              <w:t>设计方案</w:t>
            </w:r>
            <w:r>
              <w:rPr>
                <w:rFonts w:hint="eastAsia" w:ascii="宋体" w:hAnsi="宋体" w:cs="Times New Roman"/>
                <w:sz w:val="24"/>
                <w:szCs w:val="24"/>
                <w:highlight w:val="white"/>
                <w:lang w:val="en-US" w:eastAsia="zh-CN"/>
              </w:rPr>
              <w:t>和设计说明</w:t>
            </w:r>
          </w:p>
        </w:tc>
        <w:tc>
          <w:tcPr>
            <w:tcW w:w="825" w:type="dxa"/>
            <w:noWrap w:val="0"/>
            <w:vAlign w:val="center"/>
          </w:tcPr>
          <w:p w14:paraId="2C170985">
            <w:pPr>
              <w:spacing w:line="360" w:lineRule="auto"/>
              <w:jc w:val="center"/>
              <w:rPr>
                <w:rFonts w:hint="eastAsia" w:ascii="宋体" w:hAnsi="宋体" w:cs="Times New Roman"/>
                <w:sz w:val="24"/>
                <w:szCs w:val="24"/>
                <w:highlight w:val="white"/>
              </w:rPr>
            </w:pPr>
            <w:r>
              <w:rPr>
                <w:rFonts w:hint="eastAsia" w:ascii="宋体" w:hAnsi="宋体" w:cs="Times New Roman"/>
                <w:sz w:val="24"/>
                <w:szCs w:val="24"/>
                <w:highlight w:val="white"/>
              </w:rPr>
              <w:t>36</w:t>
            </w:r>
          </w:p>
        </w:tc>
        <w:tc>
          <w:tcPr>
            <w:tcW w:w="5970" w:type="dxa"/>
            <w:noWrap w:val="0"/>
            <w:vAlign w:val="center"/>
          </w:tcPr>
          <w:p w14:paraId="1F526DF8">
            <w:pPr>
              <w:spacing w:line="360" w:lineRule="auto"/>
              <w:rPr>
                <w:rFonts w:hint="eastAsia" w:ascii="宋体" w:hAnsi="宋体" w:cs="Times New Roman"/>
                <w:b/>
                <w:sz w:val="24"/>
                <w:szCs w:val="24"/>
                <w:highlight w:val="white"/>
                <w:lang w:val="zh-CN"/>
              </w:rPr>
            </w:pPr>
            <w:r>
              <w:rPr>
                <w:rFonts w:hint="eastAsia" w:ascii="宋体" w:hAnsi="宋体" w:cs="Times New Roman"/>
                <w:b/>
                <w:sz w:val="24"/>
                <w:szCs w:val="24"/>
                <w:highlight w:val="white"/>
              </w:rPr>
              <w:t>1、</w:t>
            </w:r>
            <w:r>
              <w:rPr>
                <w:rFonts w:hint="eastAsia" w:ascii="宋体" w:hAnsi="宋体" w:cs="Times New Roman"/>
                <w:b/>
                <w:sz w:val="24"/>
                <w:szCs w:val="24"/>
                <w:highlight w:val="white"/>
                <w:lang w:val="zh-CN"/>
              </w:rPr>
              <w:t>设计</w:t>
            </w:r>
            <w:r>
              <w:rPr>
                <w:rFonts w:hint="eastAsia" w:ascii="宋体" w:hAnsi="宋体" w:cs="Times New Roman"/>
                <w:b/>
                <w:sz w:val="24"/>
                <w:szCs w:val="24"/>
                <w:highlight w:val="white"/>
                <w:lang w:val="en-US" w:eastAsia="zh-CN"/>
              </w:rPr>
              <w:t>思路</w:t>
            </w:r>
            <w:r>
              <w:rPr>
                <w:rFonts w:hint="eastAsia" w:ascii="宋体" w:hAnsi="宋体" w:cs="Times New Roman"/>
                <w:b/>
                <w:sz w:val="24"/>
                <w:szCs w:val="24"/>
                <w:highlight w:val="white"/>
                <w:lang w:val="zh-CN"/>
              </w:rPr>
              <w:t>（0～</w:t>
            </w:r>
            <w:r>
              <w:rPr>
                <w:rFonts w:hint="eastAsia" w:ascii="宋体" w:hAnsi="宋体" w:cs="Times New Roman"/>
                <w:b/>
                <w:sz w:val="24"/>
                <w:szCs w:val="24"/>
                <w:highlight w:val="white"/>
                <w:lang w:val="en-US" w:eastAsia="zh-CN"/>
              </w:rPr>
              <w:t>10</w:t>
            </w:r>
            <w:r>
              <w:rPr>
                <w:rFonts w:hint="eastAsia" w:ascii="宋体" w:hAnsi="宋体" w:cs="Times New Roman"/>
                <w:b/>
                <w:sz w:val="24"/>
                <w:szCs w:val="24"/>
                <w:highlight w:val="white"/>
                <w:lang w:val="zh-CN"/>
              </w:rPr>
              <w:t>分）</w:t>
            </w:r>
          </w:p>
          <w:p w14:paraId="32E60482">
            <w:pPr>
              <w:spacing w:line="360" w:lineRule="auto"/>
              <w:rPr>
                <w:rFonts w:hint="eastAsia" w:ascii="宋体" w:hAnsi="宋体" w:eastAsia="宋体" w:cs="Times New Roman"/>
                <w:sz w:val="24"/>
                <w:szCs w:val="24"/>
                <w:highlight w:val="white"/>
              </w:rPr>
            </w:pPr>
            <w:r>
              <w:rPr>
                <w:rFonts w:hint="eastAsia" w:ascii="宋体" w:hAnsi="宋体" w:eastAsia="宋体" w:cs="Times New Roman"/>
                <w:sz w:val="24"/>
                <w:szCs w:val="24"/>
                <w:highlight w:val="white"/>
                <w:lang w:val="en-US" w:eastAsia="zh-CN"/>
              </w:rPr>
              <w:t>投标人整体</w:t>
            </w:r>
            <w:r>
              <w:rPr>
                <w:rFonts w:hint="eastAsia" w:ascii="宋体" w:hAnsi="宋体" w:cs="Times New Roman"/>
                <w:sz w:val="24"/>
                <w:szCs w:val="24"/>
                <w:highlight w:val="white"/>
              </w:rPr>
              <w:t>规划</w:t>
            </w:r>
            <w:r>
              <w:rPr>
                <w:rFonts w:hint="eastAsia" w:ascii="宋体" w:hAnsi="宋体" w:eastAsia="宋体" w:cs="Times New Roman"/>
                <w:sz w:val="24"/>
                <w:szCs w:val="24"/>
                <w:highlight w:val="white"/>
                <w:lang w:val="en-US" w:eastAsia="zh-CN"/>
              </w:rPr>
              <w:t>设计思路是否清晰。</w:t>
            </w:r>
          </w:p>
          <w:p w14:paraId="0F947968">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根据对投标人提供的</w:t>
            </w:r>
            <w:r>
              <w:rPr>
                <w:rFonts w:hint="eastAsia" w:ascii="宋体" w:hAnsi="宋体" w:eastAsia="宋体" w:cs="Times New Roman"/>
                <w:sz w:val="24"/>
                <w:szCs w:val="24"/>
                <w:highlight w:val="white"/>
                <w:lang w:val="en-US" w:eastAsia="zh-CN"/>
              </w:rPr>
              <w:t>整体</w:t>
            </w:r>
            <w:r>
              <w:rPr>
                <w:rFonts w:hint="eastAsia" w:ascii="宋体" w:hAnsi="宋体" w:cs="Times New Roman"/>
                <w:sz w:val="24"/>
                <w:szCs w:val="24"/>
                <w:highlight w:val="white"/>
              </w:rPr>
              <w:t>规划设计</w:t>
            </w:r>
            <w:r>
              <w:rPr>
                <w:rFonts w:hint="eastAsia" w:ascii="宋体" w:hAnsi="宋体" w:eastAsia="宋体" w:cs="Times New Roman"/>
                <w:sz w:val="24"/>
                <w:szCs w:val="24"/>
                <w:highlight w:val="white"/>
                <w:lang w:val="en-US" w:eastAsia="zh-CN"/>
              </w:rPr>
              <w:t>思路</w:t>
            </w:r>
            <w:r>
              <w:rPr>
                <w:rFonts w:hint="eastAsia" w:ascii="宋体" w:hAnsi="宋体" w:cs="Times New Roman"/>
                <w:sz w:val="24"/>
                <w:szCs w:val="24"/>
                <w:highlight w:val="white"/>
              </w:rPr>
              <w:t xml:space="preserve">综合评比，由评标委员会进行综合评分： </w:t>
            </w:r>
          </w:p>
          <w:p w14:paraId="617FB580">
            <w:pPr>
              <w:spacing w:line="360" w:lineRule="auto"/>
              <w:rPr>
                <w:rFonts w:hint="eastAsia" w:ascii="宋体" w:hAnsi="宋体" w:eastAsia="宋体" w:cs="Times New Roman"/>
                <w:sz w:val="24"/>
                <w:szCs w:val="24"/>
                <w:highlight w:val="white"/>
              </w:rPr>
            </w:pPr>
            <w:r>
              <w:rPr>
                <w:rFonts w:hint="eastAsia" w:ascii="宋体" w:hAnsi="宋体" w:eastAsia="宋体" w:cs="Times New Roman"/>
                <w:sz w:val="24"/>
                <w:szCs w:val="24"/>
                <w:highlight w:val="white"/>
                <w:lang w:val="en-US" w:eastAsia="zh-CN"/>
              </w:rPr>
              <w:t xml:space="preserve">整体思路清晰，得9-10分；较好得7-8分；一般5-6分，没有得0 分。 </w:t>
            </w:r>
          </w:p>
          <w:p w14:paraId="3CFAC58B">
            <w:pPr>
              <w:spacing w:line="360" w:lineRule="auto"/>
              <w:rPr>
                <w:rFonts w:hint="eastAsia" w:ascii="宋体" w:hAnsi="宋体" w:cs="Times New Roman"/>
                <w:b/>
                <w:sz w:val="24"/>
                <w:szCs w:val="24"/>
                <w:highlight w:val="white"/>
                <w:lang w:val="zh-CN"/>
              </w:rPr>
            </w:pPr>
            <w:r>
              <w:rPr>
                <w:rFonts w:hint="eastAsia" w:ascii="宋体" w:hAnsi="宋体" w:cs="Times New Roman"/>
                <w:b/>
                <w:sz w:val="24"/>
                <w:szCs w:val="24"/>
                <w:highlight w:val="white"/>
              </w:rPr>
              <w:t>2、设计方案</w:t>
            </w:r>
            <w:r>
              <w:rPr>
                <w:rFonts w:hint="eastAsia" w:ascii="宋体" w:hAnsi="宋体" w:cs="Times New Roman"/>
                <w:b/>
                <w:sz w:val="24"/>
                <w:szCs w:val="24"/>
                <w:highlight w:val="white"/>
                <w:lang w:val="zh-CN"/>
              </w:rPr>
              <w:t>（0～</w:t>
            </w:r>
            <w:r>
              <w:rPr>
                <w:rFonts w:hint="eastAsia" w:ascii="宋体" w:hAnsi="宋体" w:cs="Times New Roman"/>
                <w:b/>
                <w:sz w:val="24"/>
                <w:szCs w:val="24"/>
                <w:highlight w:val="white"/>
              </w:rPr>
              <w:t>6</w:t>
            </w:r>
            <w:r>
              <w:rPr>
                <w:rFonts w:hint="eastAsia" w:ascii="宋体" w:hAnsi="宋体" w:cs="Times New Roman"/>
                <w:b/>
                <w:sz w:val="24"/>
                <w:szCs w:val="24"/>
                <w:highlight w:val="white"/>
                <w:lang w:val="zh-CN"/>
              </w:rPr>
              <w:t>分）</w:t>
            </w:r>
          </w:p>
          <w:p w14:paraId="7869F02F">
            <w:pPr>
              <w:spacing w:line="360" w:lineRule="auto"/>
              <w:rPr>
                <w:rFonts w:hint="eastAsia" w:ascii="宋体" w:hAnsi="宋体" w:eastAsia="宋体" w:cs="Times New Roman"/>
                <w:sz w:val="24"/>
                <w:szCs w:val="24"/>
                <w:highlight w:val="white"/>
                <w:lang w:val="en-US" w:eastAsia="zh-CN"/>
              </w:rPr>
            </w:pPr>
            <w:r>
              <w:rPr>
                <w:rFonts w:hint="eastAsia" w:ascii="宋体" w:hAnsi="宋体" w:eastAsia="宋体" w:cs="Times New Roman"/>
                <w:sz w:val="24"/>
                <w:szCs w:val="24"/>
                <w:highlight w:val="white"/>
                <w:lang w:val="en-US" w:eastAsia="zh-CN"/>
              </w:rPr>
              <w:t>投标人整体</w:t>
            </w:r>
            <w:r>
              <w:rPr>
                <w:rFonts w:hint="eastAsia" w:ascii="宋体" w:hAnsi="宋体" w:cs="Times New Roman"/>
                <w:sz w:val="24"/>
                <w:szCs w:val="24"/>
                <w:highlight w:val="white"/>
              </w:rPr>
              <w:t>规划</w:t>
            </w:r>
            <w:r>
              <w:rPr>
                <w:rFonts w:hint="eastAsia" w:ascii="宋体" w:hAnsi="宋体" w:eastAsia="宋体" w:cs="Times New Roman"/>
                <w:sz w:val="24"/>
                <w:szCs w:val="24"/>
                <w:highlight w:val="white"/>
                <w:lang w:val="en-US" w:eastAsia="zh-CN"/>
              </w:rPr>
              <w:t>设计方案的阐述是否</w:t>
            </w:r>
            <w:r>
              <w:rPr>
                <w:rFonts w:hint="eastAsia" w:ascii="宋体" w:hAnsi="宋体" w:cs="Times New Roman"/>
                <w:sz w:val="24"/>
                <w:szCs w:val="24"/>
                <w:highlight w:val="white"/>
              </w:rPr>
              <w:t>具体、成熟</w:t>
            </w:r>
            <w:r>
              <w:rPr>
                <w:rFonts w:hint="eastAsia" w:ascii="宋体" w:hAnsi="宋体" w:eastAsia="宋体" w:cs="Times New Roman"/>
                <w:sz w:val="24"/>
                <w:szCs w:val="24"/>
                <w:highlight w:val="white"/>
                <w:lang w:val="en-US" w:eastAsia="zh-CN"/>
              </w:rPr>
              <w:t>。</w:t>
            </w:r>
          </w:p>
          <w:p w14:paraId="271FAA4E">
            <w:pPr>
              <w:pStyle w:val="2"/>
              <w:rPr>
                <w:rFonts w:hint="eastAsia"/>
                <w:lang w:val="en-US" w:eastAsia="zh-CN"/>
              </w:rPr>
            </w:pPr>
            <w:r>
              <w:rPr>
                <w:rFonts w:hint="eastAsia" w:ascii="宋体" w:hAnsi="宋体" w:cs="Times New Roman"/>
                <w:sz w:val="24"/>
                <w:szCs w:val="24"/>
                <w:highlight w:val="white"/>
              </w:rPr>
              <w:t>根据对投标人提供的</w:t>
            </w:r>
            <w:r>
              <w:rPr>
                <w:rFonts w:hint="eastAsia" w:ascii="宋体" w:hAnsi="宋体" w:eastAsia="宋体" w:cs="Times New Roman"/>
                <w:sz w:val="24"/>
                <w:szCs w:val="24"/>
                <w:highlight w:val="white"/>
                <w:lang w:val="en-US" w:eastAsia="zh-CN"/>
              </w:rPr>
              <w:t>整体</w:t>
            </w:r>
            <w:r>
              <w:rPr>
                <w:rFonts w:hint="eastAsia" w:ascii="宋体" w:hAnsi="宋体" w:cs="Times New Roman"/>
                <w:sz w:val="24"/>
                <w:szCs w:val="24"/>
                <w:highlight w:val="white"/>
              </w:rPr>
              <w:t>规划设计</w:t>
            </w:r>
            <w:r>
              <w:rPr>
                <w:rFonts w:hint="eastAsia" w:ascii="宋体" w:hAnsi="宋体" w:eastAsia="宋体" w:cs="Times New Roman"/>
                <w:sz w:val="24"/>
                <w:szCs w:val="24"/>
                <w:highlight w:val="white"/>
                <w:lang w:val="en-US" w:eastAsia="zh-CN"/>
              </w:rPr>
              <w:t>方案</w:t>
            </w:r>
            <w:r>
              <w:rPr>
                <w:rFonts w:hint="eastAsia" w:ascii="宋体" w:hAnsi="宋体" w:cs="Times New Roman"/>
                <w:sz w:val="24"/>
                <w:szCs w:val="24"/>
                <w:highlight w:val="white"/>
              </w:rPr>
              <w:t>综合评比，由评标委员会进行综合评分：</w:t>
            </w:r>
          </w:p>
          <w:p w14:paraId="6F6A8E49">
            <w:pPr>
              <w:spacing w:line="360" w:lineRule="auto"/>
              <w:rPr>
                <w:rFonts w:hint="eastAsia" w:ascii="宋体" w:hAnsi="宋体" w:eastAsia="宋体" w:cs="Times New Roman"/>
                <w:sz w:val="24"/>
                <w:szCs w:val="24"/>
                <w:highlight w:val="white"/>
                <w:lang w:val="en-US" w:eastAsia="zh-CN"/>
              </w:rPr>
            </w:pPr>
            <w:r>
              <w:rPr>
                <w:rFonts w:hint="eastAsia" w:ascii="宋体" w:hAnsi="宋体" w:eastAsia="宋体" w:cs="Times New Roman"/>
                <w:sz w:val="24"/>
                <w:szCs w:val="24"/>
                <w:highlight w:val="white"/>
                <w:lang w:val="en-US" w:eastAsia="zh-CN"/>
              </w:rPr>
              <w:t>整体</w:t>
            </w:r>
            <w:r>
              <w:rPr>
                <w:rFonts w:hint="eastAsia" w:ascii="宋体" w:hAnsi="宋体" w:cs="Times New Roman"/>
                <w:sz w:val="24"/>
                <w:szCs w:val="24"/>
                <w:highlight w:val="white"/>
              </w:rPr>
              <w:t>规划设计方案</w:t>
            </w:r>
            <w:r>
              <w:rPr>
                <w:rFonts w:hint="eastAsia" w:ascii="宋体" w:hAnsi="宋体" w:cs="Times New Roman"/>
                <w:sz w:val="24"/>
                <w:szCs w:val="24"/>
                <w:highlight w:val="white"/>
                <w:lang w:val="en-US" w:eastAsia="zh-CN"/>
              </w:rPr>
              <w:t>阐述</w:t>
            </w:r>
            <w:r>
              <w:rPr>
                <w:rFonts w:hint="eastAsia" w:ascii="宋体" w:hAnsi="宋体" w:cs="Times New Roman"/>
                <w:sz w:val="24"/>
                <w:szCs w:val="24"/>
                <w:highlight w:val="white"/>
              </w:rPr>
              <w:t>具体、成熟；得 5-6 分；</w:t>
            </w:r>
            <w:r>
              <w:rPr>
                <w:rFonts w:hint="eastAsia" w:ascii="宋体" w:hAnsi="宋体" w:eastAsia="宋体" w:cs="Times New Roman"/>
                <w:sz w:val="24"/>
                <w:szCs w:val="24"/>
                <w:highlight w:val="white"/>
                <w:lang w:val="en-US" w:eastAsia="zh-CN"/>
              </w:rPr>
              <w:t xml:space="preserve">较好得3-4分；一般1-2分，没有得0 分。 </w:t>
            </w:r>
          </w:p>
          <w:p w14:paraId="0FCC4B2C">
            <w:pPr>
              <w:spacing w:line="360" w:lineRule="auto"/>
              <w:rPr>
                <w:rFonts w:hint="eastAsia" w:ascii="宋体" w:hAnsi="宋体" w:cs="Times New Roman"/>
                <w:b/>
                <w:sz w:val="24"/>
                <w:szCs w:val="24"/>
                <w:highlight w:val="white"/>
                <w:lang w:val="zh-CN"/>
              </w:rPr>
            </w:pPr>
            <w:r>
              <w:rPr>
                <w:rFonts w:hint="eastAsia" w:ascii="宋体" w:hAnsi="宋体" w:cs="Times New Roman"/>
                <w:b/>
                <w:sz w:val="24"/>
                <w:szCs w:val="24"/>
                <w:highlight w:val="white"/>
              </w:rPr>
              <w:t>3、</w:t>
            </w:r>
            <w:r>
              <w:rPr>
                <w:rFonts w:hint="eastAsia" w:ascii="宋体" w:hAnsi="宋体" w:cs="Times New Roman"/>
                <w:b/>
                <w:sz w:val="24"/>
                <w:szCs w:val="24"/>
                <w:highlight w:val="white"/>
                <w:lang w:val="en-US" w:eastAsia="zh-CN"/>
              </w:rPr>
              <w:t>设计说明</w:t>
            </w:r>
            <w:r>
              <w:rPr>
                <w:rFonts w:hint="eastAsia" w:ascii="宋体" w:hAnsi="宋体" w:cs="Times New Roman"/>
                <w:b/>
                <w:sz w:val="24"/>
                <w:szCs w:val="24"/>
                <w:highlight w:val="white"/>
                <w:lang w:val="zh-CN"/>
              </w:rPr>
              <w:t>（0～</w:t>
            </w:r>
            <w:r>
              <w:rPr>
                <w:rFonts w:hint="eastAsia" w:ascii="宋体" w:hAnsi="宋体" w:cs="Times New Roman"/>
                <w:b/>
                <w:sz w:val="24"/>
                <w:szCs w:val="24"/>
                <w:highlight w:val="white"/>
                <w:lang w:val="en-US" w:eastAsia="zh-CN"/>
              </w:rPr>
              <w:t>6</w:t>
            </w:r>
            <w:r>
              <w:rPr>
                <w:rFonts w:hint="eastAsia" w:ascii="宋体" w:hAnsi="宋体" w:cs="Times New Roman"/>
                <w:b/>
                <w:sz w:val="24"/>
                <w:szCs w:val="24"/>
                <w:highlight w:val="white"/>
                <w:lang w:val="zh-CN"/>
              </w:rPr>
              <w:t>分）</w:t>
            </w:r>
          </w:p>
          <w:p w14:paraId="273CAB54">
            <w:pPr>
              <w:spacing w:line="360" w:lineRule="auto"/>
              <w:rPr>
                <w:rFonts w:hint="eastAsia" w:ascii="宋体" w:hAnsi="宋体" w:eastAsia="宋体" w:cs="Times New Roman"/>
                <w:sz w:val="24"/>
                <w:szCs w:val="24"/>
                <w:highlight w:val="white"/>
                <w:lang w:val="en-US" w:eastAsia="zh-CN"/>
              </w:rPr>
            </w:pPr>
            <w:r>
              <w:rPr>
                <w:rFonts w:hint="eastAsia" w:ascii="宋体" w:hAnsi="宋体" w:eastAsia="宋体" w:cs="Times New Roman"/>
                <w:sz w:val="24"/>
                <w:szCs w:val="24"/>
                <w:highlight w:val="white"/>
                <w:lang w:val="en-US" w:eastAsia="zh-CN"/>
              </w:rPr>
              <w:t>投标人整体</w:t>
            </w:r>
            <w:r>
              <w:rPr>
                <w:rFonts w:hint="eastAsia" w:ascii="宋体" w:hAnsi="宋体" w:cs="Times New Roman"/>
                <w:sz w:val="24"/>
                <w:szCs w:val="24"/>
                <w:highlight w:val="white"/>
              </w:rPr>
              <w:t>规划</w:t>
            </w:r>
            <w:r>
              <w:rPr>
                <w:rFonts w:hint="eastAsia" w:ascii="宋体" w:hAnsi="宋体" w:eastAsia="宋体" w:cs="Times New Roman"/>
                <w:sz w:val="24"/>
                <w:szCs w:val="24"/>
                <w:highlight w:val="white"/>
                <w:lang w:val="en-US" w:eastAsia="zh-CN"/>
              </w:rPr>
              <w:t>设计说明是否全面。</w:t>
            </w:r>
          </w:p>
          <w:p w14:paraId="26521CDC">
            <w:pPr>
              <w:pStyle w:val="2"/>
              <w:rPr>
                <w:rFonts w:hint="eastAsia"/>
              </w:rPr>
            </w:pPr>
            <w:r>
              <w:rPr>
                <w:rFonts w:hint="eastAsia" w:ascii="宋体" w:hAnsi="宋体" w:cs="Times New Roman"/>
                <w:sz w:val="24"/>
                <w:szCs w:val="24"/>
                <w:highlight w:val="white"/>
              </w:rPr>
              <w:t>根据对投标人提供的</w:t>
            </w:r>
            <w:r>
              <w:rPr>
                <w:rFonts w:hint="eastAsia" w:ascii="宋体" w:hAnsi="宋体" w:eastAsia="宋体" w:cs="Times New Roman"/>
                <w:sz w:val="24"/>
                <w:szCs w:val="24"/>
                <w:highlight w:val="white"/>
                <w:lang w:val="en-US" w:eastAsia="zh-CN"/>
              </w:rPr>
              <w:t>整体</w:t>
            </w:r>
            <w:r>
              <w:rPr>
                <w:rFonts w:hint="eastAsia" w:ascii="宋体" w:hAnsi="宋体" w:cs="Times New Roman"/>
                <w:sz w:val="24"/>
                <w:szCs w:val="24"/>
                <w:highlight w:val="white"/>
              </w:rPr>
              <w:t>规划设计</w:t>
            </w:r>
            <w:r>
              <w:rPr>
                <w:rFonts w:hint="eastAsia" w:hAnsi="宋体" w:eastAsia="宋体" w:cs="Times New Roman"/>
                <w:sz w:val="24"/>
                <w:szCs w:val="24"/>
                <w:highlight w:val="white"/>
                <w:lang w:val="en-US" w:eastAsia="zh-CN"/>
              </w:rPr>
              <w:t>说明</w:t>
            </w:r>
            <w:r>
              <w:rPr>
                <w:rFonts w:hint="eastAsia" w:ascii="宋体" w:hAnsi="宋体" w:cs="Times New Roman"/>
                <w:sz w:val="24"/>
                <w:szCs w:val="24"/>
                <w:highlight w:val="white"/>
              </w:rPr>
              <w:t>综合评比，由评标委员会进行综合评分：</w:t>
            </w:r>
          </w:p>
          <w:p w14:paraId="55C7966F">
            <w:pPr>
              <w:spacing w:line="360" w:lineRule="auto"/>
              <w:rPr>
                <w:rFonts w:hint="eastAsia" w:ascii="宋体" w:hAnsi="宋体" w:cs="Times New Roman"/>
                <w:sz w:val="24"/>
                <w:szCs w:val="24"/>
                <w:highlight w:val="white"/>
              </w:rPr>
            </w:pPr>
            <w:r>
              <w:rPr>
                <w:rFonts w:hint="eastAsia" w:ascii="宋体" w:hAnsi="宋体" w:eastAsia="宋体" w:cs="Times New Roman"/>
                <w:sz w:val="24"/>
                <w:szCs w:val="24"/>
                <w:highlight w:val="white"/>
                <w:lang w:val="en-US" w:eastAsia="zh-CN"/>
              </w:rPr>
              <w:t>整体</w:t>
            </w:r>
            <w:r>
              <w:rPr>
                <w:rFonts w:hint="eastAsia" w:ascii="宋体" w:hAnsi="宋体" w:cs="Times New Roman"/>
                <w:sz w:val="24"/>
                <w:szCs w:val="24"/>
                <w:highlight w:val="white"/>
              </w:rPr>
              <w:t>规划</w:t>
            </w:r>
            <w:r>
              <w:rPr>
                <w:rFonts w:hint="eastAsia" w:ascii="宋体" w:hAnsi="宋体" w:eastAsia="宋体" w:cs="Times New Roman"/>
                <w:sz w:val="24"/>
                <w:szCs w:val="24"/>
                <w:highlight w:val="white"/>
                <w:lang w:val="en-US" w:eastAsia="zh-CN"/>
              </w:rPr>
              <w:t>设计说明全面、得当</w:t>
            </w:r>
            <w:r>
              <w:rPr>
                <w:rFonts w:hint="eastAsia" w:ascii="宋体" w:hAnsi="宋体" w:cs="Times New Roman"/>
                <w:sz w:val="24"/>
                <w:szCs w:val="24"/>
                <w:highlight w:val="white"/>
              </w:rPr>
              <w:t xml:space="preserve">，得 </w:t>
            </w:r>
            <w:r>
              <w:rPr>
                <w:rFonts w:hint="eastAsia" w:ascii="宋体" w:hAnsi="宋体" w:cs="Times New Roman"/>
                <w:sz w:val="24"/>
                <w:szCs w:val="24"/>
                <w:highlight w:val="white"/>
                <w:lang w:val="en-US" w:eastAsia="zh-CN"/>
              </w:rPr>
              <w:t>5</w:t>
            </w:r>
            <w:r>
              <w:rPr>
                <w:rFonts w:hint="eastAsia" w:ascii="宋体" w:hAnsi="宋体" w:cs="Times New Roman"/>
                <w:sz w:val="24"/>
                <w:szCs w:val="24"/>
                <w:highlight w:val="white"/>
              </w:rPr>
              <w:t>-</w:t>
            </w:r>
            <w:r>
              <w:rPr>
                <w:rFonts w:hint="eastAsia" w:ascii="宋体" w:hAnsi="宋体" w:cs="Times New Roman"/>
                <w:sz w:val="24"/>
                <w:szCs w:val="24"/>
                <w:highlight w:val="white"/>
                <w:lang w:val="en-US" w:eastAsia="zh-CN"/>
              </w:rPr>
              <w:t>6</w:t>
            </w:r>
            <w:r>
              <w:rPr>
                <w:rFonts w:hint="eastAsia" w:ascii="宋体" w:hAnsi="宋体" w:cs="Times New Roman"/>
                <w:sz w:val="24"/>
                <w:szCs w:val="24"/>
                <w:highlight w:val="white"/>
              </w:rPr>
              <w:t xml:space="preserve"> 分；</w:t>
            </w:r>
            <w:r>
              <w:rPr>
                <w:rFonts w:hint="eastAsia" w:ascii="宋体" w:hAnsi="宋体" w:eastAsia="宋体" w:cs="Times New Roman"/>
                <w:sz w:val="24"/>
                <w:szCs w:val="24"/>
                <w:highlight w:val="white"/>
                <w:lang w:val="en-US" w:eastAsia="zh-CN"/>
              </w:rPr>
              <w:t xml:space="preserve">较好得3-4分；一般1-2分，没有得0 分。 </w:t>
            </w:r>
          </w:p>
        </w:tc>
      </w:tr>
      <w:bookmarkEnd w:id="69"/>
      <w:tr w14:paraId="0635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25" w:type="dxa"/>
            <w:gridSpan w:val="4"/>
            <w:noWrap w:val="0"/>
            <w:vAlign w:val="center"/>
          </w:tcPr>
          <w:p w14:paraId="495AD480">
            <w:pPr>
              <w:spacing w:line="360" w:lineRule="auto"/>
              <w:rPr>
                <w:rFonts w:hint="eastAsia" w:ascii="宋体" w:hAnsi="宋体" w:cs="Times New Roman"/>
                <w:sz w:val="24"/>
                <w:szCs w:val="24"/>
                <w:highlight w:val="white"/>
                <w:lang w:val="zh-CN"/>
              </w:rPr>
            </w:pPr>
            <w:r>
              <w:rPr>
                <w:rFonts w:hint="eastAsia" w:ascii="宋体" w:hAnsi="宋体" w:cs="Times New Roman"/>
                <w:sz w:val="24"/>
                <w:szCs w:val="24"/>
                <w:highlight w:val="white"/>
                <w:lang w:val="zh-CN"/>
              </w:rPr>
              <w:t>注：1、若供应商提供虚假材料将依据《政府采购法》及其实施条例追究责任。</w:t>
            </w:r>
          </w:p>
          <w:p w14:paraId="3E397B18">
            <w:pPr>
              <w:spacing w:line="360" w:lineRule="auto"/>
              <w:rPr>
                <w:rFonts w:hint="eastAsia" w:ascii="宋体" w:hAnsi="宋体" w:cs="Times New Roman"/>
                <w:sz w:val="24"/>
                <w:szCs w:val="24"/>
                <w:highlight w:val="white"/>
                <w:lang w:val="zh-CN"/>
              </w:rPr>
            </w:pPr>
            <w:r>
              <w:rPr>
                <w:rFonts w:hint="eastAsia" w:ascii="宋体" w:hAnsi="宋体" w:cs="Times New Roman"/>
                <w:sz w:val="24"/>
                <w:szCs w:val="24"/>
                <w:highlight w:val="white"/>
                <w:lang w:val="zh-CN"/>
              </w:rPr>
              <w:t>2、扫描件需保证清晰易于辨认，若因为扫描件不清晰影响评标委员会评标的，其后果由供应商自行承担。</w:t>
            </w:r>
          </w:p>
          <w:p w14:paraId="6ED6D3FF">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lang w:val="zh-CN"/>
              </w:rPr>
              <w:t>3、中标后，采购人有权对中标人投标文件的各项材料进行审查、核对，如发现中标人以他人的名义投标、串通投标、以行贿手段谋取中标或者以其他弄虚作假方式(如在资质、业绩、证书等方面)骗取中标的以及所提供的资料有虚假的，采购人有权取消其中标资格或者解除已签订的合同，由此造成的一切损失由中标人自负，同时履约保证金不再返还，未付合同价款再支付。</w:t>
            </w:r>
          </w:p>
        </w:tc>
      </w:tr>
      <w:bookmarkEnd w:id="66"/>
    </w:tbl>
    <w:p w14:paraId="7FEC8B72">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说明：</w:t>
      </w:r>
    </w:p>
    <w:p w14:paraId="1FBA9481">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1、投标文件需有相应的业绩材料、人员证书等资料扫描件作为证明材料，未提供证明材料或者所提供证明材料无法辨认的均不予计分。</w:t>
      </w:r>
    </w:p>
    <w:p w14:paraId="65818319">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2、投标人提供的与投标有关的各类证书、证明、文件、资料等的真实性、合法性由投标人负全责。评标时评标委员会发现投标人存在弄虚作假嫌疑的，或者由其他投标人和其他利害关系人投诉举报发现投标人存在弄虚作假行为的，提请招投标有关行政监督部门另行立案调查，评标工作正常进行；有关行政监督部门调查确认弄虚作假情况属实的，如果该投标人已被确定为中标候选人的，由招标人依相关规定取消该投标人中标资格，不再退还投标保证金，投标保证金归招标人所有，招标人有权从其他中标候选人中依照推荐次序另行确定中标人，或重新招标。</w:t>
      </w:r>
    </w:p>
    <w:p w14:paraId="1D728ED4">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3、错误报价修正:</w:t>
      </w:r>
      <w:r>
        <w:rPr>
          <w:rFonts w:hint="eastAsia" w:ascii="宋体" w:hAnsi="宋体" w:cs="Times New Roman"/>
          <w:sz w:val="24"/>
          <w:szCs w:val="24"/>
          <w:highlight w:val="white"/>
        </w:rPr>
        <w:tab/>
      </w:r>
    </w:p>
    <w:p w14:paraId="7C0CAB94">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3.1计算上的算术错误。修正错误的原则如下:</w:t>
      </w:r>
    </w:p>
    <w:p w14:paraId="1EE6639A">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(1)投标文件中开标一览表(报价表)内容与投标文件中明细表内容不一致的，以开标一览表(报价表)为准。</w:t>
      </w:r>
    </w:p>
    <w:p w14:paraId="1E065625">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(2)如果数字表示的金额和用文字表示的金额不一致时，以文字表示的金额为准;</w:t>
      </w:r>
    </w:p>
    <w:p w14:paraId="54274155">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(3)如果单价与数量的乘积和总价不一致，以单价为准。当小数点有明显的错误时，评标小组将以总价为准，并修正其单价。</w:t>
      </w:r>
    </w:p>
    <w:p w14:paraId="7CF6522B">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(4)评标小组将允许投标供应商修改其投标中不构成重大偏离的微小的、非正规的、不一致的或不规则的地方，但这些修改不能影响任何投标供应商的名次相应排列。</w:t>
      </w:r>
    </w:p>
    <w:p w14:paraId="14165E94">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3.2 报价关键漏（缺）项处理：</w:t>
      </w:r>
    </w:p>
    <w:p w14:paraId="6F4200E2">
      <w:pPr>
        <w:spacing w:line="360" w:lineRule="auto"/>
        <w:rPr>
          <w:rFonts w:hint="eastAsia" w:ascii="宋体" w:hAnsi="宋体" w:cs="Times New Roman"/>
          <w:sz w:val="24"/>
          <w:szCs w:val="24"/>
          <w:highlight w:val="white"/>
        </w:rPr>
      </w:pPr>
      <w:r>
        <w:rPr>
          <w:rFonts w:hint="eastAsia" w:ascii="宋体" w:hAnsi="宋体" w:cs="Times New Roman"/>
          <w:sz w:val="24"/>
          <w:szCs w:val="24"/>
          <w:highlight w:val="white"/>
        </w:rPr>
        <w:t>评标小组对合格的投标供应商的投标报价进行详细分析、核查，检查其是否存在关键漏（缺）报项，若存在关键漏（缺）报项，在评审时取其他有效投标供应商的该项有效报价中的最高报价加入评审价进行评审，对多报项及赠送项的价格评审时不予核减报价进行评审。评标小组按照招标文件规定对投标供应商报价进行调整修正，调整后的价格对投标供应商具有约束力。如果投标供应商不接受修正后的报价，则其报价将被拒绝，其投标响应文件为无效投标响应文件。</w:t>
      </w:r>
    </w:p>
    <w:p w14:paraId="580D9DD9">
      <w:pPr>
        <w:spacing w:line="360" w:lineRule="auto"/>
        <w:rPr>
          <w:rFonts w:hint="eastAsia" w:ascii="宋体" w:hAnsi="宋体" w:cs="Times New Roman"/>
          <w:sz w:val="24"/>
          <w:szCs w:val="24"/>
          <w:highlight w:val="white"/>
          <w:lang w:val="zh-CN"/>
        </w:rPr>
      </w:pPr>
      <w:r>
        <w:rPr>
          <w:rFonts w:hint="eastAsia" w:ascii="宋体" w:hAnsi="宋体" w:cs="Times New Roman"/>
          <w:sz w:val="24"/>
          <w:szCs w:val="24"/>
          <w:highlight w:val="white"/>
          <w:lang w:val="zh-CN"/>
        </w:rPr>
        <w:t>3.3招标过程中，如果评标小组一致认定投标人报价不合理的，可以要求投标人提供合理说明，否则评标小组可以认定其报价无效。</w:t>
      </w:r>
    </w:p>
    <w:p w14:paraId="2CD0E767">
      <w:pPr>
        <w:spacing w:line="360" w:lineRule="auto"/>
        <w:rPr>
          <w:rFonts w:hint="eastAsia" w:ascii="宋体" w:hAnsi="宋体"/>
          <w:b/>
          <w:bCs/>
          <w:kern w:val="0"/>
        </w:rPr>
      </w:pPr>
      <w:r>
        <w:rPr>
          <w:rFonts w:hint="eastAsia" w:ascii="宋体" w:hAnsi="宋体" w:cs="Times New Roman"/>
          <w:sz w:val="24"/>
          <w:szCs w:val="24"/>
          <w:highlight w:val="white"/>
        </w:rPr>
        <w:t>3.4  如出现并列排名时，依照技术标得分高的为中标候选人，如技术标得分仍相同时，则由评委进行综合判定确定第一中标候选人。</w:t>
      </w:r>
    </w:p>
    <w:p w14:paraId="08E09E6C">
      <w:pPr>
        <w:pStyle w:val="8"/>
        <w:spacing w:line="360" w:lineRule="auto"/>
        <w:ind w:right="-10" w:firstLine="0"/>
        <w:rPr>
          <w:rFonts w:ascii="宋体" w:hAnsi="宋体" w:eastAsia="宋体"/>
          <w:b/>
          <w:bCs/>
          <w:sz w:val="24"/>
          <w:szCs w:val="24"/>
        </w:rPr>
      </w:pPr>
      <w:r>
        <w:rPr>
          <w:rFonts w:hint="eastAsia" w:ascii="宋体" w:hAnsi="宋体" w:eastAsia="宋体"/>
          <w:b/>
          <w:bCs/>
          <w:sz w:val="24"/>
          <w:szCs w:val="24"/>
          <w:highlight w:val="white"/>
        </w:rPr>
        <w:t xml:space="preserve">第十条 </w:t>
      </w:r>
      <w:r>
        <w:rPr>
          <w:rFonts w:hint="eastAsia" w:ascii="宋体" w:hAnsi="宋体" w:eastAsia="宋体"/>
          <w:sz w:val="24"/>
          <w:szCs w:val="24"/>
          <w:highlight w:val="white"/>
        </w:rPr>
        <w:t>评委独立评审后，磋商小组对磋商供应商某项指标如有不同意见，按照少数服从多数的原则，确定该项指标是否通过。符合初审指标及评审指标通过标准的，为有效投标。</w:t>
      </w:r>
    </w:p>
    <w:p w14:paraId="07806B52">
      <w:pPr>
        <w:spacing w:line="360" w:lineRule="auto"/>
        <w:rPr>
          <w:rFonts w:ascii="宋体" w:hAnsi="宋体"/>
          <w:sz w:val="24"/>
          <w:szCs w:val="24"/>
        </w:rPr>
      </w:pPr>
      <w:r>
        <w:rPr>
          <w:rFonts w:hint="eastAsia" w:ascii="宋体" w:hAnsi="宋体"/>
          <w:b/>
          <w:bCs/>
          <w:sz w:val="24"/>
          <w:szCs w:val="24"/>
          <w:highlight w:val="white"/>
        </w:rPr>
        <w:t xml:space="preserve">第十一条 </w:t>
      </w:r>
      <w:r>
        <w:rPr>
          <w:rFonts w:hint="eastAsia" w:ascii="宋体" w:hAnsi="宋体" w:cs="Times New Roman"/>
          <w:sz w:val="24"/>
          <w:szCs w:val="24"/>
          <w:highlight w:val="white"/>
          <w:lang w:val="zh-CN"/>
        </w:rPr>
        <w:t>评标委员会首先对投标人进行资格评审、符合性评审，再对通过的投标人针对本评标办法附表内容进行技术标打分（包括信用评定）,然后进行商务标符合性评审，最后进行商务标打分，评审结束后按商务标+技术标得分总分由高到低进行排序推荐</w:t>
      </w:r>
      <w:r>
        <w:rPr>
          <w:rFonts w:hint="eastAsia" w:ascii="宋体" w:hAnsi="宋体" w:cs="Times New Roman"/>
          <w:sz w:val="24"/>
          <w:szCs w:val="24"/>
        </w:rPr>
        <w:t>1</w:t>
      </w:r>
      <w:r>
        <w:rPr>
          <w:rFonts w:hint="eastAsia" w:ascii="宋体" w:hAnsi="宋体" w:cs="Times New Roman"/>
          <w:sz w:val="24"/>
          <w:szCs w:val="24"/>
          <w:lang w:val="zh-CN"/>
        </w:rPr>
        <w:t>名中标候选人</w:t>
      </w:r>
      <w:r>
        <w:rPr>
          <w:rFonts w:hint="eastAsia" w:ascii="宋体" w:hAnsi="宋体" w:cs="Times New Roman"/>
          <w:sz w:val="24"/>
          <w:szCs w:val="24"/>
          <w:highlight w:val="white"/>
          <w:lang w:val="zh-CN"/>
        </w:rPr>
        <w:t>。计算分数时，保留小数点后二位，第三位四舍五入。总得分相同时，技术标得分高的优先。如出现总得分相同、技术标得分也相同时，报价低的优先。若出现总得分相同、技术标得分、报价得分都相同时，则由投标人授权代表按签到顺序号现场摇号确定其排名顺序。</w:t>
      </w:r>
    </w:p>
    <w:p w14:paraId="654E4E57">
      <w:pPr>
        <w:adjustRightInd w:val="0"/>
        <w:snapToGrid w:val="0"/>
        <w:spacing w:line="360" w:lineRule="auto"/>
        <w:ind w:right="-10"/>
        <w:rPr>
          <w:rFonts w:ascii="宋体" w:hAnsi="宋体"/>
          <w:b/>
          <w:bCs/>
          <w:sz w:val="24"/>
          <w:szCs w:val="24"/>
        </w:rPr>
      </w:pPr>
      <w:r>
        <w:rPr>
          <w:rFonts w:hint="eastAsia" w:ascii="宋体" w:hAnsi="宋体"/>
          <w:b/>
          <w:bCs/>
          <w:sz w:val="24"/>
          <w:szCs w:val="24"/>
          <w:highlight w:val="white"/>
        </w:rPr>
        <w:t xml:space="preserve">第十二条 </w:t>
      </w:r>
      <w:r>
        <w:rPr>
          <w:rFonts w:hint="eastAsia" w:ascii="宋体" w:hAnsi="宋体"/>
          <w:sz w:val="24"/>
          <w:szCs w:val="24"/>
          <w:highlight w:val="white"/>
        </w:rPr>
        <w:t>磋商小组在评标过程中发现的问题，应当及时作出处理或者向采购人提出处理建议，并作书面记录。</w:t>
      </w:r>
    </w:p>
    <w:p w14:paraId="2E6AE656">
      <w:pPr>
        <w:adjustRightInd w:val="0"/>
        <w:snapToGrid w:val="0"/>
        <w:spacing w:line="360" w:lineRule="auto"/>
        <w:ind w:right="-10"/>
        <w:rPr>
          <w:rFonts w:ascii="宋体" w:hAnsi="宋体"/>
          <w:sz w:val="24"/>
          <w:szCs w:val="24"/>
        </w:rPr>
      </w:pPr>
      <w:r>
        <w:rPr>
          <w:rFonts w:hint="eastAsia" w:ascii="宋体" w:hAnsi="宋体"/>
          <w:b/>
          <w:bCs/>
          <w:sz w:val="24"/>
          <w:szCs w:val="24"/>
          <w:highlight w:val="white"/>
        </w:rPr>
        <w:t xml:space="preserve">第十三条 </w:t>
      </w:r>
      <w:r>
        <w:rPr>
          <w:rFonts w:hint="eastAsia" w:ascii="宋体" w:hAnsi="宋体"/>
          <w:sz w:val="24"/>
          <w:szCs w:val="24"/>
          <w:highlight w:val="white"/>
        </w:rPr>
        <w:t>在评审过程中，磋商小组发现磋商供应商的报价或者某些分项报价明显不合理或者低于成本，有可能影响商品质量和不能诚信履约的，应当要求其在规定的期限内提供文件予以解释说明，并提交相关证明材料；否则，磋商小组可以取消该磋商供应商的中标候选资格，按顺序由排在后面的成交供应商候选人递补，以此类推。</w:t>
      </w:r>
    </w:p>
    <w:p w14:paraId="68318BA7">
      <w:pPr>
        <w:adjustRightInd w:val="0"/>
        <w:snapToGrid w:val="0"/>
        <w:spacing w:line="360" w:lineRule="auto"/>
        <w:ind w:right="-10"/>
        <w:rPr>
          <w:rFonts w:ascii="宋体" w:hAnsi="宋体"/>
          <w:sz w:val="24"/>
          <w:szCs w:val="24"/>
        </w:rPr>
      </w:pPr>
      <w:r>
        <w:rPr>
          <w:rFonts w:hint="eastAsia" w:ascii="宋体" w:hAnsi="宋体"/>
          <w:b/>
          <w:bCs/>
          <w:sz w:val="24"/>
          <w:szCs w:val="24"/>
          <w:highlight w:val="white"/>
        </w:rPr>
        <w:t>第十四条</w:t>
      </w:r>
      <w:r>
        <w:rPr>
          <w:rFonts w:hint="eastAsia" w:ascii="宋体" w:hAnsi="宋体"/>
          <w:sz w:val="24"/>
          <w:szCs w:val="24"/>
          <w:highlight w:val="white"/>
        </w:rPr>
        <w:t xml:space="preserve"> 磋商供应商投标报价与公布的预算价（或控制价)相比降幅过小，或磋商供应商投标报价明显缺乏竞争性的，磋商小组可以否决所有投标。</w:t>
      </w:r>
    </w:p>
    <w:p w14:paraId="2BB81003">
      <w:pPr>
        <w:adjustRightInd w:val="0"/>
        <w:snapToGrid w:val="0"/>
        <w:spacing w:line="360" w:lineRule="auto"/>
        <w:ind w:right="-10"/>
        <w:rPr>
          <w:rFonts w:ascii="宋体" w:hAnsi="宋体"/>
          <w:sz w:val="24"/>
          <w:szCs w:val="24"/>
        </w:rPr>
      </w:pPr>
      <w:r>
        <w:rPr>
          <w:rFonts w:hint="eastAsia" w:ascii="宋体" w:hAnsi="宋体"/>
          <w:b/>
          <w:bCs/>
          <w:sz w:val="24"/>
          <w:szCs w:val="24"/>
          <w:highlight w:val="white"/>
        </w:rPr>
        <w:t>第十五条</w:t>
      </w:r>
      <w:r>
        <w:rPr>
          <w:rFonts w:hint="eastAsia" w:ascii="宋体" w:hAnsi="宋体"/>
          <w:sz w:val="24"/>
          <w:szCs w:val="24"/>
          <w:highlight w:val="white"/>
        </w:rPr>
        <w:t xml:space="preserve">  评标后，磋商小组应制作评标报告。磋商小组全体成员及监督员均须在评标报告上签字。评审报告应如实记录本次评标的主要过程，全面反映评标过程中的各种不同的意见，以及其他澄清、说明、补正事项。</w:t>
      </w:r>
    </w:p>
    <w:p w14:paraId="32749229">
      <w:pPr>
        <w:adjustRightInd w:val="0"/>
        <w:snapToGrid w:val="0"/>
        <w:spacing w:line="360" w:lineRule="auto"/>
        <w:ind w:right="-10"/>
        <w:jc w:val="center"/>
        <w:rPr>
          <w:rFonts w:ascii="宋体" w:hAnsi="宋体"/>
          <w:sz w:val="24"/>
          <w:szCs w:val="24"/>
        </w:rPr>
      </w:pPr>
      <w:r>
        <w:rPr>
          <w:rFonts w:hint="eastAsia" w:ascii="宋体" w:hAnsi="宋体"/>
          <w:b/>
          <w:bCs/>
          <w:sz w:val="24"/>
          <w:szCs w:val="24"/>
          <w:highlight w:val="white"/>
        </w:rPr>
        <w:t>四．评标纪律</w:t>
      </w:r>
    </w:p>
    <w:p w14:paraId="023B2792">
      <w:pPr>
        <w:adjustRightInd w:val="0"/>
        <w:snapToGrid w:val="0"/>
        <w:spacing w:line="360" w:lineRule="auto"/>
        <w:ind w:right="-10"/>
        <w:rPr>
          <w:rFonts w:ascii="宋体" w:hAnsi="宋体"/>
          <w:sz w:val="24"/>
          <w:szCs w:val="24"/>
        </w:rPr>
      </w:pPr>
      <w:r>
        <w:rPr>
          <w:rFonts w:hint="eastAsia" w:ascii="宋体" w:hAnsi="宋体"/>
          <w:b/>
          <w:bCs/>
          <w:sz w:val="24"/>
          <w:szCs w:val="24"/>
          <w:highlight w:val="white"/>
        </w:rPr>
        <w:t>第十六条</w:t>
      </w:r>
      <w:r>
        <w:rPr>
          <w:rFonts w:hint="eastAsia" w:ascii="宋体" w:hAnsi="宋体"/>
          <w:sz w:val="24"/>
          <w:szCs w:val="24"/>
          <w:highlight w:val="white"/>
        </w:rPr>
        <w:t xml:space="preserve"> 磋商小组和评标工作人员应严格遵守国家的法律、法规和规章制度；严格按照本次竞争性磋商文件进行评标；公正廉洁、不徇私情，不得损害国家利益；保护招、磋商供应商的合法权益。</w:t>
      </w:r>
    </w:p>
    <w:p w14:paraId="10D5D28F">
      <w:pPr>
        <w:adjustRightInd w:val="0"/>
        <w:snapToGrid w:val="0"/>
        <w:spacing w:line="360" w:lineRule="auto"/>
        <w:ind w:right="-10"/>
        <w:rPr>
          <w:rFonts w:ascii="宋体" w:hAnsi="宋体"/>
          <w:sz w:val="24"/>
          <w:szCs w:val="24"/>
        </w:rPr>
      </w:pPr>
      <w:r>
        <w:rPr>
          <w:rFonts w:hint="eastAsia" w:ascii="宋体" w:hAnsi="宋体"/>
          <w:b/>
          <w:bCs/>
          <w:sz w:val="24"/>
          <w:szCs w:val="24"/>
          <w:highlight w:val="white"/>
        </w:rPr>
        <w:t>第十七条</w:t>
      </w:r>
      <w:r>
        <w:rPr>
          <w:rFonts w:hint="eastAsia" w:ascii="宋体" w:hAnsi="宋体"/>
          <w:sz w:val="24"/>
          <w:szCs w:val="24"/>
          <w:highlight w:val="white"/>
        </w:rPr>
        <w:t xml:space="preserve"> 在评标过程中，评委、秘书组及其他评标工作人员必须对评标情况严格保密，任何人不得将评标情况透露给与磋商供应商有关的单位和个人。如有违反评标纪律的情况发生，将依据《中华人民共和国政府采购法》及其他有关法律法规的规定，追究有关当事人的责任。</w:t>
      </w:r>
    </w:p>
    <w:p w14:paraId="7EC27405">
      <w:pPr>
        <w:rPr>
          <w:rFonts w:hint="eastAsia"/>
        </w:rPr>
      </w:pPr>
      <w:r>
        <w:rPr>
          <w:rFonts w:hint="eastAsia" w:ascii="宋体" w:hAnsi="宋体"/>
          <w:b/>
          <w:bCs/>
          <w:sz w:val="24"/>
          <w:szCs w:val="24"/>
          <w:highlight w:val="white"/>
        </w:rPr>
        <w:t xml:space="preserve">第十八条 </w:t>
      </w:r>
      <w:r>
        <w:rPr>
          <w:rFonts w:hint="eastAsia" w:ascii="宋体" w:hAnsi="宋体"/>
          <w:sz w:val="24"/>
          <w:szCs w:val="24"/>
          <w:highlight w:val="white"/>
        </w:rPr>
        <w:t>本评标办法的解释权属于采购人。</w:t>
      </w:r>
    </w:p>
    <w:p w14:paraId="7CF1C79A">
      <w:pPr>
        <w:pStyle w:val="5"/>
        <w:ind w:firstLine="0"/>
        <w:rPr>
          <w:rFonts w:ascii="宋体" w:hAnsi="宋体" w:eastAsia="宋体"/>
        </w:rPr>
      </w:pPr>
      <w:r>
        <w:rPr>
          <w:rFonts w:hint="eastAsia" w:ascii="宋体" w:hAnsi="宋体" w:eastAsia="宋体"/>
          <w:highlight w:val="white"/>
        </w:rPr>
        <w:t>第五章 磋商供应商须知</w:t>
      </w:r>
    </w:p>
    <w:p w14:paraId="0DAC97B9">
      <w:pPr>
        <w:pStyle w:val="6"/>
        <w:spacing w:line="500" w:lineRule="exact"/>
        <w:rPr>
          <w:rFonts w:hAnsi="宋体"/>
          <w:sz w:val="28"/>
          <w:szCs w:val="28"/>
        </w:rPr>
      </w:pPr>
      <w:bookmarkStart w:id="70" w:name="_Hlt509649722"/>
      <w:bookmarkEnd w:id="70"/>
      <w:bookmarkStart w:id="71" w:name="_Hlt509650955"/>
      <w:bookmarkEnd w:id="71"/>
      <w:bookmarkStart w:id="72" w:name="_Hlt509650126"/>
      <w:bookmarkEnd w:id="72"/>
      <w:bookmarkStart w:id="73" w:name="_Hlt509650686"/>
      <w:bookmarkEnd w:id="73"/>
      <w:bookmarkStart w:id="74" w:name="_Hlt509649998"/>
      <w:bookmarkEnd w:id="74"/>
      <w:bookmarkStart w:id="75" w:name="_Hlt526418143"/>
      <w:bookmarkEnd w:id="75"/>
      <w:bookmarkStart w:id="76" w:name="_Toc407096150"/>
      <w:r>
        <w:rPr>
          <w:rFonts w:hint="eastAsia" w:hAnsi="宋体"/>
          <w:sz w:val="28"/>
          <w:szCs w:val="28"/>
          <w:highlight w:val="white"/>
        </w:rPr>
        <w:t>一．总    则</w:t>
      </w:r>
      <w:bookmarkEnd w:id="76"/>
    </w:p>
    <w:p w14:paraId="4D84303F">
      <w:pPr>
        <w:spacing w:line="360" w:lineRule="auto"/>
        <w:rPr>
          <w:rFonts w:ascii="宋体" w:hAnsi="宋体"/>
          <w:b/>
          <w:bCs/>
          <w:sz w:val="24"/>
          <w:szCs w:val="24"/>
        </w:rPr>
      </w:pPr>
      <w:r>
        <w:rPr>
          <w:rFonts w:hint="eastAsia" w:ascii="宋体" w:hAnsi="宋体"/>
          <w:b/>
          <w:bCs/>
          <w:sz w:val="24"/>
          <w:szCs w:val="24"/>
          <w:highlight w:val="white"/>
        </w:rPr>
        <w:t>1.适用范围</w:t>
      </w:r>
    </w:p>
    <w:p w14:paraId="7533B33E">
      <w:pPr>
        <w:spacing w:line="360" w:lineRule="auto"/>
        <w:rPr>
          <w:rFonts w:ascii="宋体" w:hAnsi="宋体"/>
          <w:sz w:val="24"/>
          <w:szCs w:val="24"/>
        </w:rPr>
      </w:pPr>
      <w:r>
        <w:rPr>
          <w:rFonts w:hint="eastAsia" w:ascii="宋体" w:hAnsi="宋体"/>
          <w:sz w:val="24"/>
          <w:szCs w:val="24"/>
          <w:highlight w:val="white"/>
        </w:rPr>
        <w:t>1.1本竞争性磋商文件仅适用于本次竞争性磋商所述的服务项目采购。</w:t>
      </w:r>
    </w:p>
    <w:p w14:paraId="035F18A2">
      <w:pPr>
        <w:spacing w:line="360" w:lineRule="auto"/>
        <w:rPr>
          <w:rFonts w:ascii="宋体" w:hAnsi="宋体"/>
          <w:b/>
          <w:bCs/>
          <w:sz w:val="24"/>
          <w:szCs w:val="24"/>
        </w:rPr>
      </w:pPr>
      <w:r>
        <w:rPr>
          <w:rFonts w:hint="eastAsia" w:ascii="宋体" w:hAnsi="宋体"/>
          <w:b/>
          <w:bCs/>
          <w:sz w:val="24"/>
          <w:szCs w:val="24"/>
          <w:highlight w:val="white"/>
        </w:rPr>
        <w:t>2.有关定义</w:t>
      </w:r>
    </w:p>
    <w:p w14:paraId="72AA97ED">
      <w:pPr>
        <w:spacing w:line="360" w:lineRule="auto"/>
        <w:rPr>
          <w:rFonts w:ascii="宋体" w:hAnsi="宋体"/>
          <w:sz w:val="24"/>
          <w:szCs w:val="24"/>
        </w:rPr>
      </w:pPr>
      <w:r>
        <w:rPr>
          <w:rFonts w:hint="eastAsia" w:ascii="宋体" w:hAnsi="宋体"/>
          <w:sz w:val="24"/>
          <w:szCs w:val="24"/>
          <w:highlight w:val="white"/>
        </w:rPr>
        <w:t>2.1采购人：系指本次采购项目的业主方。</w:t>
      </w:r>
    </w:p>
    <w:p w14:paraId="2DF9A54E">
      <w:pPr>
        <w:spacing w:line="360" w:lineRule="auto"/>
        <w:rPr>
          <w:rFonts w:ascii="宋体" w:hAnsi="宋体"/>
          <w:sz w:val="24"/>
          <w:szCs w:val="24"/>
        </w:rPr>
      </w:pPr>
      <w:r>
        <w:rPr>
          <w:rFonts w:hint="eastAsia" w:ascii="宋体" w:hAnsi="宋体"/>
          <w:sz w:val="24"/>
          <w:szCs w:val="24"/>
          <w:highlight w:val="white"/>
        </w:rPr>
        <w:t>2.2委托人：系指本次采购项目的委托方。</w:t>
      </w:r>
    </w:p>
    <w:p w14:paraId="0DA1EA65">
      <w:pPr>
        <w:spacing w:line="360" w:lineRule="auto"/>
        <w:rPr>
          <w:rFonts w:ascii="宋体" w:hAnsi="宋体"/>
          <w:sz w:val="24"/>
          <w:szCs w:val="24"/>
        </w:rPr>
      </w:pPr>
      <w:r>
        <w:rPr>
          <w:rFonts w:hint="eastAsia" w:ascii="宋体" w:hAnsi="宋体"/>
          <w:sz w:val="24"/>
          <w:szCs w:val="24"/>
          <w:highlight w:val="white"/>
        </w:rPr>
        <w:t>2.3磋商供应商：系指购买了本竞争性磋商文件，且已经提交或准备提交本次竞争性磋商响应文件的制造商、供应商或服务商。</w:t>
      </w:r>
    </w:p>
    <w:p w14:paraId="327AE5CF">
      <w:pPr>
        <w:spacing w:line="360" w:lineRule="auto"/>
        <w:rPr>
          <w:rFonts w:ascii="宋体" w:hAnsi="宋体"/>
          <w:sz w:val="24"/>
          <w:szCs w:val="24"/>
        </w:rPr>
      </w:pPr>
      <w:r>
        <w:rPr>
          <w:rFonts w:hint="eastAsia" w:ascii="宋体" w:hAnsi="宋体"/>
          <w:sz w:val="24"/>
          <w:szCs w:val="24"/>
          <w:highlight w:val="white"/>
        </w:rPr>
        <w:t>2.4服务：系指除货物和工程以外的其他政府采购对象，包括咨询、调研、评估、规划、设计、监理、审计、保险、租赁、印刷、维修、检测、物业管理等。</w:t>
      </w:r>
    </w:p>
    <w:p w14:paraId="1F41A30B">
      <w:pPr>
        <w:spacing w:line="360" w:lineRule="auto"/>
        <w:rPr>
          <w:rFonts w:ascii="宋体" w:hAnsi="宋体"/>
          <w:sz w:val="24"/>
          <w:szCs w:val="24"/>
        </w:rPr>
      </w:pPr>
      <w:r>
        <w:rPr>
          <w:rFonts w:hint="eastAsia" w:ascii="宋体" w:hAnsi="宋体"/>
          <w:sz w:val="24"/>
          <w:szCs w:val="24"/>
          <w:highlight w:val="white"/>
        </w:rPr>
        <w:t>2.5近X年内：系指从开标之日向前追溯X年（“X”为“一”及以后整数）起算。除非本竞争性磋商文件另有规定，否则均以合同签订之日为追溯结点。</w:t>
      </w:r>
    </w:p>
    <w:p w14:paraId="75768073">
      <w:pPr>
        <w:spacing w:line="360" w:lineRule="auto"/>
        <w:rPr>
          <w:rFonts w:ascii="宋体" w:hAnsi="宋体"/>
        </w:rPr>
      </w:pPr>
      <w:r>
        <w:rPr>
          <w:rFonts w:hint="eastAsia" w:ascii="宋体" w:hAnsi="宋体"/>
          <w:sz w:val="24"/>
          <w:szCs w:val="24"/>
          <w:highlight w:val="white"/>
        </w:rPr>
        <w:t>2.6业绩：系指符合本竞争性磋商文件规定且已服务（安装）完毕的合同及相关证明。磋商供应商与其关联公司（如母公司、控股公司、参股公司、分公司、子公司、同一法人代表的公司等）之间签订的合同，均不予认可。</w:t>
      </w:r>
    </w:p>
    <w:p w14:paraId="5FDF022D">
      <w:pPr>
        <w:spacing w:line="360" w:lineRule="auto"/>
        <w:rPr>
          <w:rFonts w:ascii="宋体" w:hAnsi="宋体"/>
          <w:b/>
          <w:bCs/>
          <w:sz w:val="24"/>
          <w:szCs w:val="24"/>
        </w:rPr>
      </w:pPr>
      <w:r>
        <w:rPr>
          <w:rFonts w:hint="eastAsia" w:ascii="宋体" w:hAnsi="宋体"/>
          <w:b/>
          <w:bCs/>
          <w:sz w:val="24"/>
          <w:szCs w:val="24"/>
          <w:highlight w:val="white"/>
        </w:rPr>
        <w:t>3.投标费用</w:t>
      </w:r>
    </w:p>
    <w:p w14:paraId="7B27336B">
      <w:pPr>
        <w:spacing w:line="360" w:lineRule="auto"/>
        <w:rPr>
          <w:rFonts w:ascii="宋体" w:hAnsi="宋体"/>
          <w:sz w:val="24"/>
          <w:szCs w:val="24"/>
        </w:rPr>
      </w:pPr>
      <w:r>
        <w:rPr>
          <w:rFonts w:hint="eastAsia" w:ascii="宋体" w:hAnsi="宋体"/>
          <w:sz w:val="24"/>
          <w:szCs w:val="24"/>
          <w:highlight w:val="white"/>
        </w:rPr>
        <w:t>3.1无论投标结果如何，磋商供应商应自行承担其编制与递交竞争性磋商响应文件所涉及的一切费用。</w:t>
      </w:r>
    </w:p>
    <w:p w14:paraId="7A1CAA6A">
      <w:pPr>
        <w:spacing w:line="360" w:lineRule="auto"/>
        <w:rPr>
          <w:rFonts w:ascii="宋体" w:hAnsi="宋体"/>
          <w:b/>
          <w:bCs/>
          <w:sz w:val="24"/>
          <w:szCs w:val="24"/>
        </w:rPr>
      </w:pPr>
      <w:r>
        <w:rPr>
          <w:rFonts w:hint="eastAsia" w:ascii="宋体" w:hAnsi="宋体"/>
          <w:b/>
          <w:bCs/>
          <w:sz w:val="24"/>
          <w:szCs w:val="24"/>
          <w:highlight w:val="white"/>
        </w:rPr>
        <w:t>4.合格的磋商供应商</w:t>
      </w:r>
    </w:p>
    <w:p w14:paraId="26FAF3B2">
      <w:pPr>
        <w:spacing w:line="360" w:lineRule="auto"/>
        <w:rPr>
          <w:rFonts w:ascii="宋体" w:hAnsi="宋体"/>
          <w:sz w:val="24"/>
          <w:szCs w:val="24"/>
        </w:rPr>
      </w:pPr>
      <w:r>
        <w:rPr>
          <w:rFonts w:hint="eastAsia" w:ascii="宋体" w:hAnsi="宋体"/>
          <w:sz w:val="24"/>
          <w:szCs w:val="24"/>
          <w:highlight w:val="white"/>
        </w:rPr>
        <w:t>4.1合格的磋商供应商应符合竞争性磋商文件载明的投标资格。</w:t>
      </w:r>
    </w:p>
    <w:p w14:paraId="0FCB4DC4">
      <w:pPr>
        <w:spacing w:line="360" w:lineRule="auto"/>
        <w:rPr>
          <w:rFonts w:ascii="宋体" w:hAnsi="宋体"/>
          <w:sz w:val="24"/>
          <w:szCs w:val="24"/>
        </w:rPr>
      </w:pPr>
      <w:r>
        <w:rPr>
          <w:rFonts w:hint="eastAsia" w:ascii="宋体" w:hAnsi="宋体"/>
          <w:sz w:val="24"/>
          <w:szCs w:val="24"/>
          <w:highlight w:val="white"/>
        </w:rPr>
        <w:t>4.2磋商供应商之间如果存在下列情形之一的，不得同时参加同一标段（包别）或者不分标段（包别）的同一项目投标：</w:t>
      </w:r>
    </w:p>
    <w:p w14:paraId="171E372A">
      <w:pPr>
        <w:spacing w:line="360" w:lineRule="auto"/>
        <w:rPr>
          <w:rFonts w:ascii="宋体" w:hAnsi="宋体"/>
          <w:sz w:val="24"/>
          <w:szCs w:val="24"/>
        </w:rPr>
      </w:pPr>
      <w:r>
        <w:rPr>
          <w:rFonts w:hint="eastAsia" w:ascii="宋体" w:hAnsi="宋体"/>
          <w:sz w:val="24"/>
          <w:szCs w:val="24"/>
          <w:highlight w:val="white"/>
        </w:rPr>
        <w:t>4.2.1法定代表人为同一个人的两个及两个以上法人；</w:t>
      </w:r>
    </w:p>
    <w:p w14:paraId="19791398">
      <w:pPr>
        <w:spacing w:line="360" w:lineRule="auto"/>
        <w:rPr>
          <w:rFonts w:ascii="宋体" w:hAnsi="宋体"/>
          <w:sz w:val="24"/>
          <w:szCs w:val="24"/>
        </w:rPr>
      </w:pPr>
      <w:r>
        <w:rPr>
          <w:rFonts w:hint="eastAsia" w:ascii="宋体" w:hAnsi="宋体"/>
          <w:sz w:val="24"/>
          <w:szCs w:val="24"/>
          <w:highlight w:val="white"/>
        </w:rPr>
        <w:t>4.2.2母公司、全资子公司及其控股公司；</w:t>
      </w:r>
    </w:p>
    <w:p w14:paraId="6B7ABE51">
      <w:pPr>
        <w:spacing w:line="360" w:lineRule="auto"/>
        <w:rPr>
          <w:rFonts w:ascii="宋体" w:hAnsi="宋体"/>
          <w:sz w:val="24"/>
          <w:szCs w:val="24"/>
        </w:rPr>
      </w:pPr>
      <w:r>
        <w:rPr>
          <w:rFonts w:hint="eastAsia" w:ascii="宋体" w:hAnsi="宋体"/>
          <w:sz w:val="24"/>
          <w:szCs w:val="24"/>
          <w:highlight w:val="white"/>
        </w:rPr>
        <w:t>4.2.3参加投标的其他组织之间存在特殊的利害关系的；</w:t>
      </w:r>
    </w:p>
    <w:p w14:paraId="0D8B21F5">
      <w:pPr>
        <w:spacing w:line="360" w:lineRule="auto"/>
        <w:rPr>
          <w:rFonts w:ascii="宋体" w:hAnsi="宋体"/>
          <w:sz w:val="24"/>
          <w:szCs w:val="24"/>
        </w:rPr>
      </w:pPr>
      <w:r>
        <w:rPr>
          <w:rFonts w:hint="eastAsia" w:ascii="宋体" w:hAnsi="宋体"/>
          <w:sz w:val="24"/>
          <w:szCs w:val="24"/>
          <w:highlight w:val="white"/>
        </w:rPr>
        <w:t>4.2.4法律和行政法规规定的其他情形。</w:t>
      </w:r>
    </w:p>
    <w:p w14:paraId="55411DCA">
      <w:pPr>
        <w:spacing w:line="360" w:lineRule="auto"/>
        <w:rPr>
          <w:rFonts w:ascii="宋体" w:hAnsi="宋体"/>
          <w:b/>
          <w:bCs/>
          <w:sz w:val="24"/>
          <w:szCs w:val="24"/>
        </w:rPr>
      </w:pPr>
      <w:r>
        <w:rPr>
          <w:rFonts w:hint="eastAsia" w:ascii="宋体" w:hAnsi="宋体"/>
          <w:b/>
          <w:bCs/>
          <w:sz w:val="24"/>
          <w:szCs w:val="24"/>
          <w:highlight w:val="white"/>
        </w:rPr>
        <w:t>5.勘察现场</w:t>
      </w:r>
    </w:p>
    <w:p w14:paraId="29338A61">
      <w:pPr>
        <w:spacing w:line="360" w:lineRule="auto"/>
        <w:rPr>
          <w:rFonts w:ascii="宋体" w:hAnsi="宋体"/>
          <w:sz w:val="24"/>
          <w:szCs w:val="24"/>
        </w:rPr>
      </w:pPr>
      <w:r>
        <w:rPr>
          <w:rFonts w:hint="eastAsia" w:ascii="宋体" w:hAnsi="宋体"/>
          <w:sz w:val="24"/>
          <w:szCs w:val="24"/>
          <w:highlight w:val="white"/>
        </w:rPr>
        <w:t>5.1磋商供应商应自行对服务现场和周围环境进行勘察，以获取编制竞争性磋商响应文件和签署合同所需的资料。勘察现场的方式、地址及联系方式见磋商供应商须知前附表。</w:t>
      </w:r>
    </w:p>
    <w:p w14:paraId="1A119A80">
      <w:pPr>
        <w:spacing w:line="360" w:lineRule="auto"/>
        <w:rPr>
          <w:rFonts w:ascii="宋体" w:hAnsi="宋体"/>
          <w:sz w:val="24"/>
          <w:szCs w:val="24"/>
        </w:rPr>
      </w:pPr>
      <w:r>
        <w:rPr>
          <w:rFonts w:hint="eastAsia" w:ascii="宋体" w:hAnsi="宋体"/>
          <w:sz w:val="24"/>
          <w:szCs w:val="24"/>
          <w:highlight w:val="white"/>
        </w:rPr>
        <w:t>5.2勘察现场所发生的费用由磋商供应商自行承担。采购人向磋商供应商提供的有关服务现场的资料和数据，是采购人现有的能使磋商供应商利用的资料。采购人对磋商供应商由此而做出的推论、理解和结论概不负责。磋商供应商未到服务现场实地踏勘的，中标后签订合同时和履约过程中，不得以不完全了解现场情况为由，提出任何形式的增加合同价款或索赔的要求。</w:t>
      </w:r>
    </w:p>
    <w:p w14:paraId="60143B0D">
      <w:pPr>
        <w:spacing w:line="360" w:lineRule="auto"/>
        <w:rPr>
          <w:rFonts w:ascii="宋体" w:hAnsi="宋体"/>
          <w:sz w:val="24"/>
          <w:szCs w:val="24"/>
        </w:rPr>
      </w:pPr>
      <w:r>
        <w:rPr>
          <w:rFonts w:hint="eastAsia" w:ascii="宋体" w:hAnsi="宋体"/>
          <w:sz w:val="24"/>
          <w:szCs w:val="24"/>
          <w:highlight w:val="white"/>
        </w:rPr>
        <w:t>5.3除非有特殊要求，竞争性磋商文件不单独提供服务使用地的自然环境、气候条件、公用设施等情况，磋商供应商被视为熟悉上述与履行合同有关的一切情况。</w:t>
      </w:r>
    </w:p>
    <w:p w14:paraId="6322E5F0">
      <w:pPr>
        <w:spacing w:line="360" w:lineRule="auto"/>
        <w:rPr>
          <w:rFonts w:ascii="宋体" w:hAnsi="宋体"/>
          <w:sz w:val="24"/>
          <w:szCs w:val="24"/>
        </w:rPr>
      </w:pPr>
      <w:r>
        <w:rPr>
          <w:rFonts w:hint="eastAsia" w:ascii="宋体" w:hAnsi="宋体"/>
          <w:b/>
          <w:bCs/>
          <w:sz w:val="24"/>
          <w:szCs w:val="24"/>
          <w:highlight w:val="white"/>
        </w:rPr>
        <w:t>6.知识产权</w:t>
      </w:r>
    </w:p>
    <w:p w14:paraId="60AD0B98">
      <w:pPr>
        <w:spacing w:line="360" w:lineRule="auto"/>
        <w:rPr>
          <w:rFonts w:ascii="宋体" w:hAnsi="宋体"/>
          <w:sz w:val="24"/>
          <w:szCs w:val="24"/>
        </w:rPr>
      </w:pPr>
      <w:r>
        <w:rPr>
          <w:rFonts w:hint="eastAsia" w:ascii="宋体" w:hAnsi="宋体"/>
          <w:sz w:val="24"/>
          <w:szCs w:val="24"/>
          <w:highlight w:val="white"/>
        </w:rPr>
        <w:t>6.1磋商供应商须保证，采购人在中华人民共和国境内使用投标货物、资料、技术、服务或其任何一部分时，享有不受限制的无偿使用权，不会产生因第三方提出侵犯其专利权、商标权或其它知识产权而引起的法律或经济纠纷。如磋商供应商不拥有相应的知识产权，则在投标报价中必须包括合法获取该知识产权的一切相关费用。如因此导致采购人损失的，磋商供应商须承担全部赔偿责任。</w:t>
      </w:r>
    </w:p>
    <w:p w14:paraId="0B2EF332">
      <w:pPr>
        <w:spacing w:line="360" w:lineRule="auto"/>
        <w:rPr>
          <w:rFonts w:ascii="宋体" w:hAnsi="宋体"/>
          <w:sz w:val="24"/>
          <w:szCs w:val="24"/>
        </w:rPr>
      </w:pPr>
      <w:r>
        <w:rPr>
          <w:rFonts w:hint="eastAsia" w:ascii="宋体" w:hAnsi="宋体"/>
          <w:sz w:val="24"/>
          <w:szCs w:val="24"/>
          <w:highlight w:val="white"/>
        </w:rPr>
        <w:t>6.2磋商供应商如欲在项目实施过程中采用自有知识成果，须在竞争性磋商响应文件中声明，并提供相关知识产权证明文件。使用该知识成果后，磋商供应商须提供开发接口和开发手册等技术文档。</w:t>
      </w:r>
    </w:p>
    <w:p w14:paraId="16DE563F">
      <w:pPr>
        <w:spacing w:line="360" w:lineRule="auto"/>
        <w:rPr>
          <w:rFonts w:ascii="宋体" w:hAnsi="宋体"/>
          <w:b/>
          <w:bCs/>
          <w:sz w:val="24"/>
          <w:szCs w:val="24"/>
        </w:rPr>
      </w:pPr>
      <w:r>
        <w:rPr>
          <w:rFonts w:hint="eastAsia" w:ascii="宋体" w:hAnsi="宋体"/>
          <w:b/>
          <w:bCs/>
          <w:sz w:val="24"/>
          <w:szCs w:val="24"/>
          <w:highlight w:val="white"/>
        </w:rPr>
        <w:t>7.纪律与保密</w:t>
      </w:r>
    </w:p>
    <w:p w14:paraId="4330E24D">
      <w:pPr>
        <w:spacing w:line="360" w:lineRule="auto"/>
        <w:rPr>
          <w:rFonts w:ascii="宋体" w:hAnsi="宋体"/>
          <w:sz w:val="24"/>
          <w:szCs w:val="24"/>
        </w:rPr>
      </w:pPr>
      <w:r>
        <w:rPr>
          <w:rFonts w:hint="eastAsia" w:ascii="宋体" w:hAnsi="宋体"/>
          <w:sz w:val="24"/>
          <w:szCs w:val="24"/>
          <w:highlight w:val="white"/>
        </w:rPr>
        <w:t>7.1磋商供应商的投标行为应遵守中国的有关法律、法规和规章。</w:t>
      </w:r>
    </w:p>
    <w:p w14:paraId="45E8FD33">
      <w:pPr>
        <w:spacing w:line="360" w:lineRule="auto"/>
        <w:rPr>
          <w:rFonts w:ascii="宋体" w:hAnsi="宋体"/>
          <w:sz w:val="24"/>
          <w:szCs w:val="24"/>
        </w:rPr>
      </w:pPr>
      <w:r>
        <w:rPr>
          <w:rFonts w:hint="eastAsia" w:ascii="宋体" w:hAnsi="宋体"/>
          <w:sz w:val="24"/>
          <w:szCs w:val="24"/>
          <w:highlight w:val="white"/>
        </w:rPr>
        <w:t>7.2磋商供应商不得相互串通投标报价，不得妨碍其他磋商供应商的公平竞争，不得损害采购人或其他磋商供应商的合法权益，磋商供应商不得以向采购人、磋商小组成员行贿或者采取其他不正当手段谋取中标。</w:t>
      </w:r>
    </w:p>
    <w:p w14:paraId="6864062E">
      <w:pPr>
        <w:spacing w:line="360" w:lineRule="auto"/>
        <w:rPr>
          <w:rFonts w:ascii="宋体" w:hAnsi="宋体"/>
          <w:sz w:val="24"/>
          <w:szCs w:val="24"/>
        </w:rPr>
      </w:pPr>
      <w:r>
        <w:rPr>
          <w:rFonts w:hint="eastAsia" w:ascii="宋体" w:hAnsi="宋体"/>
          <w:sz w:val="24"/>
          <w:szCs w:val="24"/>
          <w:highlight w:val="white"/>
        </w:rPr>
        <w:t>7.2.1有下列情形之一的，属于磋商供应商相互串通投标：</w:t>
      </w:r>
    </w:p>
    <w:p w14:paraId="1B118306">
      <w:pPr>
        <w:spacing w:line="360" w:lineRule="auto"/>
        <w:rPr>
          <w:rFonts w:ascii="宋体" w:hAnsi="宋体"/>
          <w:sz w:val="24"/>
          <w:szCs w:val="24"/>
        </w:rPr>
      </w:pPr>
      <w:r>
        <w:rPr>
          <w:rFonts w:hint="eastAsia" w:ascii="宋体" w:hAnsi="宋体"/>
          <w:sz w:val="24"/>
          <w:szCs w:val="24"/>
          <w:highlight w:val="white"/>
        </w:rPr>
        <w:t>7.2.1.1磋商供应商之间协商投标报价等竞争性磋商响应文件的实质性内容；</w:t>
      </w:r>
    </w:p>
    <w:p w14:paraId="23352C21">
      <w:pPr>
        <w:spacing w:line="360" w:lineRule="auto"/>
        <w:rPr>
          <w:rFonts w:ascii="宋体" w:hAnsi="宋体"/>
          <w:sz w:val="24"/>
          <w:szCs w:val="24"/>
        </w:rPr>
      </w:pPr>
      <w:r>
        <w:rPr>
          <w:rFonts w:hint="eastAsia" w:ascii="宋体" w:hAnsi="宋体"/>
          <w:sz w:val="24"/>
          <w:szCs w:val="24"/>
          <w:highlight w:val="white"/>
        </w:rPr>
        <w:t>7.2.1.2磋商供应商之间约定成交供应商；</w:t>
      </w:r>
    </w:p>
    <w:p w14:paraId="61EF98EF">
      <w:pPr>
        <w:spacing w:line="360" w:lineRule="auto"/>
        <w:rPr>
          <w:rFonts w:ascii="宋体" w:hAnsi="宋体"/>
          <w:sz w:val="24"/>
          <w:szCs w:val="24"/>
        </w:rPr>
      </w:pPr>
      <w:r>
        <w:rPr>
          <w:rFonts w:hint="eastAsia" w:ascii="宋体" w:hAnsi="宋体"/>
          <w:sz w:val="24"/>
          <w:szCs w:val="24"/>
          <w:highlight w:val="white"/>
        </w:rPr>
        <w:t>7.2.1.3磋商供应商之间约定部分磋商供应商放弃投标或者中标；</w:t>
      </w:r>
    </w:p>
    <w:p w14:paraId="1EC70A75">
      <w:pPr>
        <w:spacing w:line="360" w:lineRule="auto"/>
        <w:rPr>
          <w:rFonts w:ascii="宋体" w:hAnsi="宋体"/>
          <w:sz w:val="24"/>
          <w:szCs w:val="24"/>
        </w:rPr>
      </w:pPr>
      <w:r>
        <w:rPr>
          <w:rFonts w:hint="eastAsia" w:ascii="宋体" w:hAnsi="宋体"/>
          <w:sz w:val="24"/>
          <w:szCs w:val="24"/>
          <w:highlight w:val="white"/>
        </w:rPr>
        <w:t>7.2.1.4属于同一集团、协会、商会等组织成员的磋商供应商按照该组织要求协同投标；</w:t>
      </w:r>
    </w:p>
    <w:p w14:paraId="2E5ED500">
      <w:pPr>
        <w:spacing w:line="360" w:lineRule="auto"/>
        <w:rPr>
          <w:rFonts w:ascii="宋体" w:hAnsi="宋体"/>
          <w:sz w:val="24"/>
          <w:szCs w:val="24"/>
        </w:rPr>
      </w:pPr>
      <w:r>
        <w:rPr>
          <w:rFonts w:hint="eastAsia" w:ascii="宋体" w:hAnsi="宋体"/>
          <w:sz w:val="24"/>
          <w:szCs w:val="24"/>
          <w:highlight w:val="white"/>
        </w:rPr>
        <w:t>7.2.1.5磋商供应商之间为谋取中标或者排斥特定磋商供应商而采取的其他联合行动。</w:t>
      </w:r>
    </w:p>
    <w:p w14:paraId="5E1CBDD3">
      <w:pPr>
        <w:spacing w:line="360" w:lineRule="auto"/>
        <w:rPr>
          <w:rFonts w:ascii="宋体" w:hAnsi="宋体"/>
          <w:sz w:val="24"/>
          <w:szCs w:val="24"/>
        </w:rPr>
      </w:pPr>
      <w:r>
        <w:rPr>
          <w:rFonts w:hint="eastAsia" w:ascii="宋体" w:hAnsi="宋体"/>
          <w:sz w:val="24"/>
          <w:szCs w:val="24"/>
          <w:highlight w:val="white"/>
        </w:rPr>
        <w:t>7.2.2 有下列情形之一的，视为磋商供应商相互串通投标：</w:t>
      </w:r>
    </w:p>
    <w:p w14:paraId="7C454BD1">
      <w:pPr>
        <w:spacing w:line="360" w:lineRule="auto"/>
        <w:rPr>
          <w:rFonts w:ascii="宋体" w:hAnsi="宋体"/>
          <w:sz w:val="24"/>
          <w:szCs w:val="24"/>
        </w:rPr>
      </w:pPr>
      <w:r>
        <w:rPr>
          <w:rFonts w:hint="eastAsia" w:ascii="宋体" w:hAnsi="宋体"/>
          <w:sz w:val="24"/>
          <w:szCs w:val="24"/>
          <w:highlight w:val="white"/>
        </w:rPr>
        <w:t>7.2.2.1不同磋商供应商的竞争性磋商响应文件由同一单位或者个人编制；</w:t>
      </w:r>
    </w:p>
    <w:p w14:paraId="34E948EC">
      <w:pPr>
        <w:spacing w:line="360" w:lineRule="auto"/>
        <w:rPr>
          <w:rFonts w:ascii="宋体" w:hAnsi="宋体"/>
          <w:sz w:val="24"/>
          <w:szCs w:val="24"/>
        </w:rPr>
      </w:pPr>
      <w:r>
        <w:rPr>
          <w:rFonts w:hint="eastAsia" w:ascii="宋体" w:hAnsi="宋体"/>
          <w:sz w:val="24"/>
          <w:szCs w:val="24"/>
          <w:highlight w:val="white"/>
        </w:rPr>
        <w:t>7.2.2.2不同磋商供应商委托同一单位或者个人办理投标事宜；</w:t>
      </w:r>
    </w:p>
    <w:p w14:paraId="64AF8991">
      <w:pPr>
        <w:spacing w:line="360" w:lineRule="auto"/>
        <w:rPr>
          <w:rFonts w:ascii="宋体" w:hAnsi="宋体"/>
          <w:sz w:val="24"/>
          <w:szCs w:val="24"/>
        </w:rPr>
      </w:pPr>
      <w:r>
        <w:rPr>
          <w:rFonts w:hint="eastAsia" w:ascii="宋体" w:hAnsi="宋体"/>
          <w:sz w:val="24"/>
          <w:szCs w:val="24"/>
          <w:highlight w:val="white"/>
        </w:rPr>
        <w:t>7.2.2.3不同磋商供应商的竞争性磋商响应文件载明的项目管理成员为同一人；</w:t>
      </w:r>
    </w:p>
    <w:p w14:paraId="3419AC8A">
      <w:pPr>
        <w:spacing w:line="360" w:lineRule="auto"/>
        <w:rPr>
          <w:rFonts w:ascii="宋体" w:hAnsi="宋体"/>
          <w:sz w:val="24"/>
          <w:szCs w:val="24"/>
        </w:rPr>
      </w:pPr>
      <w:r>
        <w:rPr>
          <w:rFonts w:hint="eastAsia" w:ascii="宋体" w:hAnsi="宋体"/>
          <w:sz w:val="24"/>
          <w:szCs w:val="24"/>
          <w:highlight w:val="white"/>
        </w:rPr>
        <w:t>7.2.2.4不同磋商供应商的竞争性磋商响应文件异常一致或者投标报价呈规律性差异；</w:t>
      </w:r>
    </w:p>
    <w:p w14:paraId="45774EBC">
      <w:pPr>
        <w:spacing w:line="360" w:lineRule="auto"/>
        <w:rPr>
          <w:rFonts w:ascii="宋体" w:hAnsi="宋体"/>
          <w:sz w:val="24"/>
          <w:szCs w:val="24"/>
        </w:rPr>
      </w:pPr>
      <w:r>
        <w:rPr>
          <w:rFonts w:hint="eastAsia" w:ascii="宋体" w:hAnsi="宋体"/>
          <w:sz w:val="24"/>
          <w:szCs w:val="24"/>
          <w:highlight w:val="white"/>
        </w:rPr>
        <w:t>7.2.2.5不同磋商供应商的竞争性磋商响应文件相互混装；</w:t>
      </w:r>
    </w:p>
    <w:p w14:paraId="4D6A3FBC">
      <w:pPr>
        <w:spacing w:line="360" w:lineRule="auto"/>
        <w:rPr>
          <w:rFonts w:ascii="宋体" w:hAnsi="宋体"/>
          <w:sz w:val="24"/>
          <w:szCs w:val="24"/>
        </w:rPr>
      </w:pPr>
      <w:r>
        <w:rPr>
          <w:rFonts w:hint="eastAsia" w:ascii="宋体" w:hAnsi="宋体"/>
          <w:sz w:val="24"/>
          <w:szCs w:val="24"/>
          <w:highlight w:val="white"/>
        </w:rPr>
        <w:t>7.2.2.6不同磋商供应商的投标保证金从同一单位或者个人的账户转出。</w:t>
      </w:r>
    </w:p>
    <w:p w14:paraId="4303447F">
      <w:pPr>
        <w:spacing w:line="360" w:lineRule="auto"/>
        <w:rPr>
          <w:rFonts w:ascii="宋体" w:hAnsi="宋体"/>
          <w:sz w:val="24"/>
          <w:szCs w:val="24"/>
        </w:rPr>
      </w:pPr>
      <w:r>
        <w:rPr>
          <w:rFonts w:hint="eastAsia" w:ascii="宋体" w:hAnsi="宋体"/>
          <w:sz w:val="24"/>
          <w:szCs w:val="24"/>
          <w:highlight w:val="white"/>
        </w:rPr>
        <w:t>7.3在确定成交供应商之前，磋商供应商不得与采购人就投标价格、投标方案等实质性内容进行磋商，也不得私下接触磋商小组成员。</w:t>
      </w:r>
    </w:p>
    <w:p w14:paraId="6F99A86D">
      <w:pPr>
        <w:spacing w:line="360" w:lineRule="auto"/>
        <w:rPr>
          <w:rFonts w:ascii="宋体" w:hAnsi="宋体"/>
          <w:sz w:val="24"/>
          <w:szCs w:val="24"/>
        </w:rPr>
      </w:pPr>
      <w:r>
        <w:rPr>
          <w:rFonts w:hint="eastAsia" w:ascii="宋体" w:hAnsi="宋体"/>
          <w:sz w:val="24"/>
          <w:szCs w:val="24"/>
          <w:highlight w:val="white"/>
        </w:rPr>
        <w:t>7.4在确定成交供应商之前，磋商供应商试图在竞争性磋商响应文件审查、澄清、比较和评价时对磋商小组施加任何影响都可能导致其投标无效。</w:t>
      </w:r>
    </w:p>
    <w:p w14:paraId="5DAAE04E">
      <w:pPr>
        <w:spacing w:line="360" w:lineRule="auto"/>
        <w:rPr>
          <w:rFonts w:ascii="宋体" w:hAnsi="宋体"/>
          <w:sz w:val="24"/>
          <w:szCs w:val="24"/>
          <w:highlight w:val="white"/>
        </w:rPr>
      </w:pPr>
      <w:r>
        <w:rPr>
          <w:rFonts w:hint="eastAsia" w:ascii="宋体" w:hAnsi="宋体"/>
          <w:sz w:val="24"/>
          <w:szCs w:val="24"/>
          <w:highlight w:val="white"/>
        </w:rPr>
        <w:t>7.5由采购人向磋商供应商提供的图纸、详细资料等资料，被视为保密资料，仅被用于它所规定的用途。除非得到采购人的同意，不能向任何第三方透露。</w:t>
      </w:r>
    </w:p>
    <w:p w14:paraId="28F9EE35">
      <w:pPr>
        <w:spacing w:line="360" w:lineRule="auto"/>
        <w:rPr>
          <w:rFonts w:ascii="宋体" w:hAnsi="宋体"/>
          <w:b/>
          <w:bCs/>
          <w:sz w:val="24"/>
          <w:szCs w:val="24"/>
        </w:rPr>
      </w:pPr>
      <w:r>
        <w:rPr>
          <w:rFonts w:hint="eastAsia" w:ascii="宋体" w:hAnsi="宋体"/>
          <w:b/>
          <w:bCs/>
          <w:sz w:val="24"/>
          <w:szCs w:val="24"/>
          <w:highlight w:val="white"/>
        </w:rPr>
        <w:t>8.联合体投标</w:t>
      </w:r>
    </w:p>
    <w:p w14:paraId="0C64586D">
      <w:pPr>
        <w:spacing w:line="360" w:lineRule="auto"/>
        <w:rPr>
          <w:rFonts w:ascii="宋体" w:hAnsi="宋体"/>
          <w:sz w:val="24"/>
          <w:szCs w:val="24"/>
        </w:rPr>
      </w:pPr>
      <w:r>
        <w:rPr>
          <w:rFonts w:hint="eastAsia" w:ascii="宋体" w:hAnsi="宋体"/>
          <w:sz w:val="24"/>
          <w:szCs w:val="24"/>
          <w:highlight w:val="white"/>
        </w:rPr>
        <w:t>8.1除非本项目明确要求不接受联合体形式投标外，两个或两个以上供应商可以组成一个联合体投标，以一个磋商供应商的身份投标。</w:t>
      </w:r>
    </w:p>
    <w:p w14:paraId="384B565E">
      <w:pPr>
        <w:spacing w:line="360" w:lineRule="auto"/>
        <w:rPr>
          <w:rFonts w:ascii="宋体" w:hAnsi="宋体"/>
          <w:b/>
          <w:bCs/>
          <w:sz w:val="24"/>
          <w:szCs w:val="24"/>
        </w:rPr>
      </w:pPr>
      <w:r>
        <w:rPr>
          <w:rFonts w:hint="eastAsia" w:ascii="宋体" w:hAnsi="宋体"/>
          <w:sz w:val="24"/>
          <w:szCs w:val="24"/>
          <w:highlight w:val="white"/>
        </w:rPr>
        <w:t>8.2以联合体形式参加投标的，联合体各方均应当符合《政府采购法》第二十二条第一款规定的条件，根据采购项目的特殊要求规定磋商供应商特定条件的，联合体各方中至少应当有一方符合。</w:t>
      </w:r>
    </w:p>
    <w:p w14:paraId="5D2AE7C1">
      <w:pPr>
        <w:spacing w:line="360" w:lineRule="auto"/>
        <w:rPr>
          <w:rFonts w:ascii="宋体" w:hAnsi="宋体"/>
          <w:sz w:val="24"/>
          <w:szCs w:val="24"/>
        </w:rPr>
      </w:pPr>
      <w:r>
        <w:rPr>
          <w:rFonts w:hint="eastAsia" w:ascii="宋体" w:hAnsi="宋体"/>
          <w:sz w:val="24"/>
          <w:szCs w:val="24"/>
          <w:highlight w:val="white"/>
        </w:rPr>
        <w:t>8.3联合体各方之间应当签订联合体协议，明确约定联合体各方应当承担的工作和相应的责任，并将联合体协议连同竞争性磋商响应文件一并提交采购人。由同一专业的单位组成的联合体，按照同一资质等级较低的单位确定资质等级。联合体各方签订联合体协议后，不得再以自己的名义单独在同一项目中投标，也不得组成新的联合体参加同一项目投标。</w:t>
      </w:r>
    </w:p>
    <w:p w14:paraId="198AC224">
      <w:pPr>
        <w:spacing w:line="360" w:lineRule="auto"/>
        <w:rPr>
          <w:rFonts w:ascii="宋体" w:hAnsi="宋体"/>
          <w:sz w:val="24"/>
          <w:szCs w:val="24"/>
        </w:rPr>
      </w:pPr>
      <w:r>
        <w:rPr>
          <w:rFonts w:hint="eastAsia" w:ascii="宋体" w:hAnsi="宋体"/>
          <w:sz w:val="24"/>
          <w:szCs w:val="24"/>
          <w:highlight w:val="white"/>
        </w:rPr>
        <w:t>8.4联合体投标的，可以由联合体中的一方或者共同提交投标保证金，以一方名义提交保证金的，对联合体各方均具有约束力。</w:t>
      </w:r>
    </w:p>
    <w:p w14:paraId="3EE243B1">
      <w:pPr>
        <w:spacing w:line="360" w:lineRule="auto"/>
        <w:rPr>
          <w:rFonts w:ascii="宋体" w:hAnsi="宋体"/>
          <w:b/>
          <w:bCs/>
          <w:sz w:val="24"/>
          <w:szCs w:val="24"/>
        </w:rPr>
      </w:pPr>
      <w:r>
        <w:rPr>
          <w:rFonts w:hint="eastAsia" w:ascii="宋体" w:hAnsi="宋体"/>
          <w:b/>
          <w:bCs/>
          <w:sz w:val="24"/>
          <w:szCs w:val="24"/>
          <w:highlight w:val="white"/>
        </w:rPr>
        <w:t>9.合同标的转让</w:t>
      </w:r>
    </w:p>
    <w:p w14:paraId="17FC5F49">
      <w:pPr>
        <w:spacing w:line="360" w:lineRule="auto"/>
        <w:rPr>
          <w:rFonts w:ascii="宋体" w:hAnsi="宋体"/>
          <w:sz w:val="24"/>
          <w:szCs w:val="24"/>
        </w:rPr>
      </w:pPr>
      <w:r>
        <w:rPr>
          <w:rFonts w:hint="eastAsia" w:ascii="宋体" w:hAnsi="宋体"/>
          <w:sz w:val="24"/>
          <w:szCs w:val="24"/>
          <w:highlight w:val="white"/>
        </w:rPr>
        <w:t xml:space="preserve">9.1合同未约定或者未经采购人同意，成交供应商不得向他人转让中标项目，也不得将中标项目肢解后分别向他人转让。 </w:t>
      </w:r>
    </w:p>
    <w:p w14:paraId="3CDB12E3">
      <w:pPr>
        <w:spacing w:line="360" w:lineRule="auto"/>
        <w:rPr>
          <w:rFonts w:ascii="宋体" w:hAnsi="宋体"/>
          <w:sz w:val="24"/>
          <w:szCs w:val="24"/>
        </w:rPr>
      </w:pPr>
      <w:r>
        <w:rPr>
          <w:rFonts w:hint="eastAsia" w:ascii="宋体" w:hAnsi="宋体"/>
          <w:sz w:val="24"/>
          <w:szCs w:val="24"/>
          <w:highlight w:val="white"/>
        </w:rPr>
        <w:t>9.2合同约定或者经采购人同意，成交供应商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竞争性磋商响应文件中载明。</w:t>
      </w:r>
    </w:p>
    <w:p w14:paraId="757F8A25">
      <w:pPr>
        <w:spacing w:line="360" w:lineRule="auto"/>
        <w:rPr>
          <w:rFonts w:ascii="宋体" w:hAnsi="宋体"/>
          <w:sz w:val="24"/>
          <w:szCs w:val="24"/>
        </w:rPr>
      </w:pPr>
      <w:r>
        <w:rPr>
          <w:rFonts w:hint="eastAsia" w:ascii="宋体" w:hAnsi="宋体"/>
          <w:sz w:val="24"/>
          <w:szCs w:val="24"/>
          <w:highlight w:val="white"/>
        </w:rPr>
        <w:t>9.3成交供应商应当就分包项目向采购人负责，接受分包的人就分包项目承担连带责任。</w:t>
      </w:r>
    </w:p>
    <w:p w14:paraId="5C2DBC92">
      <w:pPr>
        <w:pStyle w:val="6"/>
        <w:spacing w:line="360" w:lineRule="auto"/>
        <w:ind w:firstLine="628"/>
        <w:rPr>
          <w:rFonts w:hAnsi="宋体"/>
          <w:sz w:val="28"/>
          <w:szCs w:val="28"/>
        </w:rPr>
      </w:pPr>
      <w:bookmarkStart w:id="77" w:name="_Hlt509650690"/>
      <w:bookmarkEnd w:id="77"/>
      <w:bookmarkStart w:id="78" w:name="_Hlt526418153"/>
      <w:bookmarkEnd w:id="78"/>
      <w:bookmarkStart w:id="79" w:name="_Hlt509649678"/>
      <w:bookmarkEnd w:id="79"/>
      <w:bookmarkStart w:id="80" w:name="_Hlt509650929"/>
      <w:bookmarkEnd w:id="80"/>
      <w:bookmarkStart w:id="81" w:name="_Hlt509649669"/>
      <w:bookmarkEnd w:id="81"/>
      <w:bookmarkStart w:id="82" w:name="_Hlt509649645"/>
      <w:bookmarkEnd w:id="82"/>
      <w:bookmarkStart w:id="83" w:name="_Hlt509650103"/>
      <w:bookmarkEnd w:id="83"/>
      <w:bookmarkStart w:id="84" w:name="_Hlt509650116"/>
      <w:bookmarkEnd w:id="84"/>
      <w:bookmarkStart w:id="85" w:name="_Hlt509650961"/>
      <w:bookmarkEnd w:id="85"/>
      <w:bookmarkStart w:id="86" w:name="_Hlt509650333"/>
      <w:bookmarkEnd w:id="86"/>
      <w:bookmarkStart w:id="87" w:name="_Hlt509650932"/>
      <w:bookmarkEnd w:id="87"/>
      <w:bookmarkStart w:id="88" w:name="_Hlt509650936"/>
      <w:bookmarkEnd w:id="88"/>
      <w:bookmarkStart w:id="89" w:name="_Hlt509649330"/>
      <w:bookmarkEnd w:id="89"/>
      <w:bookmarkStart w:id="90" w:name="_Hlt509649795"/>
      <w:bookmarkEnd w:id="90"/>
      <w:bookmarkStart w:id="91" w:name="_Toc407096151"/>
      <w:r>
        <w:rPr>
          <w:rFonts w:hint="eastAsia" w:hAnsi="宋体"/>
          <w:sz w:val="28"/>
          <w:szCs w:val="28"/>
          <w:highlight w:val="white"/>
        </w:rPr>
        <w:t>二．竞争性磋商文件</w:t>
      </w:r>
      <w:bookmarkEnd w:id="91"/>
      <w:bookmarkStart w:id="92" w:name="_Hlt509650361"/>
      <w:bookmarkEnd w:id="92"/>
      <w:bookmarkStart w:id="93" w:name="_Hlt509649791"/>
      <w:bookmarkEnd w:id="93"/>
      <w:bookmarkStart w:id="94" w:name="_Hlt509649930"/>
      <w:bookmarkEnd w:id="94"/>
    </w:p>
    <w:p w14:paraId="09CF7C62">
      <w:pPr>
        <w:spacing w:line="360" w:lineRule="auto"/>
        <w:rPr>
          <w:rFonts w:ascii="宋体" w:hAnsi="宋体"/>
          <w:b/>
          <w:bCs/>
          <w:sz w:val="24"/>
          <w:szCs w:val="24"/>
        </w:rPr>
      </w:pPr>
      <w:bookmarkStart w:id="95" w:name="_Hlt509650734"/>
      <w:bookmarkEnd w:id="95"/>
      <w:r>
        <w:rPr>
          <w:rFonts w:hint="eastAsia" w:ascii="宋体" w:hAnsi="宋体"/>
          <w:b/>
          <w:bCs/>
          <w:sz w:val="24"/>
          <w:szCs w:val="24"/>
          <w:highlight w:val="white"/>
        </w:rPr>
        <w:t>10.竞争性磋商文件构成</w:t>
      </w:r>
    </w:p>
    <w:p w14:paraId="51309ACD">
      <w:pPr>
        <w:spacing w:line="312" w:lineRule="auto"/>
        <w:rPr>
          <w:rFonts w:ascii="宋体" w:hAnsi="宋体"/>
          <w:sz w:val="24"/>
          <w:szCs w:val="24"/>
        </w:rPr>
      </w:pPr>
      <w:r>
        <w:rPr>
          <w:rFonts w:hint="eastAsia" w:ascii="宋体" w:hAnsi="宋体"/>
          <w:sz w:val="24"/>
          <w:szCs w:val="24"/>
          <w:highlight w:val="white"/>
        </w:rPr>
        <w:t>10.1竞争性磋商文件包括以下部分：</w:t>
      </w:r>
    </w:p>
    <w:p w14:paraId="63E88B2F">
      <w:pPr>
        <w:spacing w:line="312" w:lineRule="auto"/>
        <w:rPr>
          <w:rFonts w:ascii="宋体" w:hAnsi="宋体"/>
          <w:sz w:val="24"/>
          <w:szCs w:val="24"/>
        </w:rPr>
      </w:pPr>
      <w:r>
        <w:rPr>
          <w:rFonts w:hint="eastAsia" w:ascii="宋体" w:hAnsi="宋体"/>
          <w:sz w:val="24"/>
          <w:szCs w:val="24"/>
          <w:highlight w:val="white"/>
        </w:rPr>
        <w:t>10.1.1第一章：竞争性磋商公告；</w:t>
      </w:r>
    </w:p>
    <w:p w14:paraId="4EEC389F">
      <w:pPr>
        <w:spacing w:line="312" w:lineRule="auto"/>
        <w:rPr>
          <w:rFonts w:ascii="宋体" w:hAnsi="宋体"/>
          <w:sz w:val="24"/>
          <w:szCs w:val="24"/>
        </w:rPr>
      </w:pPr>
      <w:r>
        <w:rPr>
          <w:rFonts w:hint="eastAsia" w:ascii="宋体" w:hAnsi="宋体"/>
          <w:sz w:val="24"/>
          <w:szCs w:val="24"/>
          <w:highlight w:val="white"/>
        </w:rPr>
        <w:t>10.1.2第二章：</w:t>
      </w:r>
      <w:bookmarkStart w:id="96" w:name="_Hlt509650925"/>
      <w:bookmarkEnd w:id="96"/>
      <w:r>
        <w:rPr>
          <w:rFonts w:hint="eastAsia" w:ascii="宋体" w:hAnsi="宋体"/>
          <w:sz w:val="24"/>
          <w:szCs w:val="24"/>
          <w:highlight w:val="white"/>
        </w:rPr>
        <w:t>磋商供应商须知前附表；</w:t>
      </w:r>
    </w:p>
    <w:p w14:paraId="46D43A2E">
      <w:pPr>
        <w:spacing w:line="312" w:lineRule="auto"/>
        <w:rPr>
          <w:rFonts w:ascii="宋体" w:hAnsi="宋体"/>
          <w:sz w:val="24"/>
          <w:szCs w:val="24"/>
        </w:rPr>
      </w:pPr>
      <w:r>
        <w:rPr>
          <w:rFonts w:hint="eastAsia" w:ascii="宋体" w:hAnsi="宋体"/>
          <w:sz w:val="24"/>
          <w:szCs w:val="24"/>
          <w:highlight w:val="white"/>
        </w:rPr>
        <w:t>10.1.3第三章：采购需求；</w:t>
      </w:r>
    </w:p>
    <w:p w14:paraId="505AB6EE">
      <w:pPr>
        <w:spacing w:line="312" w:lineRule="auto"/>
        <w:rPr>
          <w:rFonts w:ascii="宋体" w:hAnsi="宋体"/>
          <w:sz w:val="24"/>
          <w:szCs w:val="24"/>
        </w:rPr>
      </w:pPr>
      <w:r>
        <w:rPr>
          <w:rFonts w:hint="eastAsia" w:ascii="宋体" w:hAnsi="宋体"/>
          <w:sz w:val="24"/>
          <w:szCs w:val="24"/>
          <w:highlight w:val="white"/>
        </w:rPr>
        <w:t>10.1.4第四章：评标办法；</w:t>
      </w:r>
    </w:p>
    <w:p w14:paraId="4721349B">
      <w:pPr>
        <w:spacing w:line="312" w:lineRule="auto"/>
        <w:rPr>
          <w:rFonts w:ascii="宋体" w:hAnsi="宋体"/>
          <w:sz w:val="24"/>
          <w:szCs w:val="24"/>
        </w:rPr>
      </w:pPr>
      <w:r>
        <w:rPr>
          <w:rFonts w:hint="eastAsia" w:ascii="宋体" w:hAnsi="宋体"/>
          <w:sz w:val="24"/>
          <w:szCs w:val="24"/>
          <w:highlight w:val="white"/>
        </w:rPr>
        <w:t>10.1.5第五章：磋商供应商须知；</w:t>
      </w:r>
    </w:p>
    <w:p w14:paraId="628A453C">
      <w:pPr>
        <w:spacing w:line="312" w:lineRule="auto"/>
        <w:rPr>
          <w:rFonts w:ascii="宋体" w:hAnsi="宋体"/>
          <w:sz w:val="24"/>
          <w:szCs w:val="24"/>
        </w:rPr>
      </w:pPr>
      <w:r>
        <w:rPr>
          <w:rFonts w:hint="eastAsia" w:ascii="宋体" w:hAnsi="宋体"/>
          <w:sz w:val="24"/>
          <w:szCs w:val="24"/>
          <w:highlight w:val="white"/>
        </w:rPr>
        <w:t>10.1.6第六章：采购合同；</w:t>
      </w:r>
    </w:p>
    <w:p w14:paraId="78C453E1">
      <w:pPr>
        <w:spacing w:line="312" w:lineRule="auto"/>
        <w:rPr>
          <w:rFonts w:ascii="宋体" w:hAnsi="宋体"/>
          <w:sz w:val="24"/>
          <w:szCs w:val="24"/>
        </w:rPr>
      </w:pPr>
      <w:r>
        <w:rPr>
          <w:rFonts w:hint="eastAsia" w:ascii="宋体" w:hAnsi="宋体"/>
          <w:sz w:val="24"/>
          <w:szCs w:val="24"/>
          <w:highlight w:val="white"/>
        </w:rPr>
        <w:t>10.1.7第七章：竞争性磋商响应文件格式；</w:t>
      </w:r>
    </w:p>
    <w:p w14:paraId="13F7F9E9">
      <w:pPr>
        <w:spacing w:line="312" w:lineRule="auto"/>
        <w:rPr>
          <w:rFonts w:ascii="宋体" w:hAnsi="宋体"/>
          <w:sz w:val="24"/>
          <w:szCs w:val="24"/>
        </w:rPr>
      </w:pPr>
      <w:r>
        <w:rPr>
          <w:rFonts w:hint="eastAsia" w:ascii="宋体" w:hAnsi="宋体"/>
          <w:sz w:val="24"/>
          <w:szCs w:val="24"/>
          <w:highlight w:val="white"/>
        </w:rPr>
        <w:t>10.1.8采购人发布的图纸、答疑、补遗、补充通知等。</w:t>
      </w:r>
    </w:p>
    <w:p w14:paraId="764FDB7D">
      <w:pPr>
        <w:spacing w:line="360" w:lineRule="auto"/>
        <w:rPr>
          <w:rFonts w:ascii="宋体" w:hAnsi="宋体"/>
          <w:sz w:val="24"/>
          <w:szCs w:val="24"/>
        </w:rPr>
      </w:pPr>
      <w:r>
        <w:rPr>
          <w:rFonts w:hint="eastAsia" w:ascii="宋体" w:hAnsi="宋体"/>
          <w:sz w:val="24"/>
          <w:szCs w:val="24"/>
          <w:highlight w:val="white"/>
        </w:rPr>
        <w:t>10.2 磋商供应商应认真阅读竞争性磋商文件中所有的事项、格式、条件、条款和规范等要求。</w:t>
      </w:r>
    </w:p>
    <w:p w14:paraId="2DF76B0F">
      <w:pPr>
        <w:spacing w:line="360" w:lineRule="auto"/>
        <w:rPr>
          <w:rFonts w:ascii="宋体" w:hAnsi="宋体"/>
          <w:sz w:val="24"/>
          <w:szCs w:val="24"/>
        </w:rPr>
      </w:pPr>
      <w:r>
        <w:rPr>
          <w:rFonts w:hint="eastAsia" w:ascii="宋体" w:hAnsi="宋体"/>
          <w:sz w:val="24"/>
          <w:szCs w:val="24"/>
          <w:highlight w:val="white"/>
        </w:rPr>
        <w:t>10.3磋商供应商应当按照竞争性磋商文件的要求编制竞争性磋商响应文件。竞争性磋商响应文件应对竞争性磋商文件提出的要求和条件作出实质性响应。</w:t>
      </w:r>
    </w:p>
    <w:p w14:paraId="05DADFD7">
      <w:pPr>
        <w:spacing w:line="360" w:lineRule="auto"/>
        <w:rPr>
          <w:rFonts w:ascii="宋体" w:hAnsi="宋体"/>
          <w:sz w:val="24"/>
          <w:szCs w:val="24"/>
        </w:rPr>
      </w:pPr>
      <w:r>
        <w:rPr>
          <w:rFonts w:hint="eastAsia" w:ascii="宋体" w:hAnsi="宋体"/>
          <w:sz w:val="24"/>
          <w:szCs w:val="24"/>
          <w:highlight w:val="white"/>
        </w:rPr>
        <w:t>10.4磋商供应商获取竞争性磋商文件后，应仔细检查竞争性磋商文件的所有内容，如有残缺等问题应在获得竞争性磋商文件5日内向采购人或采购代理机构提出，否则，由此引起的损失由磋商供应商自行承担。</w:t>
      </w:r>
    </w:p>
    <w:p w14:paraId="19E2D978">
      <w:pPr>
        <w:spacing w:line="360" w:lineRule="auto"/>
        <w:rPr>
          <w:rFonts w:ascii="宋体" w:hAnsi="宋体"/>
          <w:b/>
          <w:bCs/>
          <w:sz w:val="24"/>
          <w:szCs w:val="24"/>
        </w:rPr>
      </w:pPr>
      <w:r>
        <w:rPr>
          <w:rFonts w:hint="eastAsia" w:ascii="宋体" w:hAnsi="宋体"/>
          <w:b/>
          <w:bCs/>
          <w:sz w:val="24"/>
          <w:szCs w:val="24"/>
          <w:highlight w:val="white"/>
        </w:rPr>
        <w:t>11.答疑及竞争性磋商文件的澄清与修改</w:t>
      </w:r>
    </w:p>
    <w:p w14:paraId="4CE07DEF">
      <w:pPr>
        <w:spacing w:line="360" w:lineRule="auto"/>
        <w:rPr>
          <w:rFonts w:ascii="宋体" w:hAnsi="宋体"/>
          <w:sz w:val="24"/>
          <w:szCs w:val="24"/>
          <w:highlight w:val="white"/>
        </w:rPr>
      </w:pPr>
      <w:r>
        <w:rPr>
          <w:rFonts w:hint="eastAsia" w:ascii="宋体" w:hAnsi="宋体"/>
          <w:sz w:val="24"/>
          <w:szCs w:val="24"/>
          <w:highlight w:val="white"/>
        </w:rPr>
        <w:t>11.1磋商供应商如果对竞争性磋商文件等竞争性磋商文件的其他任何内容有相关疑问，可以于磋商供应商须知前附表列明的答疑接受时间前，以网上形式向采购人和采购代理机构提出。</w:t>
      </w:r>
    </w:p>
    <w:p w14:paraId="48D14D2E">
      <w:pPr>
        <w:spacing w:line="360" w:lineRule="auto"/>
        <w:rPr>
          <w:rFonts w:ascii="宋体" w:hAnsi="宋体"/>
          <w:sz w:val="24"/>
          <w:szCs w:val="24"/>
        </w:rPr>
      </w:pPr>
      <w:r>
        <w:rPr>
          <w:rFonts w:hint="eastAsia" w:ascii="宋体" w:hAnsi="宋体"/>
          <w:sz w:val="24"/>
          <w:szCs w:val="24"/>
          <w:highlight w:val="white"/>
        </w:rPr>
        <w:t>11.3采购代理机构对竞争性磋商文件进行的澄清、更正或更改，将在网站上及时发布，该公告内容为竞争性磋商文件的组成部分，对磋商供应商具有同样约束力效力。磋商供应商应主动上网查询。采购人和采购代理机构不承担磋商供应商未及时关注相关信息引发的相关责任。</w:t>
      </w:r>
    </w:p>
    <w:p w14:paraId="3C7D3013">
      <w:pPr>
        <w:spacing w:line="360" w:lineRule="auto"/>
        <w:rPr>
          <w:rFonts w:ascii="宋体" w:hAnsi="宋体"/>
          <w:sz w:val="24"/>
          <w:szCs w:val="24"/>
        </w:rPr>
      </w:pPr>
      <w:r>
        <w:rPr>
          <w:rFonts w:hint="eastAsia" w:ascii="宋体" w:hAnsi="宋体"/>
          <w:sz w:val="24"/>
          <w:szCs w:val="24"/>
        </w:rPr>
        <w:t>11.4在投标截止时间前，采购人和采购代理机构可以视采购具体情况，延长投标截止时间和开标时间，并在竞争性磋商文件要求提交竞争性磋商响应文件的截止时间五日前，在网站上发布变更公告。在上述情况下，采购人和磋商供应商在投标截止期方面的全部权力、责任和义务，将适用于延长后新的投标截止期。</w:t>
      </w:r>
    </w:p>
    <w:p w14:paraId="76D28630">
      <w:pPr>
        <w:spacing w:line="360" w:lineRule="auto"/>
        <w:rPr>
          <w:rFonts w:ascii="宋体" w:hAnsi="宋体"/>
          <w:sz w:val="28"/>
          <w:szCs w:val="28"/>
        </w:rPr>
      </w:pPr>
      <w:r>
        <w:rPr>
          <w:rFonts w:hint="eastAsia" w:ascii="宋体" w:hAnsi="宋体"/>
          <w:sz w:val="24"/>
          <w:szCs w:val="24"/>
          <w:highlight w:val="white"/>
        </w:rPr>
        <w:t>11.5特殊情况下，采购人和采购代理机构发布澄清、更正或更改公告后，征得磋商供应商同意，可不改变投标截止时间和开标时间。</w:t>
      </w:r>
    </w:p>
    <w:p w14:paraId="030D9213">
      <w:pPr>
        <w:pStyle w:val="6"/>
        <w:spacing w:line="360" w:lineRule="auto"/>
        <w:ind w:firstLine="628"/>
        <w:rPr>
          <w:rFonts w:hAnsi="宋体"/>
          <w:sz w:val="28"/>
          <w:szCs w:val="28"/>
        </w:rPr>
      </w:pPr>
      <w:bookmarkStart w:id="97" w:name="_Hlt510342861"/>
      <w:bookmarkEnd w:id="97"/>
      <w:bookmarkStart w:id="98" w:name="_Hlt509649724"/>
      <w:bookmarkEnd w:id="98"/>
      <w:bookmarkStart w:id="99" w:name="_Hlt509650697"/>
      <w:bookmarkEnd w:id="99"/>
      <w:bookmarkStart w:id="100" w:name="_Toc407096152"/>
      <w:r>
        <w:rPr>
          <w:rFonts w:hint="eastAsia" w:hAnsi="宋体"/>
          <w:sz w:val="28"/>
          <w:szCs w:val="28"/>
          <w:highlight w:val="white"/>
        </w:rPr>
        <w:t>三．竞争性磋商响应文件的编制</w:t>
      </w:r>
      <w:bookmarkEnd w:id="100"/>
    </w:p>
    <w:p w14:paraId="43F131B6">
      <w:pPr>
        <w:spacing w:line="360" w:lineRule="auto"/>
        <w:rPr>
          <w:rFonts w:ascii="宋体" w:hAnsi="宋体"/>
          <w:b/>
          <w:bCs/>
          <w:sz w:val="24"/>
          <w:szCs w:val="24"/>
        </w:rPr>
      </w:pPr>
      <w:r>
        <w:rPr>
          <w:rFonts w:hint="eastAsia" w:ascii="宋体" w:hAnsi="宋体"/>
          <w:b/>
          <w:bCs/>
          <w:sz w:val="24"/>
          <w:szCs w:val="24"/>
          <w:highlight w:val="white"/>
        </w:rPr>
        <w:t>12.竞争性磋商响应文件构成与格式</w:t>
      </w:r>
    </w:p>
    <w:p w14:paraId="65D2AC81">
      <w:pPr>
        <w:spacing w:line="360" w:lineRule="auto"/>
        <w:rPr>
          <w:rFonts w:ascii="宋体" w:hAnsi="宋体"/>
          <w:sz w:val="24"/>
          <w:szCs w:val="24"/>
        </w:rPr>
      </w:pPr>
      <w:bookmarkStart w:id="101" w:name="_Hlt509650345"/>
      <w:bookmarkEnd w:id="101"/>
      <w:r>
        <w:rPr>
          <w:rFonts w:hint="eastAsia" w:ascii="宋体" w:hAnsi="宋体"/>
          <w:sz w:val="24"/>
          <w:szCs w:val="24"/>
          <w:highlight w:val="white"/>
        </w:rPr>
        <w:t>12.1竞争性磋商响应文件是对竞争性磋商文件的实质性响应及承诺文件。</w:t>
      </w:r>
    </w:p>
    <w:p w14:paraId="60BF07F9">
      <w:pPr>
        <w:spacing w:line="360" w:lineRule="auto"/>
        <w:rPr>
          <w:rFonts w:ascii="宋体" w:hAnsi="宋体"/>
          <w:sz w:val="24"/>
          <w:szCs w:val="24"/>
        </w:rPr>
      </w:pPr>
      <w:r>
        <w:rPr>
          <w:rFonts w:hint="eastAsia" w:ascii="宋体" w:hAnsi="宋体"/>
          <w:sz w:val="24"/>
          <w:szCs w:val="24"/>
          <w:highlight w:val="white"/>
        </w:rPr>
        <w:t>12.2除非注明“磋商供应商可自行制作格式”，竞争性磋商响应文件应使用竞争性磋商文件提供的格式。</w:t>
      </w:r>
    </w:p>
    <w:p w14:paraId="3C27C540">
      <w:pPr>
        <w:spacing w:line="360" w:lineRule="auto"/>
        <w:rPr>
          <w:rFonts w:ascii="宋体" w:hAnsi="宋体"/>
          <w:sz w:val="24"/>
          <w:szCs w:val="24"/>
        </w:rPr>
      </w:pPr>
      <w:r>
        <w:rPr>
          <w:rFonts w:hint="eastAsia" w:ascii="宋体" w:hAnsi="宋体"/>
          <w:sz w:val="24"/>
          <w:szCs w:val="24"/>
          <w:highlight w:val="white"/>
        </w:rPr>
        <w:t>12.3除专用术语外，竞争性磋商响应文件以及磋商供应商与采购人就有关投标的往来函电均应使用中文。磋商供应商提交的支持性文件和印制的文件可以用另一种语言，但相应内容应翻译成中文，对不同文字文本竞争性磋商响应文件的解释发生异议的，以中文文本为准。</w:t>
      </w:r>
    </w:p>
    <w:p w14:paraId="5F2E9141">
      <w:pPr>
        <w:spacing w:line="360" w:lineRule="auto"/>
        <w:rPr>
          <w:rFonts w:ascii="宋体" w:hAnsi="宋体"/>
          <w:sz w:val="24"/>
          <w:szCs w:val="24"/>
        </w:rPr>
      </w:pPr>
      <w:r>
        <w:rPr>
          <w:rFonts w:hint="eastAsia" w:ascii="宋体" w:hAnsi="宋体"/>
          <w:sz w:val="24"/>
          <w:szCs w:val="24"/>
          <w:highlight w:val="white"/>
        </w:rPr>
        <w:t>12.4除非竞争性磋商文件另有规定，竞争性磋商响应文件应使用中华人民共和国法定计量单位。</w:t>
      </w:r>
    </w:p>
    <w:p w14:paraId="3FE17BBA">
      <w:pPr>
        <w:spacing w:line="360" w:lineRule="auto"/>
        <w:rPr>
          <w:rFonts w:ascii="宋体" w:hAnsi="宋体"/>
          <w:sz w:val="24"/>
          <w:szCs w:val="24"/>
          <w:highlight w:val="white"/>
        </w:rPr>
      </w:pPr>
      <w:r>
        <w:rPr>
          <w:rFonts w:hint="eastAsia" w:ascii="宋体" w:hAnsi="宋体"/>
          <w:sz w:val="24"/>
          <w:szCs w:val="24"/>
          <w:highlight w:val="white"/>
        </w:rPr>
        <w:t>12.5除非竞争性磋商文件另有规定，竞争性磋商响应文件应使用人民币填报所有报价。允许以多种货币报价的，或涉及合同金额等计算的，均按照中国银行在开标日公布的汇率中间价换算成人民币。</w:t>
      </w:r>
    </w:p>
    <w:p w14:paraId="00E9367E">
      <w:pPr>
        <w:spacing w:line="360" w:lineRule="auto"/>
        <w:rPr>
          <w:rFonts w:ascii="宋体" w:hAnsi="宋体"/>
          <w:sz w:val="24"/>
          <w:szCs w:val="24"/>
        </w:rPr>
      </w:pPr>
      <w:r>
        <w:rPr>
          <w:rFonts w:hint="eastAsia" w:ascii="宋体" w:hAnsi="宋体"/>
          <w:sz w:val="24"/>
          <w:szCs w:val="24"/>
          <w:highlight w:val="white"/>
        </w:rPr>
        <w:t>12.6磋商供应商资质证书（或资格证明）处于换证、升级、变更等期间，除非法律法规或发证机构有书面材料明确表明磋商供应商资质（或资格)有效，否则一律不予认可。</w:t>
      </w:r>
    </w:p>
    <w:p w14:paraId="5608210A">
      <w:pPr>
        <w:spacing w:line="360" w:lineRule="auto"/>
        <w:rPr>
          <w:rFonts w:ascii="宋体" w:hAnsi="宋体"/>
          <w:sz w:val="24"/>
          <w:szCs w:val="24"/>
        </w:rPr>
      </w:pPr>
      <w:r>
        <w:rPr>
          <w:rFonts w:hint="eastAsia" w:ascii="宋体" w:hAnsi="宋体"/>
          <w:sz w:val="24"/>
          <w:szCs w:val="24"/>
          <w:highlight w:val="white"/>
        </w:rPr>
        <w:t>12.7纸质竞争性磋商响应文件（如有）应编制连续页码，除特殊规格的图纸或方案、图片资料等外，均应按A4规格制作，为节约和环保，建议纸质竞争性磋商响应文件双面打印。</w:t>
      </w:r>
    </w:p>
    <w:p w14:paraId="1EC6098C">
      <w:pPr>
        <w:spacing w:line="360" w:lineRule="auto"/>
        <w:rPr>
          <w:rFonts w:ascii="宋体" w:hAnsi="宋体"/>
          <w:sz w:val="24"/>
          <w:szCs w:val="24"/>
        </w:rPr>
      </w:pPr>
      <w:r>
        <w:rPr>
          <w:rFonts w:hint="eastAsia" w:ascii="宋体" w:hAnsi="宋体"/>
          <w:sz w:val="24"/>
          <w:szCs w:val="24"/>
          <w:highlight w:val="white"/>
        </w:rPr>
        <w:t>12.8电报、电话、传真形式的投标概不接受。</w:t>
      </w:r>
    </w:p>
    <w:p w14:paraId="337F02A9">
      <w:pPr>
        <w:spacing w:line="360" w:lineRule="auto"/>
        <w:rPr>
          <w:rFonts w:ascii="宋体" w:hAnsi="宋体"/>
          <w:sz w:val="24"/>
          <w:szCs w:val="24"/>
        </w:rPr>
      </w:pPr>
      <w:r>
        <w:rPr>
          <w:rFonts w:hint="eastAsia" w:ascii="宋体" w:hAnsi="宋体"/>
          <w:sz w:val="24"/>
          <w:szCs w:val="24"/>
          <w:highlight w:val="white"/>
        </w:rPr>
        <w:t>12.9采购人一律不予退还磋商供应商的竞争性磋商响应文件。</w:t>
      </w:r>
    </w:p>
    <w:p w14:paraId="67C592F0">
      <w:pPr>
        <w:spacing w:line="360" w:lineRule="auto"/>
        <w:rPr>
          <w:rFonts w:ascii="宋体" w:hAnsi="宋体"/>
          <w:sz w:val="24"/>
          <w:szCs w:val="24"/>
        </w:rPr>
      </w:pPr>
      <w:r>
        <w:rPr>
          <w:rFonts w:hint="eastAsia" w:ascii="宋体" w:hAnsi="宋体"/>
          <w:b/>
          <w:bCs/>
          <w:sz w:val="24"/>
          <w:szCs w:val="24"/>
          <w:highlight w:val="white"/>
        </w:rPr>
        <w:t>13.报价</w:t>
      </w:r>
    </w:p>
    <w:p w14:paraId="0691FB15">
      <w:pPr>
        <w:spacing w:line="360" w:lineRule="auto"/>
        <w:rPr>
          <w:rFonts w:ascii="宋体" w:hAnsi="宋体"/>
          <w:sz w:val="24"/>
          <w:szCs w:val="24"/>
        </w:rPr>
      </w:pPr>
      <w:r>
        <w:rPr>
          <w:rFonts w:hint="eastAsia" w:ascii="宋体" w:hAnsi="宋体"/>
          <w:sz w:val="24"/>
          <w:szCs w:val="24"/>
          <w:highlight w:val="white"/>
        </w:rPr>
        <w:t>13.1磋商供应商应以“包”为报价的基本单位。若整个需求分为若干包，则磋商供应商可选择其中的部分或所有包报价。包内所有项目均应报价（免费赠送的除外），否则将导致投标无效。</w:t>
      </w:r>
    </w:p>
    <w:p w14:paraId="70CBD446">
      <w:pPr>
        <w:spacing w:line="360" w:lineRule="auto"/>
        <w:rPr>
          <w:rFonts w:ascii="宋体" w:hAnsi="宋体"/>
          <w:sz w:val="24"/>
          <w:szCs w:val="24"/>
        </w:rPr>
      </w:pPr>
      <w:r>
        <w:rPr>
          <w:rFonts w:hint="eastAsia" w:ascii="宋体" w:hAnsi="宋体"/>
          <w:sz w:val="24"/>
          <w:szCs w:val="24"/>
          <w:highlight w:val="white"/>
        </w:rPr>
        <w:t>13.2</w:t>
      </w:r>
      <w:bookmarkStart w:id="102" w:name="EB616bfadcee8947c09e287939cf58f192"/>
      <w:bookmarkEnd w:id="102"/>
      <w:r>
        <w:rPr>
          <w:rFonts w:hint="eastAsia" w:ascii="宋体" w:hAnsi="宋体"/>
          <w:sz w:val="24"/>
          <w:szCs w:val="24"/>
          <w:highlight w:val="white"/>
        </w:rPr>
        <w:t>磋商供应商的报价应包含所投服务所发生的一切应有费用。投标报价为签订合同的依据。</w:t>
      </w:r>
    </w:p>
    <w:p w14:paraId="1BDA4F20">
      <w:pPr>
        <w:spacing w:line="360" w:lineRule="auto"/>
        <w:rPr>
          <w:rFonts w:ascii="宋体" w:hAnsi="宋体"/>
          <w:sz w:val="24"/>
          <w:szCs w:val="24"/>
        </w:rPr>
      </w:pPr>
      <w:r>
        <w:rPr>
          <w:rFonts w:hint="eastAsia" w:ascii="宋体" w:hAnsi="宋体"/>
          <w:sz w:val="24"/>
          <w:szCs w:val="24"/>
          <w:highlight w:val="white"/>
        </w:rPr>
        <w:t>13.3磋商供应商应在竞争性磋商响应文件中注明拟提服务的单价明细和总价。</w:t>
      </w:r>
    </w:p>
    <w:p w14:paraId="2E730DA7">
      <w:pPr>
        <w:spacing w:line="360" w:lineRule="auto"/>
        <w:rPr>
          <w:rFonts w:ascii="宋体" w:hAnsi="宋体"/>
          <w:sz w:val="24"/>
          <w:szCs w:val="24"/>
        </w:rPr>
      </w:pPr>
      <w:r>
        <w:rPr>
          <w:rFonts w:hint="eastAsia" w:ascii="宋体" w:hAnsi="宋体"/>
          <w:sz w:val="24"/>
          <w:szCs w:val="24"/>
          <w:highlight w:val="white"/>
        </w:rPr>
        <w:t>13.4除非竞争性磋商文件另有规定，每一包只允许有一个最终报价，任何有选择的报价或替代方案将导致投标无效。</w:t>
      </w:r>
    </w:p>
    <w:p w14:paraId="4D800C3D">
      <w:pPr>
        <w:spacing w:line="360" w:lineRule="auto"/>
        <w:rPr>
          <w:rFonts w:ascii="宋体" w:hAnsi="宋体"/>
          <w:sz w:val="24"/>
          <w:szCs w:val="24"/>
        </w:rPr>
      </w:pPr>
      <w:r>
        <w:rPr>
          <w:rFonts w:hint="eastAsia" w:ascii="宋体" w:hAnsi="宋体"/>
          <w:sz w:val="24"/>
          <w:szCs w:val="24"/>
          <w:highlight w:val="white"/>
        </w:rPr>
        <w:t>13.5采购人不建议磋商供应商采用总价优惠或以总价百分比优惠的方式进行投标报价，其优惠可直接计算并体现在各项投标报价的单价中。</w:t>
      </w:r>
    </w:p>
    <w:p w14:paraId="02144F78">
      <w:pPr>
        <w:spacing w:line="360" w:lineRule="auto"/>
        <w:rPr>
          <w:rFonts w:ascii="宋体" w:hAnsi="宋体"/>
          <w:sz w:val="24"/>
          <w:szCs w:val="24"/>
        </w:rPr>
      </w:pPr>
      <w:r>
        <w:rPr>
          <w:rFonts w:hint="eastAsia" w:ascii="宋体" w:hAnsi="宋体"/>
          <w:sz w:val="24"/>
          <w:szCs w:val="24"/>
          <w:highlight w:val="white"/>
        </w:rPr>
        <w:t>13.6除政策性文件规定以外，磋商供应商所报价格在合同实施期间不因市场变化因素而变动。</w:t>
      </w:r>
    </w:p>
    <w:p w14:paraId="045BFDE9">
      <w:pPr>
        <w:spacing w:line="360" w:lineRule="auto"/>
        <w:rPr>
          <w:rFonts w:ascii="宋体" w:hAnsi="宋体"/>
          <w:b/>
          <w:bCs/>
          <w:sz w:val="24"/>
          <w:szCs w:val="24"/>
        </w:rPr>
      </w:pPr>
      <w:r>
        <w:rPr>
          <w:rFonts w:hint="eastAsia" w:ascii="宋体" w:hAnsi="宋体"/>
          <w:b/>
          <w:bCs/>
          <w:sz w:val="24"/>
          <w:szCs w:val="24"/>
          <w:highlight w:val="white"/>
        </w:rPr>
        <w:t>14.投标内容填写及说明</w:t>
      </w:r>
    </w:p>
    <w:p w14:paraId="5B28F23B">
      <w:pPr>
        <w:spacing w:line="360" w:lineRule="auto"/>
        <w:rPr>
          <w:rFonts w:ascii="宋体" w:hAnsi="宋体"/>
          <w:sz w:val="24"/>
          <w:szCs w:val="24"/>
          <w:u w:val="single"/>
        </w:rPr>
      </w:pPr>
      <w:r>
        <w:rPr>
          <w:rFonts w:hint="eastAsia" w:ascii="宋体" w:hAnsi="宋体"/>
          <w:sz w:val="24"/>
          <w:szCs w:val="24"/>
          <w:highlight w:val="white"/>
        </w:rPr>
        <w:t>14.1竞争性磋商响应文件须对竞争性磋商文件载明的投标资格、技术、资信、服务、报价等全部要求和条件做出实质性和完整的响应，如果竞争性磋商响应文件填报的内容资料不详，或没有提供竞争性磋商文件中所要求的全部资料、证明及数据，将导致投标无效。</w:t>
      </w:r>
    </w:p>
    <w:p w14:paraId="48F361BF">
      <w:pPr>
        <w:spacing w:line="360" w:lineRule="auto"/>
        <w:rPr>
          <w:rFonts w:ascii="宋体" w:hAnsi="宋体"/>
          <w:sz w:val="24"/>
          <w:szCs w:val="24"/>
        </w:rPr>
      </w:pPr>
      <w:r>
        <w:rPr>
          <w:rFonts w:hint="eastAsia" w:ascii="宋体" w:hAnsi="宋体"/>
          <w:sz w:val="24"/>
          <w:szCs w:val="24"/>
          <w:highlight w:val="white"/>
        </w:rPr>
        <w:t>14.2磋商供应商应在竞争性磋商响应文件中提交竞争性磋商文件要求的有关证明文件（扫描或影印件），作为其竞争性磋商响应文件的一部分。</w:t>
      </w:r>
    </w:p>
    <w:p w14:paraId="7BA302F3">
      <w:pPr>
        <w:spacing w:line="360" w:lineRule="auto"/>
        <w:rPr>
          <w:rFonts w:ascii="宋体" w:hAnsi="宋体"/>
          <w:sz w:val="24"/>
          <w:szCs w:val="24"/>
          <w:highlight w:val="white"/>
        </w:rPr>
      </w:pPr>
      <w:r>
        <w:rPr>
          <w:rFonts w:hint="eastAsia" w:ascii="宋体" w:hAnsi="宋体"/>
          <w:sz w:val="24"/>
          <w:szCs w:val="24"/>
          <w:highlight w:val="white"/>
        </w:rPr>
        <w:t>14.3磋商供应商应在竞争性磋商响应文件中提交（扫描件或影印件）竞争性磋商文件要求的所有货物的合格性以及符合竞争性磋商文件规定的证明文件（可以是手册、图纸和资料）等，并作为其竞争性磋商响应文件的一部分。</w:t>
      </w:r>
    </w:p>
    <w:p w14:paraId="71840046">
      <w:pPr>
        <w:spacing w:line="360" w:lineRule="auto"/>
        <w:rPr>
          <w:rFonts w:ascii="宋体" w:hAnsi="宋体"/>
          <w:sz w:val="24"/>
          <w:szCs w:val="24"/>
        </w:rPr>
      </w:pPr>
      <w:r>
        <w:rPr>
          <w:rFonts w:hint="eastAsia" w:ascii="宋体" w:hAnsi="宋体"/>
          <w:sz w:val="24"/>
          <w:szCs w:val="24"/>
          <w:highlight w:val="white"/>
        </w:rPr>
        <w:t>14.4竞争性磋商响应文件应编排有序、内容齐全、不得任意涂改或增删。如有错漏处必须修改，应在修改处加盖磋商供应商公章。</w:t>
      </w:r>
    </w:p>
    <w:p w14:paraId="0E13E0A0">
      <w:pPr>
        <w:spacing w:line="360" w:lineRule="exact"/>
        <w:rPr>
          <w:rFonts w:hint="eastAsia" w:ascii="宋体" w:hAnsi="宋体"/>
          <w:sz w:val="24"/>
          <w:lang w:val="zh-CN"/>
        </w:rPr>
      </w:pPr>
      <w:r>
        <w:rPr>
          <w:rFonts w:hint="eastAsia" w:ascii="宋体" w:hAnsi="宋体"/>
          <w:b/>
          <w:bCs/>
          <w:sz w:val="24"/>
          <w:szCs w:val="24"/>
          <w:highlight w:val="white"/>
        </w:rPr>
        <w:t>15.投标保证金</w:t>
      </w:r>
    </w:p>
    <w:p w14:paraId="1D138135">
      <w:pPr>
        <w:spacing w:line="360" w:lineRule="auto"/>
        <w:rPr>
          <w:rFonts w:hint="eastAsia" w:ascii="宋体" w:hAnsi="宋体"/>
          <w:sz w:val="24"/>
          <w:szCs w:val="24"/>
        </w:rPr>
      </w:pPr>
      <w:r>
        <w:rPr>
          <w:rFonts w:hint="eastAsia" w:ascii="宋体" w:hAnsi="宋体"/>
          <w:sz w:val="24"/>
          <w:szCs w:val="24"/>
        </w:rPr>
        <w:t>本项目无需投标保证金。</w:t>
      </w:r>
    </w:p>
    <w:p w14:paraId="5586F76F">
      <w:pPr>
        <w:spacing w:line="360" w:lineRule="auto"/>
        <w:rPr>
          <w:rFonts w:ascii="宋体" w:hAnsi="宋体"/>
          <w:b/>
          <w:bCs/>
          <w:sz w:val="24"/>
          <w:szCs w:val="24"/>
        </w:rPr>
      </w:pPr>
      <w:r>
        <w:rPr>
          <w:rFonts w:hint="eastAsia" w:ascii="宋体" w:hAnsi="宋体"/>
          <w:b/>
          <w:bCs/>
          <w:sz w:val="24"/>
          <w:szCs w:val="24"/>
          <w:highlight w:val="white"/>
        </w:rPr>
        <w:t>16.投标有效期</w:t>
      </w:r>
    </w:p>
    <w:p w14:paraId="7DDCE2EB">
      <w:pPr>
        <w:spacing w:line="360" w:lineRule="auto"/>
        <w:rPr>
          <w:rFonts w:ascii="宋体" w:hAnsi="宋体"/>
          <w:sz w:val="24"/>
          <w:szCs w:val="24"/>
        </w:rPr>
      </w:pPr>
      <w:r>
        <w:rPr>
          <w:rFonts w:hint="eastAsia" w:ascii="宋体" w:hAnsi="宋体"/>
          <w:sz w:val="24"/>
          <w:szCs w:val="24"/>
          <w:highlight w:val="white"/>
        </w:rPr>
        <w:t>16.1为保证采购人有足够的时间完成评标和与成交供应商签订合同，规定投标有效期。投标有效期期限见磋商供应商须知前附表。</w:t>
      </w:r>
    </w:p>
    <w:p w14:paraId="6AE485B3">
      <w:pPr>
        <w:spacing w:line="360" w:lineRule="auto"/>
        <w:rPr>
          <w:rFonts w:ascii="宋体" w:hAnsi="宋体"/>
          <w:sz w:val="24"/>
          <w:szCs w:val="24"/>
        </w:rPr>
      </w:pPr>
      <w:r>
        <w:rPr>
          <w:rFonts w:hint="eastAsia" w:ascii="宋体" w:hAnsi="宋体"/>
          <w:sz w:val="24"/>
          <w:szCs w:val="24"/>
          <w:highlight w:val="white"/>
        </w:rPr>
        <w:t>16.2在投标有效期内，磋商供应商的投标保持有效，磋商供应商不得要求撤销或修改其竞争性磋商响应文件。</w:t>
      </w:r>
    </w:p>
    <w:p w14:paraId="4AD21F06">
      <w:pPr>
        <w:spacing w:line="360" w:lineRule="auto"/>
        <w:rPr>
          <w:rFonts w:ascii="宋体" w:hAnsi="宋体"/>
          <w:sz w:val="24"/>
          <w:szCs w:val="24"/>
        </w:rPr>
      </w:pPr>
      <w:r>
        <w:rPr>
          <w:rFonts w:hint="eastAsia" w:ascii="宋体" w:hAnsi="宋体"/>
          <w:sz w:val="24"/>
          <w:szCs w:val="24"/>
          <w:highlight w:val="white"/>
        </w:rPr>
        <w:t>16.3投标有效期从投标截止日起计算。</w:t>
      </w:r>
    </w:p>
    <w:p w14:paraId="7254CD93">
      <w:pPr>
        <w:spacing w:line="360" w:lineRule="auto"/>
        <w:rPr>
          <w:rFonts w:ascii="宋体" w:hAnsi="宋体"/>
          <w:sz w:val="24"/>
          <w:szCs w:val="24"/>
        </w:rPr>
      </w:pPr>
      <w:r>
        <w:rPr>
          <w:rFonts w:hint="eastAsia" w:ascii="宋体" w:hAnsi="宋体"/>
          <w:sz w:val="24"/>
          <w:szCs w:val="24"/>
          <w:highlight w:val="white"/>
        </w:rPr>
        <w:t>16.4在原定投标有效期满之前，如果出现特殊情况，采购人和采购代理机构可以书面形式提出延长投标有效期的要求。磋商供应商以书面形式予以答复，磋商供应商可以拒绝这种要求而不被没收投标保证金。同意延长投标有效期的磋商供应商不允许修改其竞争性磋商响应文件的实质性内容，且需要相应地延长投标保证金的有效期。</w:t>
      </w:r>
    </w:p>
    <w:p w14:paraId="25E50BA0">
      <w:pPr>
        <w:pStyle w:val="6"/>
        <w:spacing w:line="360" w:lineRule="auto"/>
        <w:ind w:firstLine="628"/>
        <w:rPr>
          <w:rFonts w:hAnsi="宋体"/>
          <w:sz w:val="28"/>
          <w:szCs w:val="28"/>
        </w:rPr>
      </w:pPr>
      <w:bookmarkStart w:id="103" w:name="_Hlt509650572"/>
      <w:bookmarkEnd w:id="103"/>
      <w:bookmarkStart w:id="104" w:name="_Toc407096153"/>
      <w:r>
        <w:rPr>
          <w:rFonts w:hint="eastAsia" w:hAnsi="宋体"/>
          <w:sz w:val="28"/>
          <w:szCs w:val="28"/>
          <w:highlight w:val="white"/>
        </w:rPr>
        <w:t>四．竞争性磋商响应文件的递交</w:t>
      </w:r>
      <w:bookmarkEnd w:id="104"/>
      <w:bookmarkStart w:id="105" w:name="_Hlt509649414"/>
      <w:bookmarkEnd w:id="105"/>
    </w:p>
    <w:p w14:paraId="63B751D3">
      <w:pPr>
        <w:spacing w:line="440" w:lineRule="exact"/>
        <w:ind w:right="25" w:rightChars="12"/>
        <w:rPr>
          <w:rFonts w:ascii="宋体" w:hAnsi="宋体"/>
          <w:bCs/>
          <w:sz w:val="24"/>
          <w:szCs w:val="24"/>
        </w:rPr>
      </w:pPr>
      <w:r>
        <w:rPr>
          <w:rFonts w:hint="eastAsia" w:ascii="宋体" w:hAnsi="宋体"/>
          <w:bCs/>
          <w:sz w:val="24"/>
          <w:szCs w:val="24"/>
        </w:rPr>
        <w:t>17.响应性文件的密封和标记</w:t>
      </w:r>
    </w:p>
    <w:p w14:paraId="62006182">
      <w:pPr>
        <w:spacing w:line="440" w:lineRule="exact"/>
        <w:ind w:right="25" w:rightChars="12"/>
        <w:rPr>
          <w:rFonts w:ascii="宋体" w:hAnsi="宋体"/>
          <w:bCs/>
          <w:sz w:val="24"/>
          <w:szCs w:val="24"/>
        </w:rPr>
      </w:pPr>
      <w:r>
        <w:rPr>
          <w:rFonts w:hint="eastAsia" w:ascii="宋体" w:hAnsi="宋体"/>
          <w:bCs/>
          <w:sz w:val="24"/>
          <w:szCs w:val="24"/>
        </w:rPr>
        <w:t>17.1响应性文件的正本与副本应分开包装密封，并在封口处加盖供应商单位公章和法人代表章。</w:t>
      </w:r>
    </w:p>
    <w:p w14:paraId="7EAE0447">
      <w:pPr>
        <w:spacing w:before="120" w:after="120"/>
        <w:rPr>
          <w:rFonts w:hint="eastAsia" w:ascii="宋体" w:hAnsi="宋体"/>
          <w:sz w:val="24"/>
          <w:szCs w:val="24"/>
        </w:rPr>
      </w:pPr>
      <w:r>
        <w:rPr>
          <w:rFonts w:hint="eastAsia" w:ascii="宋体" w:hAnsi="宋体"/>
          <w:sz w:val="24"/>
          <w:szCs w:val="24"/>
        </w:rPr>
        <w:t>17．2响应性文件的封套上应清楚地标记“正本”或“副本”字样，封套上应写明</w:t>
      </w:r>
    </w:p>
    <w:p w14:paraId="2698E09D">
      <w:pPr>
        <w:spacing w:before="120" w:after="120"/>
        <w:rPr>
          <w:rFonts w:hint="eastAsia" w:ascii="宋体" w:hAnsi="宋体"/>
          <w:sz w:val="24"/>
          <w:szCs w:val="24"/>
        </w:rPr>
      </w:pPr>
      <w:r>
        <w:rPr>
          <w:rFonts w:hint="eastAsia" w:ascii="宋体" w:hAnsi="宋体"/>
          <w:sz w:val="24"/>
          <w:szCs w:val="24"/>
        </w:rPr>
        <w:t xml:space="preserve">采购人的地址： </w:t>
      </w:r>
    </w:p>
    <w:p w14:paraId="41D270D4">
      <w:pPr>
        <w:spacing w:before="120" w:after="120"/>
        <w:rPr>
          <w:rFonts w:hint="eastAsia" w:ascii="宋体" w:hAnsi="宋体"/>
          <w:sz w:val="24"/>
          <w:szCs w:val="24"/>
        </w:rPr>
      </w:pPr>
      <w:r>
        <w:rPr>
          <w:rFonts w:hint="eastAsia" w:ascii="宋体" w:hAnsi="宋体"/>
          <w:sz w:val="24"/>
          <w:szCs w:val="24"/>
        </w:rPr>
        <w:t xml:space="preserve">采购人名称： </w:t>
      </w:r>
    </w:p>
    <w:p w14:paraId="1E20A8A5">
      <w:pPr>
        <w:spacing w:before="120" w:after="120"/>
        <w:rPr>
          <w:rFonts w:ascii="宋体" w:hAnsi="宋体"/>
          <w:sz w:val="24"/>
          <w:szCs w:val="24"/>
          <w:u w:val="single"/>
        </w:rPr>
      </w:pPr>
      <w:r>
        <w:rPr>
          <w:rFonts w:hint="eastAsia" w:ascii="宋体" w:hAnsi="宋体"/>
          <w:sz w:val="24"/>
          <w:szCs w:val="24"/>
        </w:rPr>
        <w:t>（项目名称）：</w:t>
      </w:r>
    </w:p>
    <w:p w14:paraId="3B7B092E">
      <w:pPr>
        <w:spacing w:line="440" w:lineRule="exact"/>
        <w:ind w:right="25" w:rightChars="12"/>
        <w:rPr>
          <w:rFonts w:ascii="宋体" w:hAnsi="宋体"/>
          <w:sz w:val="24"/>
          <w:szCs w:val="24"/>
        </w:rPr>
      </w:pPr>
      <w:r>
        <w:rPr>
          <w:rFonts w:hint="eastAsia" w:ascii="宋体" w:hAnsi="宋体"/>
          <w:sz w:val="24"/>
          <w:szCs w:val="24"/>
        </w:rPr>
        <w:t>在</w:t>
      </w:r>
      <w:r>
        <w:rPr>
          <w:rFonts w:hint="eastAsia" w:ascii="宋体" w:hAnsi="宋体"/>
          <w:sz w:val="24"/>
          <w:szCs w:val="24"/>
          <w:u w:val="single"/>
        </w:rPr>
        <w:t>2022</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时前不得开启</w:t>
      </w:r>
    </w:p>
    <w:p w14:paraId="3D8B53FB">
      <w:pPr>
        <w:spacing w:line="440" w:lineRule="exact"/>
        <w:ind w:right="25" w:rightChars="12"/>
        <w:rPr>
          <w:rFonts w:ascii="宋体" w:hAnsi="宋体"/>
          <w:b/>
          <w:sz w:val="24"/>
          <w:szCs w:val="24"/>
        </w:rPr>
      </w:pPr>
      <w:r>
        <w:rPr>
          <w:rFonts w:hint="eastAsia" w:ascii="宋体" w:hAnsi="宋体"/>
          <w:b/>
          <w:sz w:val="24"/>
          <w:szCs w:val="24"/>
        </w:rPr>
        <w:t>18.响应性文件的递交</w:t>
      </w:r>
    </w:p>
    <w:p w14:paraId="5EDA0D5E">
      <w:pPr>
        <w:spacing w:line="440" w:lineRule="exact"/>
        <w:ind w:right="25" w:rightChars="12"/>
        <w:rPr>
          <w:rFonts w:ascii="宋体" w:hAnsi="宋体"/>
          <w:sz w:val="24"/>
          <w:szCs w:val="24"/>
        </w:rPr>
      </w:pPr>
      <w:r>
        <w:rPr>
          <w:rFonts w:hint="eastAsia" w:ascii="宋体" w:hAnsi="宋体"/>
          <w:sz w:val="24"/>
          <w:szCs w:val="24"/>
        </w:rPr>
        <w:t>18．1磋商截止时间：见磋商须知前附表。</w:t>
      </w:r>
    </w:p>
    <w:p w14:paraId="641C4363">
      <w:pPr>
        <w:spacing w:line="440" w:lineRule="exact"/>
        <w:ind w:right="25" w:rightChars="12"/>
        <w:rPr>
          <w:rFonts w:ascii="宋体" w:hAnsi="宋体"/>
          <w:sz w:val="24"/>
          <w:szCs w:val="24"/>
        </w:rPr>
      </w:pPr>
      <w:r>
        <w:rPr>
          <w:rFonts w:hint="eastAsia" w:ascii="宋体" w:hAnsi="宋体"/>
          <w:sz w:val="24"/>
          <w:szCs w:val="24"/>
        </w:rPr>
        <w:t>18．2供应商递交响应性文件的地点：见磋商须知前附表。</w:t>
      </w:r>
    </w:p>
    <w:p w14:paraId="2EA09869">
      <w:pPr>
        <w:spacing w:line="440" w:lineRule="exact"/>
        <w:ind w:right="25" w:rightChars="12"/>
        <w:rPr>
          <w:rFonts w:ascii="宋体" w:hAnsi="宋体"/>
          <w:sz w:val="24"/>
          <w:szCs w:val="24"/>
        </w:rPr>
      </w:pPr>
      <w:r>
        <w:rPr>
          <w:rFonts w:hint="eastAsia" w:ascii="宋体" w:hAnsi="宋体"/>
          <w:sz w:val="24"/>
          <w:szCs w:val="24"/>
        </w:rPr>
        <w:t>18．3除磋商须知前附表另有规定外，供应商所递交的响应性文件不予退还。</w:t>
      </w:r>
    </w:p>
    <w:p w14:paraId="40899214">
      <w:pPr>
        <w:spacing w:line="440" w:lineRule="exact"/>
        <w:ind w:right="25" w:rightChars="12"/>
        <w:rPr>
          <w:rFonts w:ascii="宋体" w:hAnsi="宋体"/>
          <w:sz w:val="24"/>
          <w:szCs w:val="24"/>
        </w:rPr>
      </w:pPr>
      <w:r>
        <w:rPr>
          <w:rFonts w:hint="eastAsia" w:ascii="宋体" w:hAnsi="宋体"/>
          <w:sz w:val="24"/>
          <w:szCs w:val="24"/>
        </w:rPr>
        <w:t>18．4供应商按时将响应性文件送达后，由投标供应商的法定代表人或其委托代理人签字，招标代理机构接收人签收。</w:t>
      </w:r>
    </w:p>
    <w:p w14:paraId="15D14A0B">
      <w:pPr>
        <w:spacing w:line="440" w:lineRule="exact"/>
        <w:ind w:right="25" w:rightChars="12"/>
        <w:rPr>
          <w:rFonts w:ascii="宋体" w:hAnsi="宋体"/>
          <w:sz w:val="24"/>
          <w:szCs w:val="24"/>
        </w:rPr>
      </w:pPr>
      <w:r>
        <w:rPr>
          <w:rFonts w:hint="eastAsia" w:ascii="宋体" w:hAnsi="宋体"/>
          <w:sz w:val="24"/>
          <w:szCs w:val="24"/>
        </w:rPr>
        <w:t>18．5逾期送达的或者未送达指定地点的响应性文件，采购人不予受理。</w:t>
      </w:r>
    </w:p>
    <w:p w14:paraId="2E370BC5">
      <w:pPr>
        <w:spacing w:line="440" w:lineRule="exact"/>
        <w:ind w:right="25" w:rightChars="12"/>
        <w:rPr>
          <w:rFonts w:ascii="宋体" w:hAnsi="宋体"/>
          <w:b/>
          <w:sz w:val="24"/>
          <w:szCs w:val="24"/>
        </w:rPr>
      </w:pPr>
      <w:r>
        <w:rPr>
          <w:rFonts w:hint="eastAsia" w:ascii="宋体" w:hAnsi="宋体"/>
          <w:b/>
          <w:sz w:val="24"/>
          <w:szCs w:val="24"/>
        </w:rPr>
        <w:t>19.响应性文件的修改与撤回</w:t>
      </w:r>
    </w:p>
    <w:p w14:paraId="7447E130">
      <w:pPr>
        <w:spacing w:line="440" w:lineRule="exact"/>
        <w:ind w:right="25" w:rightChars="12"/>
        <w:rPr>
          <w:rFonts w:ascii="宋体" w:hAnsi="宋体"/>
          <w:sz w:val="24"/>
          <w:szCs w:val="24"/>
        </w:rPr>
      </w:pPr>
      <w:r>
        <w:rPr>
          <w:rFonts w:hint="eastAsia" w:ascii="宋体" w:hAnsi="宋体"/>
          <w:sz w:val="24"/>
          <w:szCs w:val="24"/>
        </w:rPr>
        <w:t>19．1在磋商须知前附表规定的磋商截止时间前，供应商可以修改或撤回已递交的响应性文件，但应以书面形式通知采购人。</w:t>
      </w:r>
    </w:p>
    <w:p w14:paraId="507685E9">
      <w:pPr>
        <w:spacing w:line="440" w:lineRule="exact"/>
        <w:ind w:right="25" w:rightChars="12"/>
        <w:rPr>
          <w:rFonts w:ascii="宋体" w:hAnsi="宋体"/>
          <w:sz w:val="24"/>
          <w:szCs w:val="24"/>
        </w:rPr>
      </w:pPr>
      <w:r>
        <w:rPr>
          <w:rFonts w:hint="eastAsia" w:ascii="宋体" w:hAnsi="宋体"/>
          <w:sz w:val="24"/>
          <w:szCs w:val="24"/>
        </w:rPr>
        <w:t>19．2供应商修改或撤回已递交响应性文件的书面通知应按照磋商文件要求签字或盖章。</w:t>
      </w:r>
    </w:p>
    <w:p w14:paraId="1DAA4117">
      <w:pPr>
        <w:spacing w:line="440" w:lineRule="exact"/>
        <w:ind w:right="25" w:rightChars="12"/>
        <w:rPr>
          <w:rFonts w:ascii="宋体" w:hAnsi="宋体"/>
          <w:sz w:val="24"/>
          <w:szCs w:val="24"/>
        </w:rPr>
      </w:pPr>
      <w:r>
        <w:rPr>
          <w:rFonts w:hint="eastAsia" w:ascii="宋体" w:hAnsi="宋体"/>
          <w:sz w:val="24"/>
          <w:szCs w:val="24"/>
        </w:rPr>
        <w:t>19．3修改的内容为响应性文件的组成部分，并标明“修改”字样。</w:t>
      </w:r>
    </w:p>
    <w:p w14:paraId="7DABC4AF">
      <w:pPr>
        <w:spacing w:line="440" w:lineRule="exact"/>
        <w:ind w:right="25" w:rightChars="12"/>
        <w:rPr>
          <w:rFonts w:ascii="宋体" w:hAnsi="宋体"/>
          <w:sz w:val="24"/>
          <w:szCs w:val="24"/>
        </w:rPr>
      </w:pPr>
      <w:r>
        <w:rPr>
          <w:rFonts w:hint="eastAsia" w:ascii="宋体" w:hAnsi="宋体"/>
          <w:sz w:val="24"/>
          <w:szCs w:val="24"/>
        </w:rPr>
        <w:t>19．4在投标截止时间之后，供应商不得补充、修改响应性文件。</w:t>
      </w:r>
    </w:p>
    <w:p w14:paraId="75742A88">
      <w:pPr>
        <w:pStyle w:val="6"/>
        <w:spacing w:line="360" w:lineRule="auto"/>
        <w:rPr>
          <w:rFonts w:hAnsi="宋体"/>
          <w:sz w:val="28"/>
          <w:szCs w:val="28"/>
        </w:rPr>
      </w:pPr>
      <w:bookmarkStart w:id="106" w:name="EB7128443d509749ba944cef6877aba01f"/>
      <w:bookmarkEnd w:id="106"/>
      <w:bookmarkStart w:id="107" w:name="EBb8a0c23d9cea45b5a6f5d56620d82d11"/>
      <w:bookmarkEnd w:id="107"/>
      <w:bookmarkStart w:id="108" w:name="_Hlt509649294"/>
      <w:bookmarkEnd w:id="108"/>
      <w:bookmarkStart w:id="109" w:name="_Toc407096154"/>
      <w:r>
        <w:rPr>
          <w:rFonts w:hint="eastAsia" w:hAnsi="宋体"/>
          <w:sz w:val="28"/>
          <w:szCs w:val="28"/>
          <w:highlight w:val="white"/>
        </w:rPr>
        <w:t>五．开标与评标</w:t>
      </w:r>
      <w:bookmarkEnd w:id="109"/>
    </w:p>
    <w:p w14:paraId="469E63A8">
      <w:pPr>
        <w:spacing w:line="440" w:lineRule="exact"/>
        <w:ind w:right="25" w:rightChars="12"/>
        <w:rPr>
          <w:rFonts w:ascii="宋体" w:hAnsi="宋体"/>
          <w:b/>
          <w:sz w:val="24"/>
          <w:szCs w:val="24"/>
        </w:rPr>
      </w:pPr>
      <w:r>
        <w:rPr>
          <w:rFonts w:hint="eastAsia" w:ascii="宋体" w:hAnsi="宋体"/>
          <w:b/>
          <w:sz w:val="24"/>
          <w:szCs w:val="24"/>
        </w:rPr>
        <w:t>20.开标时间和地点</w:t>
      </w:r>
    </w:p>
    <w:p w14:paraId="31A53C1B">
      <w:pPr>
        <w:spacing w:line="440" w:lineRule="exact"/>
        <w:ind w:right="25" w:rightChars="12"/>
        <w:rPr>
          <w:rFonts w:ascii="宋体" w:hAnsi="宋体"/>
          <w:b/>
          <w:sz w:val="24"/>
          <w:szCs w:val="24"/>
        </w:rPr>
      </w:pPr>
      <w:r>
        <w:rPr>
          <w:rFonts w:hint="eastAsia" w:ascii="宋体" w:hAnsi="宋体"/>
          <w:sz w:val="24"/>
          <w:szCs w:val="24"/>
        </w:rPr>
        <w:t>采购人在磋商须知前附表规定的时间和地点公开开标，并邀请所有供应商的法定代表人或其委托代理人准时参加。</w:t>
      </w:r>
      <w:r>
        <w:rPr>
          <w:rFonts w:hint="eastAsia" w:ascii="宋体" w:hAnsi="宋体"/>
          <w:b/>
          <w:sz w:val="24"/>
          <w:szCs w:val="24"/>
          <w:u w:val="single"/>
        </w:rPr>
        <w:t>供应商法定代表人或委托代理人应携带法人代表资格证书或法定代表授权书及本人身份证</w:t>
      </w:r>
      <w:r>
        <w:rPr>
          <w:rFonts w:hint="eastAsia" w:ascii="宋体" w:hAnsi="宋体"/>
          <w:b/>
          <w:sz w:val="24"/>
          <w:szCs w:val="24"/>
        </w:rPr>
        <w:t>。</w:t>
      </w:r>
    </w:p>
    <w:p w14:paraId="7B5696A1">
      <w:pPr>
        <w:spacing w:line="440" w:lineRule="exact"/>
        <w:ind w:right="25" w:rightChars="12"/>
        <w:rPr>
          <w:rFonts w:ascii="宋体" w:hAnsi="宋体"/>
          <w:b/>
          <w:sz w:val="24"/>
          <w:szCs w:val="24"/>
        </w:rPr>
      </w:pPr>
      <w:r>
        <w:rPr>
          <w:rFonts w:hint="eastAsia" w:ascii="宋体" w:hAnsi="宋体"/>
          <w:b/>
          <w:sz w:val="24"/>
          <w:szCs w:val="24"/>
        </w:rPr>
        <w:t>21.开标程序</w:t>
      </w:r>
    </w:p>
    <w:p w14:paraId="59F89731">
      <w:pPr>
        <w:spacing w:line="440" w:lineRule="exact"/>
        <w:ind w:right="25" w:rightChars="12"/>
        <w:rPr>
          <w:rFonts w:ascii="宋体" w:hAnsi="宋体"/>
          <w:sz w:val="24"/>
          <w:szCs w:val="24"/>
        </w:rPr>
      </w:pPr>
      <w:r>
        <w:rPr>
          <w:rFonts w:hint="eastAsia" w:ascii="宋体" w:hAnsi="宋体"/>
          <w:sz w:val="24"/>
          <w:szCs w:val="24"/>
        </w:rPr>
        <w:t>由招标代理机构主持开标并按下列程序进行开标：</w:t>
      </w:r>
    </w:p>
    <w:p w14:paraId="027CC821">
      <w:pPr>
        <w:spacing w:line="440" w:lineRule="exact"/>
        <w:ind w:right="25" w:rightChars="12"/>
        <w:rPr>
          <w:rFonts w:ascii="宋体" w:hAnsi="宋体"/>
          <w:sz w:val="24"/>
          <w:szCs w:val="24"/>
        </w:rPr>
      </w:pPr>
      <w:r>
        <w:rPr>
          <w:rFonts w:hint="eastAsia" w:ascii="宋体" w:hAnsi="宋体"/>
          <w:sz w:val="24"/>
          <w:szCs w:val="24"/>
        </w:rPr>
        <w:t>(1)由主持人介绍本项目工程概况，开标纪律，无效标书的构成条件。</w:t>
      </w:r>
    </w:p>
    <w:p w14:paraId="016A7F7E">
      <w:pPr>
        <w:spacing w:line="440" w:lineRule="exact"/>
        <w:ind w:right="25" w:rightChars="12"/>
        <w:rPr>
          <w:rFonts w:ascii="宋体" w:hAnsi="宋体"/>
          <w:sz w:val="24"/>
          <w:szCs w:val="24"/>
        </w:rPr>
      </w:pPr>
      <w:r>
        <w:rPr>
          <w:rFonts w:hint="eastAsia" w:ascii="宋体" w:hAnsi="宋体"/>
          <w:sz w:val="24"/>
          <w:szCs w:val="24"/>
        </w:rPr>
        <w:t>(2)公布在磋商截止时间前递交响应性文件的供应商名称。</w:t>
      </w:r>
    </w:p>
    <w:p w14:paraId="594FD60C">
      <w:pPr>
        <w:spacing w:line="440" w:lineRule="exact"/>
        <w:ind w:right="25" w:rightChars="12"/>
        <w:rPr>
          <w:rFonts w:ascii="宋体" w:hAnsi="宋体"/>
          <w:sz w:val="24"/>
          <w:szCs w:val="24"/>
        </w:rPr>
      </w:pPr>
      <w:r>
        <w:rPr>
          <w:rFonts w:hint="eastAsia" w:ascii="宋体" w:hAnsi="宋体"/>
          <w:sz w:val="24"/>
          <w:szCs w:val="24"/>
        </w:rPr>
        <w:t>(3)宣布开标人、唱标人、记录人、监标人等有关人员姓名。</w:t>
      </w:r>
    </w:p>
    <w:p w14:paraId="01DDACF8">
      <w:pPr>
        <w:spacing w:line="440" w:lineRule="exact"/>
        <w:ind w:right="25" w:rightChars="12"/>
        <w:rPr>
          <w:rFonts w:ascii="宋体" w:hAnsi="宋体"/>
          <w:sz w:val="24"/>
          <w:szCs w:val="24"/>
        </w:rPr>
      </w:pPr>
      <w:r>
        <w:rPr>
          <w:rFonts w:hint="eastAsia" w:ascii="宋体" w:hAnsi="宋体"/>
          <w:sz w:val="24"/>
          <w:szCs w:val="24"/>
        </w:rPr>
        <w:t>(4)按照磋商须知前附表规定检查响应性文件的密封情况。</w:t>
      </w:r>
    </w:p>
    <w:p w14:paraId="3A75E845">
      <w:pPr>
        <w:spacing w:line="440" w:lineRule="exact"/>
        <w:ind w:right="25" w:rightChars="12"/>
        <w:rPr>
          <w:rFonts w:ascii="宋体" w:hAnsi="宋体"/>
          <w:sz w:val="24"/>
          <w:szCs w:val="24"/>
        </w:rPr>
      </w:pPr>
      <w:r>
        <w:rPr>
          <w:rFonts w:hint="eastAsia" w:ascii="宋体" w:hAnsi="宋体"/>
          <w:sz w:val="24"/>
          <w:szCs w:val="24"/>
        </w:rPr>
        <w:t>(5)按照磋商须知前附表规定确定并宣布响应性文件开标顺序。</w:t>
      </w:r>
    </w:p>
    <w:p w14:paraId="1CB922DE">
      <w:pPr>
        <w:spacing w:line="440" w:lineRule="exact"/>
        <w:ind w:right="25" w:rightChars="12"/>
        <w:rPr>
          <w:rFonts w:ascii="宋体" w:hAnsi="宋体"/>
          <w:sz w:val="24"/>
          <w:szCs w:val="24"/>
        </w:rPr>
      </w:pPr>
      <w:r>
        <w:rPr>
          <w:rFonts w:hint="eastAsia" w:ascii="宋体" w:hAnsi="宋体"/>
          <w:sz w:val="24"/>
          <w:szCs w:val="24"/>
        </w:rPr>
        <w:t>(6)按照宣布的开标顺序当众开标。</w:t>
      </w:r>
    </w:p>
    <w:p w14:paraId="419DF2EC">
      <w:pPr>
        <w:spacing w:line="440" w:lineRule="exact"/>
        <w:ind w:right="25" w:rightChars="12"/>
        <w:rPr>
          <w:rFonts w:ascii="宋体" w:hAnsi="宋体"/>
          <w:sz w:val="24"/>
          <w:szCs w:val="24"/>
        </w:rPr>
      </w:pPr>
      <w:r>
        <w:rPr>
          <w:rFonts w:hint="eastAsia" w:ascii="宋体" w:hAnsi="宋体"/>
          <w:sz w:val="24"/>
          <w:szCs w:val="24"/>
        </w:rPr>
        <w:t>(7)供应商代表、采购人代表、监标人、记录人等有关人员在开标记录上签字确认。</w:t>
      </w:r>
    </w:p>
    <w:p w14:paraId="56C901C7">
      <w:pPr>
        <w:spacing w:line="440" w:lineRule="exact"/>
        <w:ind w:right="25" w:rightChars="12"/>
        <w:rPr>
          <w:rFonts w:ascii="宋体" w:hAnsi="宋体"/>
          <w:sz w:val="24"/>
          <w:szCs w:val="24"/>
        </w:rPr>
      </w:pPr>
      <w:r>
        <w:rPr>
          <w:rFonts w:hint="eastAsia" w:ascii="宋体" w:hAnsi="宋体"/>
          <w:sz w:val="24"/>
          <w:szCs w:val="24"/>
        </w:rPr>
        <w:t>(8)开标结束。</w:t>
      </w:r>
    </w:p>
    <w:p w14:paraId="2F8748F7">
      <w:pPr>
        <w:spacing w:line="360" w:lineRule="auto"/>
        <w:rPr>
          <w:rFonts w:ascii="宋体" w:hAnsi="宋体"/>
          <w:b/>
          <w:bCs/>
          <w:sz w:val="24"/>
          <w:szCs w:val="24"/>
        </w:rPr>
      </w:pPr>
      <w:r>
        <w:rPr>
          <w:rFonts w:hint="eastAsia" w:ascii="宋体" w:hAnsi="宋体"/>
          <w:b/>
          <w:bCs/>
          <w:sz w:val="24"/>
          <w:szCs w:val="24"/>
          <w:highlight w:val="white"/>
        </w:rPr>
        <w:t>22.竞争性磋商响应文件的澄清、说明或补正</w:t>
      </w:r>
    </w:p>
    <w:p w14:paraId="56CF6493">
      <w:pPr>
        <w:spacing w:line="360" w:lineRule="auto"/>
        <w:rPr>
          <w:rFonts w:ascii="宋体" w:hAnsi="宋体"/>
          <w:sz w:val="24"/>
          <w:szCs w:val="24"/>
        </w:rPr>
      </w:pPr>
      <w:r>
        <w:rPr>
          <w:rFonts w:hint="eastAsia" w:ascii="宋体" w:hAnsi="宋体"/>
          <w:sz w:val="24"/>
          <w:szCs w:val="24"/>
          <w:highlight w:val="white"/>
        </w:rPr>
        <w:t>22.1为有助于投标的审查、评价和比较，评标委员会可以书面方式要求磋商供应商对竞争性磋商响应文件中含义不明确、对同类问题表述不一致或者有明显文字和计算错误的内容作必要的澄清、说明或补正。澄清、说明或补正不得超出竞争性磋商响应文件的范围或改变竞争性磋商响应文件的实质性内容。</w:t>
      </w:r>
    </w:p>
    <w:p w14:paraId="2A463F6A">
      <w:pPr>
        <w:spacing w:line="360" w:lineRule="auto"/>
        <w:rPr>
          <w:rFonts w:ascii="宋体" w:hAnsi="宋体"/>
          <w:sz w:val="24"/>
          <w:szCs w:val="24"/>
        </w:rPr>
      </w:pPr>
      <w:r>
        <w:rPr>
          <w:rFonts w:hint="eastAsia" w:ascii="宋体" w:hAnsi="宋体"/>
          <w:sz w:val="24"/>
          <w:szCs w:val="24"/>
          <w:highlight w:val="white"/>
        </w:rPr>
        <w:t>22.2竞争性磋商响应文件中大写金额和小写金额不一致的，以大写金额为准；总价金额与按单价汇总金额不一致的，以单价金额计算结果为准；单价金额小数点有明显错位的，应以总价为准，并修改单价。</w:t>
      </w:r>
    </w:p>
    <w:p w14:paraId="6E67DEAE">
      <w:pPr>
        <w:spacing w:line="360" w:lineRule="auto"/>
        <w:rPr>
          <w:rFonts w:ascii="宋体" w:hAnsi="宋体"/>
          <w:sz w:val="24"/>
          <w:szCs w:val="24"/>
        </w:rPr>
      </w:pPr>
      <w:r>
        <w:rPr>
          <w:rFonts w:hint="eastAsia" w:ascii="宋体" w:hAnsi="宋体"/>
          <w:sz w:val="24"/>
          <w:szCs w:val="24"/>
          <w:highlight w:val="white"/>
        </w:rPr>
        <w:t>22.3开标一览表内容与竞争性磋商响应文件中明细表内容不一致的，以开标一览表为准。</w:t>
      </w:r>
    </w:p>
    <w:p w14:paraId="69DC5C0A">
      <w:pPr>
        <w:spacing w:line="360" w:lineRule="auto"/>
        <w:rPr>
          <w:rFonts w:ascii="宋体" w:hAnsi="宋体"/>
          <w:sz w:val="24"/>
          <w:szCs w:val="24"/>
        </w:rPr>
      </w:pPr>
      <w:r>
        <w:rPr>
          <w:rFonts w:hint="eastAsia" w:ascii="宋体" w:hAnsi="宋体"/>
          <w:sz w:val="24"/>
          <w:szCs w:val="24"/>
          <w:highlight w:val="white"/>
        </w:rPr>
        <w:t>22.4 如同时出现23.2条和23.3条所述的不一致情况，以开标一览表为准。</w:t>
      </w:r>
    </w:p>
    <w:p w14:paraId="2D134B83">
      <w:pPr>
        <w:spacing w:line="360" w:lineRule="auto"/>
        <w:rPr>
          <w:rFonts w:ascii="宋体" w:hAnsi="宋体"/>
          <w:b/>
          <w:bCs/>
          <w:sz w:val="24"/>
          <w:szCs w:val="24"/>
        </w:rPr>
      </w:pPr>
      <w:r>
        <w:rPr>
          <w:rFonts w:hint="eastAsia" w:ascii="宋体" w:hAnsi="宋体"/>
          <w:b/>
          <w:bCs/>
          <w:sz w:val="24"/>
          <w:szCs w:val="24"/>
          <w:highlight w:val="white"/>
        </w:rPr>
        <w:t>23.评标</w:t>
      </w:r>
    </w:p>
    <w:p w14:paraId="10AC7491">
      <w:pPr>
        <w:spacing w:line="360" w:lineRule="auto"/>
        <w:rPr>
          <w:rFonts w:ascii="宋体" w:hAnsi="宋体"/>
          <w:b/>
          <w:bCs/>
          <w:sz w:val="24"/>
          <w:szCs w:val="24"/>
        </w:rPr>
      </w:pPr>
      <w:r>
        <w:rPr>
          <w:rFonts w:hint="eastAsia" w:ascii="宋体" w:hAnsi="宋体"/>
          <w:sz w:val="24"/>
          <w:szCs w:val="24"/>
          <w:highlight w:val="white"/>
        </w:rPr>
        <w:t>23.1 磋商小组将按照竞争性磋商文件规定的评标办法对磋商供应商进行独立评审。</w:t>
      </w:r>
    </w:p>
    <w:p w14:paraId="26C17DB7">
      <w:pPr>
        <w:spacing w:line="360" w:lineRule="auto"/>
        <w:rPr>
          <w:rFonts w:ascii="宋体" w:hAnsi="宋体"/>
          <w:sz w:val="24"/>
          <w:szCs w:val="24"/>
        </w:rPr>
      </w:pPr>
      <w:r>
        <w:rPr>
          <w:rFonts w:hint="eastAsia" w:ascii="宋体" w:hAnsi="宋体"/>
          <w:sz w:val="24"/>
          <w:szCs w:val="24"/>
          <w:highlight w:val="white"/>
        </w:rPr>
        <w:t>23.2初审时，磋商小组将首先审查竞争性磋商响应文件是否实质上响应竞争性磋商文件的初审指标要求。实质上响应的投标应与竞争性磋商文件的全部条款、条件和规格相符，没有重大偏离或保留。所谓重大偏离或保留是指影响合同的服务范围、质量和性能等；或者在实质上与竞争性磋商文件不一致，而且限制了合同中买方的权利或磋商供应商的义务。这些偏离或保留将会对其他实质上响应要求的磋商供应商的竞争地位产生不公正的影响。磋商供应商不得通过修改或撤销不合要求的偏离或保留而使其投标成为响应性的投标。</w:t>
      </w:r>
    </w:p>
    <w:p w14:paraId="610E6743">
      <w:pPr>
        <w:spacing w:line="360" w:lineRule="auto"/>
        <w:rPr>
          <w:rFonts w:ascii="宋体" w:hAnsi="宋体"/>
          <w:sz w:val="24"/>
          <w:szCs w:val="24"/>
        </w:rPr>
      </w:pPr>
      <w:r>
        <w:rPr>
          <w:rFonts w:hint="eastAsia" w:ascii="宋体" w:hAnsi="宋体"/>
          <w:sz w:val="24"/>
          <w:szCs w:val="24"/>
          <w:highlight w:val="white"/>
        </w:rPr>
        <w:t>有下列情形之一的，评标委员会应当否决其投标：</w:t>
      </w:r>
    </w:p>
    <w:p w14:paraId="61EE8EC5">
      <w:pPr>
        <w:spacing w:line="360" w:lineRule="auto"/>
        <w:rPr>
          <w:rFonts w:ascii="宋体" w:hAnsi="宋体"/>
          <w:sz w:val="24"/>
          <w:szCs w:val="24"/>
        </w:rPr>
      </w:pPr>
      <w:r>
        <w:rPr>
          <w:rFonts w:hint="eastAsia" w:ascii="宋体" w:hAnsi="宋体"/>
          <w:sz w:val="24"/>
          <w:szCs w:val="24"/>
          <w:highlight w:val="white"/>
        </w:rPr>
        <w:t>23.2.1竞争性磋商响应文件未经投标单位盖章的；</w:t>
      </w:r>
    </w:p>
    <w:p w14:paraId="6DCCB4C8">
      <w:pPr>
        <w:spacing w:line="360" w:lineRule="auto"/>
        <w:rPr>
          <w:rFonts w:ascii="宋体" w:hAnsi="宋体"/>
          <w:sz w:val="24"/>
          <w:szCs w:val="24"/>
        </w:rPr>
      </w:pPr>
      <w:r>
        <w:rPr>
          <w:rFonts w:hint="eastAsia" w:ascii="宋体" w:hAnsi="宋体"/>
          <w:sz w:val="24"/>
          <w:szCs w:val="24"/>
          <w:highlight w:val="white"/>
        </w:rPr>
        <w:t>23.2.2投标联合体没有提交共同投标协议；</w:t>
      </w:r>
    </w:p>
    <w:p w14:paraId="730DF644">
      <w:pPr>
        <w:spacing w:line="360" w:lineRule="auto"/>
        <w:rPr>
          <w:rFonts w:ascii="宋体" w:hAnsi="宋体"/>
          <w:sz w:val="24"/>
          <w:szCs w:val="24"/>
        </w:rPr>
      </w:pPr>
      <w:r>
        <w:rPr>
          <w:rFonts w:hint="eastAsia" w:ascii="宋体" w:hAnsi="宋体"/>
          <w:sz w:val="24"/>
          <w:szCs w:val="24"/>
          <w:highlight w:val="white"/>
        </w:rPr>
        <w:t>23.2.3磋商供应商不符合国家或者竞争性磋商文件规定的资格条件；</w:t>
      </w:r>
    </w:p>
    <w:p w14:paraId="491051FF">
      <w:pPr>
        <w:spacing w:line="360" w:lineRule="auto"/>
        <w:rPr>
          <w:rFonts w:ascii="宋体" w:hAnsi="宋体"/>
          <w:sz w:val="24"/>
          <w:szCs w:val="24"/>
        </w:rPr>
      </w:pPr>
      <w:r>
        <w:rPr>
          <w:rFonts w:hint="eastAsia" w:ascii="宋体" w:hAnsi="宋体"/>
          <w:sz w:val="24"/>
          <w:szCs w:val="24"/>
          <w:highlight w:val="white"/>
        </w:rPr>
        <w:t>23.2.4同一磋商供应商提交两个以上不同的竞争性磋商响应文件或者投标报价（第一次），但竞争性磋商文件要求提交备选投标的除外；</w:t>
      </w:r>
    </w:p>
    <w:p w14:paraId="6E936609">
      <w:pPr>
        <w:spacing w:line="360" w:lineRule="auto"/>
        <w:rPr>
          <w:rFonts w:ascii="宋体" w:hAnsi="宋体"/>
          <w:sz w:val="24"/>
          <w:szCs w:val="24"/>
        </w:rPr>
      </w:pPr>
      <w:r>
        <w:rPr>
          <w:rFonts w:hint="eastAsia" w:ascii="宋体" w:hAnsi="宋体"/>
          <w:sz w:val="24"/>
          <w:szCs w:val="24"/>
          <w:highlight w:val="white"/>
        </w:rPr>
        <w:t>23.2.5投标报价低于成本或者高于竞争性磋商文件设定的最高投标限价（预算价）；</w:t>
      </w:r>
    </w:p>
    <w:p w14:paraId="50F7959E">
      <w:pPr>
        <w:spacing w:line="360" w:lineRule="auto"/>
        <w:rPr>
          <w:rFonts w:ascii="宋体" w:hAnsi="宋体"/>
          <w:sz w:val="24"/>
          <w:szCs w:val="24"/>
        </w:rPr>
      </w:pPr>
      <w:r>
        <w:rPr>
          <w:rFonts w:hint="eastAsia" w:ascii="宋体" w:hAnsi="宋体"/>
          <w:sz w:val="24"/>
          <w:szCs w:val="24"/>
          <w:highlight w:val="white"/>
        </w:rPr>
        <w:t>23.2.6竞争性磋商响应文件没有对竞争性磋商文件的实质性要求和条件作出响应；</w:t>
      </w:r>
    </w:p>
    <w:p w14:paraId="2A33FA48">
      <w:pPr>
        <w:spacing w:line="360" w:lineRule="auto"/>
        <w:rPr>
          <w:rFonts w:ascii="宋体" w:hAnsi="宋体"/>
          <w:sz w:val="24"/>
          <w:szCs w:val="24"/>
        </w:rPr>
      </w:pPr>
      <w:r>
        <w:rPr>
          <w:rFonts w:hint="eastAsia" w:ascii="宋体" w:hAnsi="宋体"/>
          <w:sz w:val="24"/>
          <w:szCs w:val="24"/>
          <w:highlight w:val="white"/>
        </w:rPr>
        <w:t>23.2.7磋商供应商有串通投标、弄虚作假、行贿等违法行为。</w:t>
      </w:r>
    </w:p>
    <w:p w14:paraId="0C32EFEE">
      <w:pPr>
        <w:spacing w:line="360" w:lineRule="auto"/>
        <w:rPr>
          <w:rFonts w:ascii="宋体" w:hAnsi="宋体"/>
          <w:sz w:val="24"/>
          <w:szCs w:val="24"/>
        </w:rPr>
      </w:pPr>
      <w:r>
        <w:rPr>
          <w:rFonts w:hint="eastAsia" w:ascii="宋体" w:hAnsi="宋体"/>
          <w:sz w:val="24"/>
          <w:szCs w:val="24"/>
          <w:highlight w:val="white"/>
        </w:rPr>
        <w:t>23.3评审时，磋商小组将审查竞争性磋商响应文件是否符合竞争性磋商文件的评审指标要求。</w:t>
      </w:r>
    </w:p>
    <w:p w14:paraId="6B9B8DEE">
      <w:pPr>
        <w:spacing w:line="360" w:lineRule="auto"/>
        <w:rPr>
          <w:rFonts w:ascii="宋体" w:hAnsi="宋体"/>
          <w:sz w:val="24"/>
          <w:szCs w:val="24"/>
        </w:rPr>
      </w:pPr>
      <w:r>
        <w:rPr>
          <w:rFonts w:hint="eastAsia" w:ascii="宋体" w:hAnsi="宋体"/>
          <w:sz w:val="24"/>
          <w:szCs w:val="24"/>
          <w:highlight w:val="white"/>
        </w:rPr>
        <w:t>23.4如果竞争性磋商响应文件未通过投标有效性评审，投标无效。</w:t>
      </w:r>
    </w:p>
    <w:p w14:paraId="0EB6D69F">
      <w:pPr>
        <w:spacing w:line="360" w:lineRule="auto"/>
        <w:rPr>
          <w:rFonts w:ascii="宋体" w:hAnsi="宋体"/>
          <w:sz w:val="24"/>
          <w:szCs w:val="24"/>
        </w:rPr>
      </w:pPr>
      <w:r>
        <w:rPr>
          <w:rFonts w:hint="eastAsia" w:ascii="宋体" w:hAnsi="宋体"/>
          <w:sz w:val="24"/>
          <w:szCs w:val="24"/>
          <w:highlight w:val="white"/>
        </w:rPr>
        <w:t>23.5磋商小组决定竞争性磋商响应文件的响应性及符合性只根据竞争性磋商响应文件本身的内容而不寻求其他外部证据。</w:t>
      </w:r>
    </w:p>
    <w:p w14:paraId="264FE8FF">
      <w:pPr>
        <w:spacing w:line="360" w:lineRule="auto"/>
        <w:rPr>
          <w:rFonts w:ascii="宋体" w:hAnsi="宋体"/>
          <w:b/>
          <w:bCs/>
          <w:sz w:val="24"/>
          <w:szCs w:val="24"/>
        </w:rPr>
      </w:pPr>
      <w:r>
        <w:rPr>
          <w:rFonts w:hint="eastAsia" w:ascii="宋体" w:hAnsi="宋体"/>
          <w:b/>
          <w:bCs/>
          <w:sz w:val="24"/>
          <w:szCs w:val="24"/>
          <w:highlight w:val="white"/>
        </w:rPr>
        <w:t>24.废标处理</w:t>
      </w:r>
    </w:p>
    <w:p w14:paraId="78781A8A">
      <w:pPr>
        <w:spacing w:line="360" w:lineRule="auto"/>
        <w:rPr>
          <w:rFonts w:ascii="宋体" w:hAnsi="宋体"/>
          <w:sz w:val="24"/>
          <w:szCs w:val="24"/>
        </w:rPr>
      </w:pPr>
      <w:r>
        <w:rPr>
          <w:rFonts w:hint="eastAsia" w:ascii="宋体" w:hAnsi="宋体"/>
          <w:sz w:val="24"/>
          <w:szCs w:val="24"/>
          <w:highlight w:val="white"/>
        </w:rPr>
        <w:t>24.1在竞争性磋商采购中，出现下列情形之一的，评标委员会有权宣布废标：</w:t>
      </w:r>
    </w:p>
    <w:p w14:paraId="03221688">
      <w:pPr>
        <w:spacing w:line="360" w:lineRule="auto"/>
        <w:rPr>
          <w:rFonts w:ascii="宋体" w:hAnsi="宋体"/>
          <w:sz w:val="24"/>
          <w:szCs w:val="24"/>
        </w:rPr>
      </w:pPr>
      <w:r>
        <w:rPr>
          <w:rFonts w:hint="eastAsia" w:ascii="宋体" w:hAnsi="宋体"/>
          <w:sz w:val="24"/>
          <w:szCs w:val="24"/>
          <w:highlight w:val="white"/>
        </w:rPr>
        <w:t>24.1.1磋商供应商的报价均超过采购预算，采购人不能支付的；</w:t>
      </w:r>
    </w:p>
    <w:p w14:paraId="5D9F9860">
      <w:pPr>
        <w:spacing w:line="360" w:lineRule="auto"/>
        <w:rPr>
          <w:rFonts w:ascii="宋体" w:hAnsi="宋体"/>
          <w:sz w:val="24"/>
          <w:szCs w:val="24"/>
        </w:rPr>
      </w:pPr>
      <w:r>
        <w:rPr>
          <w:rFonts w:hint="eastAsia" w:ascii="宋体" w:hAnsi="宋体"/>
          <w:sz w:val="24"/>
          <w:szCs w:val="24"/>
          <w:highlight w:val="white"/>
        </w:rPr>
        <w:t>24.1.2出现影响采购公正的违法、违规行为的；</w:t>
      </w:r>
    </w:p>
    <w:p w14:paraId="763F6C7B">
      <w:pPr>
        <w:spacing w:line="360" w:lineRule="auto"/>
        <w:rPr>
          <w:rFonts w:ascii="宋体" w:hAnsi="宋体"/>
          <w:sz w:val="24"/>
          <w:szCs w:val="24"/>
        </w:rPr>
      </w:pPr>
      <w:r>
        <w:rPr>
          <w:rFonts w:hint="eastAsia" w:ascii="宋体" w:hAnsi="宋体"/>
          <w:sz w:val="24"/>
          <w:szCs w:val="24"/>
          <w:highlight w:val="white"/>
        </w:rPr>
        <w:t>24.1.3因重大变故，采购任务取消的。</w:t>
      </w:r>
    </w:p>
    <w:p w14:paraId="711BA641">
      <w:pPr>
        <w:spacing w:line="360" w:lineRule="auto"/>
        <w:rPr>
          <w:rFonts w:ascii="宋体" w:hAnsi="宋体"/>
          <w:sz w:val="24"/>
          <w:szCs w:val="24"/>
        </w:rPr>
      </w:pPr>
      <w:r>
        <w:rPr>
          <w:rFonts w:hint="eastAsia" w:ascii="宋体" w:hAnsi="宋体"/>
          <w:sz w:val="24"/>
          <w:szCs w:val="24"/>
          <w:highlight w:val="white"/>
        </w:rPr>
        <w:t>24.1.4 其他应该废标的情形。</w:t>
      </w:r>
    </w:p>
    <w:p w14:paraId="66C447EE">
      <w:pPr>
        <w:spacing w:line="360" w:lineRule="auto"/>
        <w:rPr>
          <w:rFonts w:ascii="宋体" w:hAnsi="宋体"/>
          <w:sz w:val="24"/>
          <w:szCs w:val="24"/>
        </w:rPr>
      </w:pPr>
      <w:r>
        <w:rPr>
          <w:rFonts w:hint="eastAsia" w:ascii="宋体" w:hAnsi="宋体"/>
          <w:sz w:val="24"/>
          <w:szCs w:val="24"/>
          <w:highlight w:val="white"/>
        </w:rPr>
        <w:t>废标后，采购人会把废标理由通知所有磋商供应商。</w:t>
      </w:r>
    </w:p>
    <w:p w14:paraId="6390B91F">
      <w:pPr>
        <w:spacing w:line="360" w:lineRule="auto"/>
        <w:rPr>
          <w:rFonts w:ascii="宋体" w:hAnsi="宋体"/>
          <w:sz w:val="24"/>
          <w:szCs w:val="24"/>
        </w:rPr>
      </w:pPr>
      <w:r>
        <w:rPr>
          <w:rFonts w:hint="eastAsia" w:ascii="宋体" w:hAnsi="宋体"/>
          <w:sz w:val="24"/>
          <w:szCs w:val="24"/>
          <w:highlight w:val="white"/>
        </w:rPr>
        <w:t>24.2 因上条第一款、第二款规定情形导致废标的，若采购人提出申请，报经政府采购监督管理部门批准，可现场改为竞争性磋商，磋商供应商有下列情形之一的，不得参加磋商：</w:t>
      </w:r>
    </w:p>
    <w:p w14:paraId="7A423D03">
      <w:pPr>
        <w:spacing w:line="360" w:lineRule="auto"/>
        <w:rPr>
          <w:rFonts w:ascii="宋体" w:hAnsi="宋体"/>
          <w:sz w:val="24"/>
          <w:szCs w:val="24"/>
        </w:rPr>
      </w:pPr>
      <w:r>
        <w:rPr>
          <w:rFonts w:hint="eastAsia" w:ascii="宋体" w:hAnsi="宋体"/>
          <w:sz w:val="24"/>
          <w:szCs w:val="24"/>
          <w:highlight w:val="white"/>
        </w:rPr>
        <w:t>24.2.1购买标书后放弃参加投标的；</w:t>
      </w:r>
    </w:p>
    <w:p w14:paraId="4DA7ED5C">
      <w:pPr>
        <w:spacing w:line="360" w:lineRule="auto"/>
        <w:rPr>
          <w:rFonts w:ascii="宋体" w:hAnsi="宋体"/>
          <w:sz w:val="24"/>
          <w:szCs w:val="24"/>
        </w:rPr>
      </w:pPr>
      <w:r>
        <w:rPr>
          <w:rFonts w:hint="eastAsia" w:ascii="宋体" w:hAnsi="宋体"/>
          <w:sz w:val="24"/>
          <w:szCs w:val="24"/>
          <w:highlight w:val="white"/>
        </w:rPr>
        <w:t>24.2.2未经采购人和采购代理机构允许，离开开标现场通知不上的；</w:t>
      </w:r>
    </w:p>
    <w:p w14:paraId="3DFB2D03">
      <w:pPr>
        <w:spacing w:line="360" w:lineRule="auto"/>
        <w:rPr>
          <w:rFonts w:ascii="宋体" w:hAnsi="宋体"/>
          <w:sz w:val="24"/>
          <w:szCs w:val="24"/>
        </w:rPr>
      </w:pPr>
      <w:r>
        <w:rPr>
          <w:rFonts w:hint="eastAsia" w:ascii="宋体" w:hAnsi="宋体"/>
          <w:sz w:val="24"/>
          <w:szCs w:val="24"/>
          <w:highlight w:val="white"/>
        </w:rPr>
        <w:t>24.2.3不符合竞争性磋商文件列明的专业条件的；</w:t>
      </w:r>
    </w:p>
    <w:p w14:paraId="65DD41B2">
      <w:pPr>
        <w:spacing w:line="360" w:lineRule="auto"/>
        <w:rPr>
          <w:rFonts w:ascii="宋体" w:hAnsi="宋体"/>
          <w:sz w:val="24"/>
          <w:szCs w:val="24"/>
        </w:rPr>
      </w:pPr>
      <w:r>
        <w:rPr>
          <w:rFonts w:hint="eastAsia" w:ascii="宋体" w:hAnsi="宋体"/>
          <w:sz w:val="24"/>
          <w:szCs w:val="24"/>
          <w:highlight w:val="white"/>
        </w:rPr>
        <w:t>24.2.4未按规定交纳投标保证金的；</w:t>
      </w:r>
    </w:p>
    <w:p w14:paraId="4EF0E849">
      <w:pPr>
        <w:spacing w:line="360" w:lineRule="auto"/>
        <w:rPr>
          <w:rFonts w:ascii="宋体" w:hAnsi="宋体"/>
          <w:sz w:val="24"/>
          <w:szCs w:val="24"/>
        </w:rPr>
      </w:pPr>
      <w:r>
        <w:rPr>
          <w:rFonts w:hint="eastAsia" w:ascii="宋体" w:hAnsi="宋体"/>
          <w:sz w:val="24"/>
          <w:szCs w:val="24"/>
          <w:highlight w:val="white"/>
        </w:rPr>
        <w:t>24.2.5有影响采购公正的违法、违规行为造成项目废标的；</w:t>
      </w:r>
    </w:p>
    <w:p w14:paraId="2B53ECE6">
      <w:pPr>
        <w:spacing w:line="360" w:lineRule="auto"/>
        <w:rPr>
          <w:rFonts w:ascii="宋体" w:hAnsi="宋体"/>
          <w:sz w:val="24"/>
          <w:szCs w:val="24"/>
        </w:rPr>
      </w:pPr>
      <w:r>
        <w:rPr>
          <w:rFonts w:hint="eastAsia" w:ascii="宋体" w:hAnsi="宋体"/>
          <w:sz w:val="24"/>
          <w:szCs w:val="24"/>
          <w:highlight w:val="white"/>
        </w:rPr>
        <w:t>24.2.6其他不符合相关法律、法规的。</w:t>
      </w:r>
    </w:p>
    <w:p w14:paraId="7C7F1D23">
      <w:pPr>
        <w:pStyle w:val="6"/>
        <w:spacing w:line="240" w:lineRule="auto"/>
        <w:ind w:firstLine="628"/>
        <w:rPr>
          <w:rFonts w:hAnsi="宋体"/>
          <w:sz w:val="28"/>
          <w:szCs w:val="28"/>
        </w:rPr>
      </w:pPr>
      <w:bookmarkStart w:id="110" w:name="_Toc516969091"/>
      <w:bookmarkEnd w:id="110"/>
      <w:bookmarkStart w:id="111" w:name="_Toc407096155"/>
      <w:r>
        <w:rPr>
          <w:rFonts w:hint="eastAsia" w:hAnsi="宋体"/>
          <w:sz w:val="28"/>
          <w:szCs w:val="28"/>
          <w:highlight w:val="white"/>
        </w:rPr>
        <w:t>六．定标与签订合同</w:t>
      </w:r>
      <w:bookmarkEnd w:id="111"/>
    </w:p>
    <w:p w14:paraId="33C22D05">
      <w:pPr>
        <w:rPr>
          <w:rFonts w:ascii="宋体" w:hAnsi="宋体"/>
          <w:b/>
          <w:bCs/>
          <w:sz w:val="24"/>
          <w:szCs w:val="24"/>
        </w:rPr>
      </w:pPr>
      <w:r>
        <w:rPr>
          <w:rFonts w:hint="eastAsia" w:ascii="宋体" w:hAnsi="宋体"/>
          <w:b/>
          <w:bCs/>
          <w:sz w:val="24"/>
          <w:szCs w:val="24"/>
          <w:highlight w:val="white"/>
        </w:rPr>
        <w:t>25.定标</w:t>
      </w:r>
    </w:p>
    <w:p w14:paraId="7ED49208">
      <w:pPr>
        <w:spacing w:line="360" w:lineRule="auto"/>
        <w:rPr>
          <w:rFonts w:ascii="宋体" w:hAnsi="宋体"/>
          <w:sz w:val="24"/>
          <w:szCs w:val="24"/>
        </w:rPr>
      </w:pPr>
      <w:r>
        <w:rPr>
          <w:rFonts w:hint="eastAsia" w:ascii="宋体" w:hAnsi="宋体"/>
          <w:sz w:val="24"/>
          <w:szCs w:val="24"/>
          <w:highlight w:val="white"/>
        </w:rPr>
        <w:t>25.1 投标有效性评审后，磋商小组应当按竞争性磋商文件规定的标准和方法提出独立评审意见，推荐成交供应商。</w:t>
      </w:r>
    </w:p>
    <w:p w14:paraId="4C1DCB14">
      <w:pPr>
        <w:spacing w:line="360" w:lineRule="auto"/>
        <w:rPr>
          <w:rFonts w:ascii="宋体" w:hAnsi="宋体"/>
          <w:sz w:val="24"/>
          <w:szCs w:val="24"/>
        </w:rPr>
      </w:pPr>
      <w:r>
        <w:rPr>
          <w:rFonts w:hint="eastAsia" w:ascii="宋体" w:hAnsi="宋体"/>
          <w:sz w:val="24"/>
          <w:szCs w:val="24"/>
          <w:highlight w:val="white"/>
        </w:rPr>
        <w:t>25.2排名第一的成交供应商放弃中标、因不可抗力不能履行合同、不按照竞争性磋商文件要求提交履约保证金，或者被查实存在影响中标结果的违法行为等情形，不符合中标条件的，竞争性磋商人可以按照评标委员会提出的成交供应商候选人名单排序依次确定其他成交供应商候选人为成交供应商，也可以重新竞争性磋商。</w:t>
      </w:r>
    </w:p>
    <w:p w14:paraId="197FFAE5">
      <w:pPr>
        <w:spacing w:line="360" w:lineRule="auto"/>
        <w:rPr>
          <w:rFonts w:ascii="宋体" w:hAnsi="宋体"/>
          <w:sz w:val="24"/>
          <w:szCs w:val="24"/>
        </w:rPr>
      </w:pPr>
      <w:r>
        <w:rPr>
          <w:rFonts w:hint="eastAsia" w:ascii="宋体" w:hAnsi="宋体"/>
          <w:sz w:val="24"/>
          <w:szCs w:val="24"/>
          <w:highlight w:val="white"/>
        </w:rPr>
        <w:t>25.3原则上把合同授予实质上响应竞争性磋商文件要求的排名最前的成交供应商候选人或通过上条资格审查的成交供应商候选人。</w:t>
      </w:r>
    </w:p>
    <w:p w14:paraId="4AFF3CD2">
      <w:pPr>
        <w:spacing w:line="360" w:lineRule="auto"/>
        <w:rPr>
          <w:rFonts w:ascii="宋体" w:hAnsi="宋体"/>
          <w:sz w:val="24"/>
          <w:szCs w:val="24"/>
        </w:rPr>
      </w:pPr>
      <w:r>
        <w:rPr>
          <w:rFonts w:hint="eastAsia" w:ascii="宋体" w:hAnsi="宋体"/>
          <w:sz w:val="24"/>
          <w:szCs w:val="24"/>
          <w:highlight w:val="white"/>
        </w:rPr>
        <w:t>25.4 最低报价并不是被授予合同的保证。</w:t>
      </w:r>
    </w:p>
    <w:p w14:paraId="72E191A2">
      <w:pPr>
        <w:spacing w:line="360" w:lineRule="auto"/>
        <w:rPr>
          <w:rFonts w:ascii="宋体" w:hAnsi="宋体"/>
          <w:sz w:val="24"/>
          <w:szCs w:val="24"/>
        </w:rPr>
      </w:pPr>
      <w:r>
        <w:rPr>
          <w:rFonts w:hint="eastAsia" w:ascii="宋体" w:hAnsi="宋体"/>
          <w:sz w:val="24"/>
          <w:szCs w:val="24"/>
          <w:highlight w:val="white"/>
        </w:rPr>
        <w:t>25.5 凡发现成交供应商有下列行为之一的，其中标无效，并移交政府采购监督管理部门依法处理：</w:t>
      </w:r>
    </w:p>
    <w:p w14:paraId="558BE853">
      <w:pPr>
        <w:spacing w:line="360" w:lineRule="auto"/>
        <w:rPr>
          <w:rFonts w:ascii="宋体" w:hAnsi="宋体"/>
          <w:sz w:val="24"/>
          <w:szCs w:val="24"/>
        </w:rPr>
      </w:pPr>
      <w:r>
        <w:rPr>
          <w:rFonts w:hint="eastAsia" w:ascii="宋体" w:hAnsi="宋体"/>
          <w:sz w:val="24"/>
          <w:szCs w:val="24"/>
          <w:highlight w:val="white"/>
        </w:rPr>
        <w:t>25.5.1 以他人名义投标、或提供虚假材料弄虚作假谋取中标的；</w:t>
      </w:r>
    </w:p>
    <w:p w14:paraId="529959BF">
      <w:pPr>
        <w:spacing w:line="360" w:lineRule="auto"/>
        <w:rPr>
          <w:rFonts w:ascii="宋体" w:hAnsi="宋体"/>
          <w:sz w:val="24"/>
          <w:szCs w:val="24"/>
        </w:rPr>
      </w:pPr>
      <w:r>
        <w:rPr>
          <w:rFonts w:hint="eastAsia" w:ascii="宋体" w:hAnsi="宋体"/>
          <w:sz w:val="24"/>
          <w:szCs w:val="24"/>
          <w:highlight w:val="white"/>
        </w:rPr>
        <w:t>25.5.1.1以他人名义投标，是指使用通过受让或者租借等方式获取的资格、资质证书投标。</w:t>
      </w:r>
    </w:p>
    <w:p w14:paraId="1CF96C1B">
      <w:pPr>
        <w:spacing w:line="360" w:lineRule="auto"/>
        <w:rPr>
          <w:rFonts w:ascii="宋体" w:hAnsi="宋体"/>
          <w:sz w:val="24"/>
          <w:szCs w:val="24"/>
        </w:rPr>
      </w:pPr>
      <w:r>
        <w:rPr>
          <w:rFonts w:hint="eastAsia" w:ascii="宋体" w:hAnsi="宋体"/>
          <w:sz w:val="24"/>
          <w:szCs w:val="24"/>
          <w:highlight w:val="white"/>
        </w:rPr>
        <w:t>25.5.1.2有磋商供应商有下列情形之一的，属于弄虚作假的行为：</w:t>
      </w:r>
    </w:p>
    <w:p w14:paraId="5E109D98">
      <w:pPr>
        <w:spacing w:line="360" w:lineRule="auto"/>
        <w:rPr>
          <w:rFonts w:ascii="宋体" w:hAnsi="宋体"/>
          <w:sz w:val="24"/>
          <w:szCs w:val="24"/>
        </w:rPr>
      </w:pPr>
      <w:r>
        <w:rPr>
          <w:rFonts w:hint="eastAsia" w:ascii="宋体" w:hAnsi="宋体"/>
          <w:sz w:val="24"/>
          <w:szCs w:val="24"/>
          <w:highlight w:val="white"/>
        </w:rPr>
        <w:t>25.5.1.2.1使用伪造、变造的许可证件；</w:t>
      </w:r>
    </w:p>
    <w:p w14:paraId="484324F1">
      <w:pPr>
        <w:spacing w:line="360" w:lineRule="auto"/>
        <w:rPr>
          <w:rFonts w:ascii="宋体" w:hAnsi="宋体"/>
          <w:sz w:val="24"/>
          <w:szCs w:val="24"/>
        </w:rPr>
      </w:pPr>
      <w:r>
        <w:rPr>
          <w:rFonts w:hint="eastAsia" w:ascii="宋体" w:hAnsi="宋体"/>
          <w:sz w:val="24"/>
          <w:szCs w:val="24"/>
          <w:highlight w:val="white"/>
        </w:rPr>
        <w:t>25.5.1.2.2提供虚假的财务状况或者业绩；</w:t>
      </w:r>
    </w:p>
    <w:p w14:paraId="586FF696">
      <w:pPr>
        <w:spacing w:line="360" w:lineRule="auto"/>
        <w:rPr>
          <w:rFonts w:ascii="宋体" w:hAnsi="宋体"/>
          <w:sz w:val="24"/>
          <w:szCs w:val="24"/>
        </w:rPr>
      </w:pPr>
      <w:r>
        <w:rPr>
          <w:rFonts w:hint="eastAsia" w:ascii="宋体" w:hAnsi="宋体"/>
          <w:sz w:val="24"/>
          <w:szCs w:val="24"/>
          <w:highlight w:val="white"/>
        </w:rPr>
        <w:t>25.5.1.2.3提供虚假的项目负责人或者主要技术人员简历；</w:t>
      </w:r>
    </w:p>
    <w:p w14:paraId="761DF201">
      <w:pPr>
        <w:spacing w:line="360" w:lineRule="auto"/>
        <w:rPr>
          <w:rFonts w:ascii="宋体" w:hAnsi="宋体"/>
          <w:sz w:val="24"/>
          <w:szCs w:val="24"/>
        </w:rPr>
      </w:pPr>
      <w:r>
        <w:rPr>
          <w:rFonts w:hint="eastAsia" w:ascii="宋体" w:hAnsi="宋体"/>
          <w:sz w:val="24"/>
          <w:szCs w:val="24"/>
          <w:highlight w:val="white"/>
        </w:rPr>
        <w:t>25.5.1.2.4提供虚假的信用状况；</w:t>
      </w:r>
    </w:p>
    <w:p w14:paraId="21CE09A5">
      <w:pPr>
        <w:spacing w:line="360" w:lineRule="auto"/>
        <w:rPr>
          <w:rFonts w:ascii="宋体" w:hAnsi="宋体"/>
          <w:sz w:val="24"/>
          <w:szCs w:val="24"/>
        </w:rPr>
      </w:pPr>
      <w:r>
        <w:rPr>
          <w:rFonts w:hint="eastAsia" w:ascii="宋体" w:hAnsi="宋体"/>
          <w:sz w:val="24"/>
          <w:szCs w:val="24"/>
          <w:highlight w:val="white"/>
        </w:rPr>
        <w:t>25.5.1.2.5其他弄虚作假的行为。</w:t>
      </w:r>
    </w:p>
    <w:p w14:paraId="52837B30">
      <w:pPr>
        <w:spacing w:line="360" w:lineRule="auto"/>
        <w:rPr>
          <w:rFonts w:ascii="宋体" w:hAnsi="宋体"/>
          <w:sz w:val="24"/>
          <w:szCs w:val="24"/>
        </w:rPr>
      </w:pPr>
      <w:r>
        <w:rPr>
          <w:rFonts w:hint="eastAsia" w:ascii="宋体" w:hAnsi="宋体"/>
          <w:sz w:val="24"/>
          <w:szCs w:val="24"/>
          <w:highlight w:val="white"/>
        </w:rPr>
        <w:t>25.5.2与采购人、其他供应商或者采购人工作人员恶意串通的；</w:t>
      </w:r>
    </w:p>
    <w:p w14:paraId="7683920F">
      <w:pPr>
        <w:spacing w:line="360" w:lineRule="auto"/>
        <w:rPr>
          <w:rFonts w:ascii="宋体" w:hAnsi="宋体"/>
          <w:sz w:val="24"/>
          <w:szCs w:val="24"/>
        </w:rPr>
      </w:pPr>
      <w:r>
        <w:rPr>
          <w:rFonts w:hint="eastAsia" w:ascii="宋体" w:hAnsi="宋体"/>
          <w:sz w:val="24"/>
          <w:szCs w:val="24"/>
          <w:highlight w:val="white"/>
        </w:rPr>
        <w:t>25.5.3向采购人、评审专家、采购人工作人员行贿或者提供其他不正当利益的；</w:t>
      </w:r>
    </w:p>
    <w:p w14:paraId="029E2A7A">
      <w:pPr>
        <w:spacing w:line="360" w:lineRule="auto"/>
        <w:rPr>
          <w:rFonts w:ascii="宋体" w:hAnsi="宋体"/>
          <w:sz w:val="24"/>
          <w:szCs w:val="24"/>
        </w:rPr>
      </w:pPr>
      <w:r>
        <w:rPr>
          <w:rFonts w:hint="eastAsia" w:ascii="宋体" w:hAnsi="宋体"/>
          <w:sz w:val="24"/>
          <w:szCs w:val="24"/>
          <w:highlight w:val="white"/>
        </w:rPr>
        <w:t>25.5.4有法律、法规规定的其他损害采购人利益和社会公共利益情形的；</w:t>
      </w:r>
    </w:p>
    <w:p w14:paraId="5AC51BC4">
      <w:pPr>
        <w:spacing w:line="360" w:lineRule="auto"/>
        <w:rPr>
          <w:rFonts w:ascii="宋体" w:hAnsi="宋体"/>
          <w:sz w:val="24"/>
          <w:szCs w:val="24"/>
        </w:rPr>
      </w:pPr>
      <w:r>
        <w:rPr>
          <w:rFonts w:hint="eastAsia" w:ascii="宋体" w:hAnsi="宋体"/>
          <w:sz w:val="24"/>
          <w:szCs w:val="24"/>
          <w:highlight w:val="white"/>
        </w:rPr>
        <w:t>25.5.5其他违反招投标法律、法规和规章强制性规定的行为。</w:t>
      </w:r>
    </w:p>
    <w:p w14:paraId="6FC896FF">
      <w:pPr>
        <w:spacing w:line="360" w:lineRule="auto"/>
        <w:rPr>
          <w:rFonts w:ascii="宋体" w:hAnsi="宋体"/>
          <w:sz w:val="24"/>
          <w:szCs w:val="24"/>
        </w:rPr>
      </w:pPr>
      <w:r>
        <w:rPr>
          <w:rFonts w:hint="eastAsia" w:ascii="宋体" w:hAnsi="宋体"/>
          <w:sz w:val="24"/>
          <w:szCs w:val="24"/>
          <w:highlight w:val="white"/>
        </w:rPr>
        <w:t>25.6采购人在淮南经济技术开发区管理委员会网站上发布评审结果公告，时间为一个工作日。</w:t>
      </w:r>
    </w:p>
    <w:p w14:paraId="140C498A">
      <w:pPr>
        <w:spacing w:line="360" w:lineRule="auto"/>
        <w:rPr>
          <w:rFonts w:ascii="宋体" w:hAnsi="宋体"/>
          <w:b/>
          <w:bCs/>
          <w:sz w:val="24"/>
          <w:szCs w:val="24"/>
        </w:rPr>
      </w:pPr>
      <w:r>
        <w:rPr>
          <w:rFonts w:hint="eastAsia" w:ascii="宋体" w:hAnsi="宋体"/>
          <w:b/>
          <w:bCs/>
          <w:sz w:val="24"/>
          <w:szCs w:val="24"/>
          <w:highlight w:val="white"/>
        </w:rPr>
        <w:t>26.中标通知书</w:t>
      </w:r>
    </w:p>
    <w:p w14:paraId="11C889A8">
      <w:pPr>
        <w:spacing w:line="360" w:lineRule="auto"/>
        <w:rPr>
          <w:rFonts w:ascii="宋体" w:hAnsi="宋体"/>
          <w:sz w:val="24"/>
          <w:szCs w:val="24"/>
        </w:rPr>
      </w:pPr>
      <w:r>
        <w:rPr>
          <w:rFonts w:hint="eastAsia" w:ascii="宋体" w:hAnsi="宋体"/>
          <w:sz w:val="24"/>
          <w:szCs w:val="24"/>
          <w:highlight w:val="white"/>
        </w:rPr>
        <w:t>26.1采购人将以中标通知书形式通知中标成交供应商，其投标已被接受。</w:t>
      </w:r>
    </w:p>
    <w:p w14:paraId="5677161C">
      <w:pPr>
        <w:spacing w:line="360" w:lineRule="auto"/>
        <w:rPr>
          <w:rFonts w:ascii="宋体" w:hAnsi="宋体"/>
          <w:sz w:val="24"/>
          <w:szCs w:val="24"/>
        </w:rPr>
      </w:pPr>
      <w:r>
        <w:rPr>
          <w:rFonts w:hint="eastAsia" w:ascii="宋体" w:hAnsi="宋体"/>
          <w:sz w:val="24"/>
          <w:szCs w:val="24"/>
          <w:highlight w:val="white"/>
        </w:rPr>
        <w:t>26.2采购人对未中标的磋商供应商不做未中标原因的解释。</w:t>
      </w:r>
    </w:p>
    <w:p w14:paraId="47B24CCA">
      <w:pPr>
        <w:spacing w:line="360" w:lineRule="auto"/>
        <w:rPr>
          <w:rFonts w:ascii="宋体" w:hAnsi="宋体"/>
          <w:b/>
          <w:bCs/>
          <w:sz w:val="24"/>
          <w:szCs w:val="24"/>
        </w:rPr>
      </w:pPr>
      <w:r>
        <w:rPr>
          <w:rFonts w:hint="eastAsia" w:ascii="宋体" w:hAnsi="宋体"/>
          <w:b/>
          <w:bCs/>
          <w:sz w:val="24"/>
          <w:szCs w:val="24"/>
          <w:highlight w:val="white"/>
        </w:rPr>
        <w:t>27.中标服务费</w:t>
      </w:r>
    </w:p>
    <w:p w14:paraId="36C08887">
      <w:pPr>
        <w:spacing w:line="360" w:lineRule="auto"/>
        <w:rPr>
          <w:rFonts w:ascii="宋体" w:hAnsi="宋体"/>
          <w:sz w:val="18"/>
          <w:szCs w:val="18"/>
        </w:rPr>
      </w:pPr>
      <w:r>
        <w:rPr>
          <w:rFonts w:hint="eastAsia" w:ascii="宋体" w:hAnsi="宋体"/>
          <w:sz w:val="24"/>
          <w:szCs w:val="24"/>
          <w:highlight w:val="white"/>
        </w:rPr>
        <w:t>27.1成交供应商在领取中标通知书前应向采购代理机构缴纳中标服务费。</w:t>
      </w:r>
    </w:p>
    <w:p w14:paraId="03CFB995">
      <w:pPr>
        <w:wordWrap w:val="0"/>
        <w:spacing w:line="360" w:lineRule="auto"/>
        <w:rPr>
          <w:rFonts w:ascii="宋体" w:hAnsi="宋体"/>
          <w:sz w:val="24"/>
          <w:szCs w:val="24"/>
        </w:rPr>
      </w:pPr>
      <w:r>
        <w:rPr>
          <w:rFonts w:hint="eastAsia" w:ascii="宋体" w:hAnsi="宋体"/>
          <w:sz w:val="24"/>
          <w:szCs w:val="24"/>
          <w:highlight w:val="white"/>
        </w:rPr>
        <w:t>27.2磋商供应商须知前附表约定收取定额服务费或免收服务费的，从其规定。</w:t>
      </w:r>
    </w:p>
    <w:p w14:paraId="340B68E7">
      <w:pPr>
        <w:spacing w:line="360" w:lineRule="auto"/>
        <w:rPr>
          <w:rFonts w:ascii="宋体" w:hAnsi="宋体"/>
          <w:b/>
          <w:bCs/>
          <w:sz w:val="24"/>
          <w:szCs w:val="24"/>
        </w:rPr>
      </w:pPr>
      <w:r>
        <w:rPr>
          <w:rFonts w:hint="eastAsia" w:ascii="宋体" w:hAnsi="宋体"/>
          <w:b/>
          <w:bCs/>
          <w:sz w:val="24"/>
          <w:szCs w:val="24"/>
          <w:highlight w:val="white"/>
        </w:rPr>
        <w:t>28.履约保证金</w:t>
      </w:r>
    </w:p>
    <w:p w14:paraId="7E7DDC7F">
      <w:pPr>
        <w:spacing w:line="360" w:lineRule="auto"/>
        <w:rPr>
          <w:rFonts w:ascii="宋体" w:hAnsi="宋体"/>
          <w:sz w:val="24"/>
          <w:szCs w:val="24"/>
        </w:rPr>
      </w:pPr>
      <w:r>
        <w:rPr>
          <w:rFonts w:hint="eastAsia" w:ascii="宋体" w:hAnsi="宋体"/>
          <w:sz w:val="24"/>
          <w:szCs w:val="24"/>
          <w:highlight w:val="white"/>
        </w:rPr>
        <w:t>28.1签订合同前，成交供应商应提交履约保证金。履约保证金金额、收受方式及收受人见磋商供应商须知前附表规定。</w:t>
      </w:r>
    </w:p>
    <w:p w14:paraId="4CC36EF6">
      <w:pPr>
        <w:spacing w:line="360" w:lineRule="auto"/>
        <w:rPr>
          <w:rFonts w:ascii="宋体" w:hAnsi="宋体"/>
          <w:sz w:val="24"/>
          <w:szCs w:val="24"/>
        </w:rPr>
      </w:pPr>
      <w:r>
        <w:rPr>
          <w:rFonts w:hint="eastAsia" w:ascii="宋体" w:hAnsi="宋体"/>
          <w:sz w:val="24"/>
          <w:szCs w:val="24"/>
          <w:highlight w:val="white"/>
        </w:rPr>
        <w:t>28.2磋商供应商须知前附表约定收取定额履约保证金或免收履约保证金的，从其规定。</w:t>
      </w:r>
    </w:p>
    <w:p w14:paraId="2EA2AACC">
      <w:pPr>
        <w:spacing w:line="360" w:lineRule="auto"/>
        <w:rPr>
          <w:rFonts w:hint="eastAsia" w:ascii="宋体" w:hAnsi="宋体"/>
          <w:sz w:val="24"/>
          <w:szCs w:val="24"/>
          <w:highlight w:val="white"/>
        </w:rPr>
      </w:pPr>
      <w:r>
        <w:rPr>
          <w:rFonts w:hint="eastAsia" w:ascii="宋体" w:hAnsi="宋体"/>
          <w:sz w:val="24"/>
          <w:szCs w:val="24"/>
          <w:highlight w:val="white"/>
        </w:rPr>
        <w:t>28.3如果成交供应商未按规定交纳履约保证金，采购人有权取消该授标，并没收其投标保证金。在此情况下采购人可将该标授予其下一个成交供应商候选人，或重新竞争性磋商。</w:t>
      </w:r>
    </w:p>
    <w:p w14:paraId="588C9815">
      <w:pPr>
        <w:spacing w:line="360" w:lineRule="auto"/>
        <w:rPr>
          <w:rFonts w:ascii="宋体" w:hAnsi="宋体"/>
          <w:b/>
          <w:bCs/>
          <w:sz w:val="24"/>
          <w:szCs w:val="24"/>
        </w:rPr>
      </w:pPr>
      <w:r>
        <w:rPr>
          <w:rFonts w:hint="eastAsia" w:ascii="宋体" w:hAnsi="宋体"/>
          <w:b/>
          <w:bCs/>
          <w:sz w:val="24"/>
          <w:szCs w:val="24"/>
          <w:highlight w:val="white"/>
        </w:rPr>
        <w:t>29.签订合同</w:t>
      </w:r>
    </w:p>
    <w:p w14:paraId="66FEE184">
      <w:pPr>
        <w:spacing w:line="360" w:lineRule="auto"/>
        <w:rPr>
          <w:rFonts w:ascii="宋体" w:hAnsi="宋体"/>
          <w:sz w:val="24"/>
          <w:szCs w:val="24"/>
        </w:rPr>
      </w:pPr>
      <w:r>
        <w:rPr>
          <w:rFonts w:hint="eastAsia" w:ascii="宋体" w:hAnsi="宋体"/>
          <w:sz w:val="24"/>
          <w:szCs w:val="24"/>
          <w:highlight w:val="white"/>
        </w:rPr>
        <w:t>29.1成交供应商在中标通知书发出之日起三十日内（具体时间、地点见中标通知书）与采购人签订合同。竞争性磋商文件、成交供应商的竞争性磋商响应及澄清文件等，均作为合同的附件。合同签订前成交供应商应向采购人出示中标服务费和履约保证金缴纳证明。</w:t>
      </w:r>
    </w:p>
    <w:p w14:paraId="0B6CA76C">
      <w:pPr>
        <w:spacing w:line="360" w:lineRule="auto"/>
        <w:rPr>
          <w:rFonts w:ascii="宋体" w:hAnsi="宋体"/>
          <w:sz w:val="24"/>
          <w:szCs w:val="24"/>
        </w:rPr>
      </w:pPr>
      <w:r>
        <w:rPr>
          <w:rFonts w:hint="eastAsia" w:ascii="宋体" w:hAnsi="宋体"/>
          <w:sz w:val="24"/>
          <w:szCs w:val="24"/>
          <w:highlight w:val="white"/>
        </w:rPr>
        <w:t>29.2 采购双方必须严格按照竞争性磋商文件、竞争性磋商响应文件及有关承诺签订采购合同，不得擅自变更。合同的标的、价款、质量、履行期限等主要条款应当与竞争性磋商文件和成交供应商的竞争性磋商响应文件的内容一致，竞争性磋商人和成交供应商不得再行订立背离合同实质性内容的其他协议。对任何因双方擅自变更合同引起的问题采购人概不负责，合同风险由双方自行承担。</w:t>
      </w:r>
    </w:p>
    <w:p w14:paraId="44B69349">
      <w:pPr>
        <w:spacing w:line="360" w:lineRule="auto"/>
        <w:rPr>
          <w:rFonts w:ascii="宋体" w:hAnsi="宋体"/>
          <w:sz w:val="24"/>
          <w:szCs w:val="24"/>
        </w:rPr>
      </w:pPr>
      <w:r>
        <w:rPr>
          <w:rFonts w:hint="eastAsia" w:ascii="宋体" w:hAnsi="宋体"/>
          <w:sz w:val="24"/>
          <w:szCs w:val="24"/>
          <w:highlight w:val="white"/>
        </w:rPr>
        <w:t>29.3采购人保留以书面形式要求合同的卖方对其所投服务细则等作适当调整的权利。</w:t>
      </w:r>
    </w:p>
    <w:p w14:paraId="4EF37DFA">
      <w:pPr>
        <w:spacing w:line="360" w:lineRule="auto"/>
        <w:rPr>
          <w:rFonts w:ascii="宋体" w:hAnsi="宋体"/>
          <w:sz w:val="24"/>
          <w:szCs w:val="24"/>
        </w:rPr>
      </w:pPr>
      <w:r>
        <w:rPr>
          <w:rFonts w:hint="eastAsia" w:ascii="宋体" w:hAnsi="宋体"/>
          <w:sz w:val="24"/>
          <w:szCs w:val="24"/>
          <w:highlight w:val="white"/>
        </w:rPr>
        <w:t>29.4无论何种原因，各项本应作拒绝处理的情形即便未被及时发现而使该磋商供应商进入初审、详细评审或其它后续程序，包括已经签约的情形，一旦在任何时间被发现，采购人均有权决定是否取消该供应商此前评议的结果或是否对该报价予以拒绝，并有权采取相应的补救或纠正措施。一旦该磋商供应商被拒绝或被取消此前评议结果，其现有的位置将被其他磋商供应商依序替代或重新组织采购，相关的一切损失均由该磋商供应商自行承担。</w:t>
      </w:r>
    </w:p>
    <w:p w14:paraId="0ADED6A8">
      <w:pPr>
        <w:spacing w:line="360" w:lineRule="auto"/>
        <w:rPr>
          <w:rFonts w:ascii="宋体" w:hAnsi="宋体"/>
          <w:sz w:val="24"/>
          <w:szCs w:val="24"/>
        </w:rPr>
      </w:pPr>
      <w:r>
        <w:rPr>
          <w:rFonts w:hint="eastAsia" w:ascii="宋体" w:hAnsi="宋体"/>
          <w:b/>
          <w:bCs/>
          <w:sz w:val="24"/>
          <w:szCs w:val="24"/>
          <w:highlight w:val="white"/>
        </w:rPr>
        <w:t>30.验收</w:t>
      </w:r>
    </w:p>
    <w:p w14:paraId="788FB610">
      <w:pPr>
        <w:spacing w:line="360" w:lineRule="auto"/>
        <w:rPr>
          <w:rFonts w:ascii="宋体" w:hAnsi="宋体"/>
          <w:sz w:val="24"/>
          <w:szCs w:val="24"/>
        </w:rPr>
      </w:pPr>
      <w:r>
        <w:rPr>
          <w:rFonts w:hint="eastAsia" w:ascii="宋体" w:hAnsi="宋体"/>
          <w:sz w:val="24"/>
          <w:szCs w:val="24"/>
          <w:highlight w:val="white"/>
        </w:rPr>
        <w:t>30.1采购人验收时，应成立验收小组，明确责任，严格依照竞争性磋商文件、中标通知书、政府采购合同及相关验收规范进行核对、验收，形成验收结论，并出具书面验收报告。</w:t>
      </w:r>
    </w:p>
    <w:p w14:paraId="7AB99D20">
      <w:pPr>
        <w:spacing w:line="360" w:lineRule="auto"/>
        <w:rPr>
          <w:rFonts w:ascii="宋体" w:hAnsi="宋体"/>
          <w:sz w:val="24"/>
          <w:szCs w:val="24"/>
        </w:rPr>
      </w:pPr>
      <w:r>
        <w:rPr>
          <w:rFonts w:hint="eastAsia" w:ascii="宋体" w:hAnsi="宋体"/>
          <w:sz w:val="24"/>
          <w:szCs w:val="24"/>
          <w:highlight w:val="white"/>
        </w:rPr>
        <w:t>30.2涉及安全、消防、环保等其他需要由质检或行业主管部门进行验收的项目，必须邀请相关部门或相关专家参与验收。</w:t>
      </w:r>
    </w:p>
    <w:p w14:paraId="55D95467">
      <w:pPr>
        <w:spacing w:line="360" w:lineRule="auto"/>
        <w:rPr>
          <w:rFonts w:ascii="宋体" w:hAnsi="宋体"/>
          <w:sz w:val="24"/>
          <w:szCs w:val="24"/>
        </w:rPr>
      </w:pPr>
      <w:r>
        <w:rPr>
          <w:rFonts w:hint="eastAsia" w:ascii="宋体" w:hAnsi="宋体"/>
          <w:sz w:val="24"/>
          <w:szCs w:val="24"/>
          <w:highlight w:val="white"/>
        </w:rPr>
        <w:t>30.3检测、验收费用均由合同乙方（成交供应商）承担。</w:t>
      </w:r>
    </w:p>
    <w:p w14:paraId="297CF88F">
      <w:pPr>
        <w:spacing w:line="360" w:lineRule="auto"/>
        <w:rPr>
          <w:rFonts w:ascii="宋体" w:hAnsi="宋体"/>
          <w:b/>
          <w:bCs/>
          <w:sz w:val="24"/>
          <w:szCs w:val="24"/>
        </w:rPr>
      </w:pPr>
      <w:r>
        <w:rPr>
          <w:rFonts w:hint="eastAsia" w:ascii="宋体" w:hAnsi="宋体"/>
          <w:b/>
          <w:bCs/>
          <w:sz w:val="24"/>
          <w:szCs w:val="24"/>
          <w:highlight w:val="white"/>
        </w:rPr>
        <w:t>31.未尽事宜</w:t>
      </w:r>
    </w:p>
    <w:p w14:paraId="529AB602">
      <w:pPr>
        <w:spacing w:line="360" w:lineRule="auto"/>
        <w:rPr>
          <w:rFonts w:ascii="宋体" w:hAnsi="宋体"/>
          <w:sz w:val="24"/>
          <w:szCs w:val="24"/>
        </w:rPr>
      </w:pPr>
      <w:r>
        <w:rPr>
          <w:rFonts w:hint="eastAsia" w:ascii="宋体" w:hAnsi="宋体"/>
          <w:sz w:val="24"/>
          <w:szCs w:val="24"/>
          <w:highlight w:val="white"/>
        </w:rPr>
        <w:t>31.1按《中华人民共和国政府采购法》及其他有关法律法规的规定执行。</w:t>
      </w:r>
    </w:p>
    <w:p w14:paraId="7499B8F9">
      <w:pPr>
        <w:spacing w:line="360" w:lineRule="auto"/>
        <w:rPr>
          <w:rFonts w:ascii="宋体" w:hAnsi="宋体"/>
          <w:sz w:val="24"/>
          <w:szCs w:val="24"/>
        </w:rPr>
      </w:pPr>
      <w:r>
        <w:rPr>
          <w:rFonts w:hint="eastAsia" w:ascii="宋体" w:hAnsi="宋体"/>
          <w:b/>
          <w:bCs/>
          <w:sz w:val="24"/>
          <w:szCs w:val="24"/>
          <w:highlight w:val="white"/>
        </w:rPr>
        <w:t>32.解释权</w:t>
      </w:r>
    </w:p>
    <w:p w14:paraId="6C39913A">
      <w:pPr>
        <w:spacing w:line="360" w:lineRule="auto"/>
        <w:rPr>
          <w:rFonts w:hint="eastAsia" w:ascii="宋体" w:hAnsi="宋体"/>
          <w:sz w:val="24"/>
          <w:szCs w:val="24"/>
        </w:rPr>
      </w:pPr>
      <w:r>
        <w:rPr>
          <w:rFonts w:hint="eastAsia" w:ascii="宋体" w:hAnsi="宋体"/>
          <w:sz w:val="24"/>
          <w:szCs w:val="24"/>
          <w:highlight w:val="white"/>
        </w:rPr>
        <w:t>32.1本竞争性磋商文件的解释权属于采购人。</w:t>
      </w:r>
    </w:p>
    <w:p w14:paraId="2B28575B">
      <w:pPr>
        <w:pStyle w:val="14"/>
        <w:pBdr>
          <w:bottom w:val="none" w:color="auto" w:sz="0" w:space="0"/>
        </w:pBdr>
        <w:rPr>
          <w:rFonts w:hint="eastAsia"/>
        </w:rPr>
      </w:pPr>
    </w:p>
    <w:p w14:paraId="01A362B9">
      <w:pPr>
        <w:pStyle w:val="4"/>
        <w:rPr>
          <w:rFonts w:hint="eastAsia" w:ascii="宋体" w:hAnsi="宋体" w:cs="宋体"/>
          <w:sz w:val="36"/>
        </w:rPr>
      </w:pPr>
    </w:p>
    <w:p w14:paraId="206285E7">
      <w:pPr>
        <w:rPr>
          <w:rFonts w:hint="eastAsia" w:ascii="宋体" w:hAnsi="宋体"/>
          <w:sz w:val="36"/>
        </w:rPr>
      </w:pPr>
    </w:p>
    <w:p w14:paraId="57B2F825">
      <w:pPr>
        <w:pStyle w:val="4"/>
        <w:jc w:val="center"/>
        <w:rPr>
          <w:rFonts w:hint="eastAsia"/>
        </w:rPr>
      </w:pPr>
      <w:r>
        <w:rPr>
          <w:rFonts w:hint="eastAsia" w:ascii="宋体" w:hAnsi="宋体" w:cs="宋体"/>
          <w:sz w:val="36"/>
        </w:rPr>
        <w:t>第六章采购合同</w:t>
      </w:r>
    </w:p>
    <w:p w14:paraId="49070313">
      <w:pPr>
        <w:pStyle w:val="4"/>
        <w:spacing w:before="0" w:after="0" w:line="360" w:lineRule="auto"/>
        <w:jc w:val="center"/>
        <w:rPr>
          <w:rFonts w:hint="eastAsia" w:ascii="宋体" w:hAnsi="宋体" w:cs="宋体"/>
          <w:kern w:val="2"/>
          <w:sz w:val="24"/>
          <w:szCs w:val="24"/>
          <w:highlight w:val="white"/>
        </w:rPr>
      </w:pPr>
      <w:bookmarkStart w:id="112" w:name="_Toc456249647"/>
      <w:bookmarkEnd w:id="112"/>
      <w:bookmarkStart w:id="113" w:name="_Toc456249451"/>
      <w:bookmarkEnd w:id="113"/>
      <w:bookmarkStart w:id="114" w:name="_Toc407096157"/>
      <w:bookmarkEnd w:id="114"/>
      <w:bookmarkStart w:id="115" w:name="_Toc456249688"/>
      <w:r>
        <w:rPr>
          <w:rFonts w:hint="eastAsia" w:ascii="宋体" w:hAnsi="宋体" w:cs="宋体"/>
          <w:kern w:val="2"/>
          <w:sz w:val="24"/>
          <w:szCs w:val="24"/>
          <w:highlight w:val="white"/>
        </w:rPr>
        <w:t>（仅供参考，具体以实际签订为准）</w:t>
      </w:r>
    </w:p>
    <w:p w14:paraId="29421EAF">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委托单位（全称）:</w:t>
      </w:r>
    </w:p>
    <w:p w14:paraId="686C17E3">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承接单位（全称）:</w:t>
      </w:r>
    </w:p>
    <w:p w14:paraId="13D0CE52">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根据双方的多次协商，为做好</w:t>
      </w:r>
      <w:r>
        <w:rPr>
          <w:rFonts w:hint="eastAsia" w:ascii="宋体" w:hAnsi="宋体" w:cs="宋体"/>
          <w:b w:val="0"/>
          <w:bCs w:val="0"/>
          <w:kern w:val="2"/>
          <w:sz w:val="24"/>
          <w:szCs w:val="24"/>
          <w:highlight w:val="white"/>
          <w:u w:val="single"/>
        </w:rPr>
        <w:t xml:space="preserve">            </w:t>
      </w:r>
      <w:r>
        <w:rPr>
          <w:rFonts w:hint="eastAsia" w:ascii="宋体" w:hAnsi="宋体" w:cs="宋体"/>
          <w:b w:val="0"/>
          <w:bCs w:val="0"/>
          <w:kern w:val="2"/>
          <w:sz w:val="24"/>
          <w:szCs w:val="24"/>
          <w:highlight w:val="white"/>
        </w:rPr>
        <w:t>工程整体规划，设计出与周边环境融为一体，具有鲜明个性特色的标志性环境景观，甲方承担设计任务依照《中华人民共和国合同法》和《建设工程勘察设计合同条例》的有关规定，经双方协商一致，签订本合同</w:t>
      </w:r>
    </w:p>
    <w:p w14:paraId="252D2161">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一、合同基本内容：</w:t>
      </w:r>
    </w:p>
    <w:p w14:paraId="6EB3E674">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 xml:space="preserve">1、设计规模：      </w:t>
      </w:r>
    </w:p>
    <w:p w14:paraId="2D19B884">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总规划用地面积</w:t>
      </w:r>
      <w:r>
        <w:rPr>
          <w:rFonts w:hint="eastAsia" w:ascii="宋体" w:hAnsi="宋体" w:cs="宋体"/>
          <w:b w:val="0"/>
          <w:bCs w:val="0"/>
          <w:kern w:val="2"/>
          <w:sz w:val="24"/>
          <w:szCs w:val="24"/>
          <w:highlight w:val="white"/>
          <w:u w:val="single"/>
        </w:rPr>
        <w:t xml:space="preserve">        </w:t>
      </w:r>
      <w:r>
        <w:rPr>
          <w:rFonts w:hint="eastAsia" w:ascii="宋体" w:hAnsi="宋体" w:cs="宋体"/>
          <w:b w:val="0"/>
          <w:bCs w:val="0"/>
          <w:kern w:val="2"/>
          <w:sz w:val="24"/>
          <w:szCs w:val="24"/>
          <w:highlight w:val="white"/>
        </w:rPr>
        <w:t>平方米</w:t>
      </w:r>
    </w:p>
    <w:p w14:paraId="69A727EF">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设计面积约为</w:t>
      </w:r>
      <w:r>
        <w:rPr>
          <w:rFonts w:hint="eastAsia" w:ascii="宋体" w:hAnsi="宋体" w:cs="宋体"/>
          <w:b w:val="0"/>
          <w:bCs w:val="0"/>
          <w:kern w:val="2"/>
          <w:sz w:val="24"/>
          <w:szCs w:val="24"/>
          <w:highlight w:val="white"/>
          <w:u w:val="single"/>
        </w:rPr>
        <w:t xml:space="preserve">       </w:t>
      </w:r>
      <w:r>
        <w:rPr>
          <w:rFonts w:hint="eastAsia" w:ascii="宋体" w:hAnsi="宋体" w:cs="宋体"/>
          <w:b w:val="0"/>
          <w:bCs w:val="0"/>
          <w:kern w:val="2"/>
          <w:sz w:val="24"/>
          <w:szCs w:val="24"/>
          <w:highlight w:val="white"/>
        </w:rPr>
        <w:t>平方米</w:t>
      </w:r>
    </w:p>
    <w:p w14:paraId="61DD9498">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二、服务期：</w:t>
      </w:r>
    </w:p>
    <w:p w14:paraId="2AE670A7">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u w:val="single"/>
          <w:lang w:val="en-US" w:eastAsia="zh-CN"/>
        </w:rPr>
        <w:t>2</w:t>
      </w:r>
      <w:r>
        <w:rPr>
          <w:rFonts w:hint="eastAsia" w:ascii="宋体" w:hAnsi="宋体" w:cs="宋体"/>
          <w:b w:val="0"/>
          <w:bCs w:val="0"/>
          <w:kern w:val="2"/>
          <w:sz w:val="24"/>
          <w:szCs w:val="24"/>
          <w:highlight w:val="white"/>
          <w:u w:val="single"/>
        </w:rPr>
        <w:t>0日历天</w:t>
      </w:r>
      <w:r>
        <w:rPr>
          <w:rFonts w:hint="eastAsia" w:ascii="宋体" w:hAnsi="宋体" w:cs="宋体"/>
          <w:b w:val="0"/>
          <w:bCs w:val="0"/>
          <w:kern w:val="2"/>
          <w:sz w:val="24"/>
          <w:szCs w:val="24"/>
          <w:highlight w:val="white"/>
        </w:rPr>
        <w:t>。因中标人原因造成工期延误，每拖延一天支付1000元/天违约金，因甲方原因所造成的设计工期延误，工期予以顺延，但延期造成的损失甲方不予承担。</w:t>
      </w:r>
    </w:p>
    <w:p w14:paraId="0329984E">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三、设计费用及支付方式:</w:t>
      </w:r>
    </w:p>
    <w:p w14:paraId="76EF4CDD">
      <w:pPr>
        <w:pStyle w:val="5"/>
        <w:spacing w:before="0" w:after="0" w:line="312" w:lineRule="auto"/>
        <w:ind w:firstLine="0"/>
        <w:jc w:val="left"/>
        <w:rPr>
          <w:rFonts w:ascii="宋体" w:hAnsi="宋体" w:cs="宋体"/>
          <w:b w:val="0"/>
          <w:sz w:val="24"/>
          <w:szCs w:val="24"/>
        </w:rPr>
      </w:pPr>
      <w:bookmarkStart w:id="116" w:name="_Toc488665441"/>
      <w:r>
        <w:rPr>
          <w:rFonts w:hint="eastAsia" w:ascii="宋体" w:hAnsi="宋体" w:cs="宋体"/>
          <w:b w:val="0"/>
          <w:sz w:val="24"/>
          <w:szCs w:val="24"/>
        </w:rPr>
        <w:t>1、签约合同价为：</w:t>
      </w:r>
      <w:bookmarkEnd w:id="116"/>
    </w:p>
    <w:p w14:paraId="18AF2865">
      <w:pPr>
        <w:pStyle w:val="4"/>
        <w:spacing w:before="0" w:after="0" w:line="360" w:lineRule="auto"/>
        <w:rPr>
          <w:rFonts w:hint="eastAsia" w:ascii="宋体" w:hAnsi="宋体" w:cs="宋体"/>
          <w:b w:val="0"/>
          <w:sz w:val="24"/>
          <w:szCs w:val="24"/>
        </w:rPr>
      </w:pPr>
      <w:r>
        <w:rPr>
          <w:rFonts w:hint="eastAsia" w:ascii="宋体" w:hAnsi="宋体" w:cs="宋体"/>
          <w:b w:val="0"/>
          <w:sz w:val="24"/>
          <w:szCs w:val="24"/>
        </w:rPr>
        <w:t xml:space="preserve">合同总价（小写） </w:t>
      </w:r>
      <w:r>
        <w:rPr>
          <w:rFonts w:hint="eastAsia" w:ascii="宋体" w:hAnsi="宋体" w:cs="宋体"/>
          <w:b w:val="0"/>
          <w:sz w:val="24"/>
          <w:szCs w:val="24"/>
          <w:u w:val="single"/>
        </w:rPr>
        <w:t xml:space="preserve">      </w:t>
      </w:r>
      <w:r>
        <w:rPr>
          <w:rFonts w:hint="eastAsia" w:ascii="宋体" w:hAnsi="宋体" w:cs="宋体"/>
          <w:b w:val="0"/>
          <w:sz w:val="24"/>
          <w:szCs w:val="24"/>
        </w:rPr>
        <w:t>万元人民币（大写）</w:t>
      </w:r>
      <w:r>
        <w:rPr>
          <w:rFonts w:hint="eastAsia" w:ascii="宋体" w:hAnsi="宋体" w:cs="宋体"/>
          <w:b w:val="0"/>
          <w:sz w:val="24"/>
          <w:szCs w:val="24"/>
          <w:u w:val="single"/>
        </w:rPr>
        <w:t xml:space="preserve">           </w:t>
      </w:r>
      <w:r>
        <w:rPr>
          <w:rFonts w:hint="eastAsia" w:ascii="宋体" w:hAnsi="宋体" w:cs="宋体"/>
          <w:b w:val="0"/>
          <w:sz w:val="24"/>
          <w:szCs w:val="24"/>
        </w:rPr>
        <w:t>。</w:t>
      </w:r>
    </w:p>
    <w:p w14:paraId="30CD609C">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2、支付方式：</w:t>
      </w:r>
      <w:r>
        <w:rPr>
          <w:rFonts w:hint="eastAsia" w:ascii="宋体" w:hAnsi="宋体" w:cs="宋体"/>
          <w:b w:val="0"/>
          <w:bCs w:val="0"/>
          <w:kern w:val="2"/>
          <w:sz w:val="24"/>
          <w:szCs w:val="24"/>
          <w:highlight w:val="white"/>
          <w:u w:val="single"/>
        </w:rPr>
        <w:t>规划方案评审通过后支付合同价的70%，余款待项目申报工作结束后一次性支付（无息）</w:t>
      </w:r>
      <w:r>
        <w:rPr>
          <w:rFonts w:hint="eastAsia" w:ascii="宋体" w:hAnsi="宋体" w:cs="宋体"/>
          <w:b w:val="0"/>
          <w:bCs w:val="0"/>
          <w:kern w:val="2"/>
          <w:sz w:val="24"/>
          <w:szCs w:val="24"/>
          <w:highlight w:val="white"/>
        </w:rPr>
        <w:t>。</w:t>
      </w:r>
    </w:p>
    <w:p w14:paraId="2CE6B2E9">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四、甲方应向乙方提交的有关基础资料和文件</w:t>
      </w:r>
    </w:p>
    <w:p w14:paraId="3269E25F">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已审定的建筑规划总平面图、建筑设计文件、设计任务书等</w:t>
      </w:r>
    </w:p>
    <w:p w14:paraId="0888697B">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五、乙方应向甲方提交各阶段的设计成果</w:t>
      </w:r>
    </w:p>
    <w:p w14:paraId="37B4EEF7">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1、方案初步设计阶段的设计成果</w:t>
      </w:r>
    </w:p>
    <w:p w14:paraId="55AFAC22">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2、</w:t>
      </w:r>
      <w:r>
        <w:rPr>
          <w:rFonts w:hint="eastAsia" w:ascii="宋体" w:hAnsi="宋体" w:cs="宋体"/>
          <w:b w:val="0"/>
          <w:bCs w:val="0"/>
          <w:kern w:val="2"/>
          <w:sz w:val="24"/>
          <w:szCs w:val="24"/>
        </w:rPr>
        <w:t>施工图设</w:t>
      </w:r>
      <w:r>
        <w:rPr>
          <w:rFonts w:hint="eastAsia" w:ascii="宋体" w:hAnsi="宋体" w:cs="宋体"/>
          <w:b w:val="0"/>
          <w:bCs w:val="0"/>
          <w:kern w:val="2"/>
          <w:sz w:val="24"/>
          <w:szCs w:val="24"/>
          <w:highlight w:val="white"/>
        </w:rPr>
        <w:t>计阶段的设计成果</w:t>
      </w:r>
    </w:p>
    <w:p w14:paraId="3E8E7F8A">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六、 甲乙双方权责任</w:t>
      </w:r>
    </w:p>
    <w:p w14:paraId="54CD1B22">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甲方权责：</w:t>
      </w:r>
    </w:p>
    <w:p w14:paraId="0915CE4E">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1、甲方应及时向乙方提交有关资料及文件，并对其完整性、正确性负责，甲方不得要求乙方违反国家有关标准进行设计。</w:t>
      </w:r>
    </w:p>
    <w:p w14:paraId="37DF3127">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2、甲方变更委托设计项目或因提交的资料错误，或所提交资料作重大修改，以致造成设计工作需返工时，双方除需另外协商签订补充协议、重新明确有关条款外，甲方应按乙方所耗工作量向乙方增付设计费。</w:t>
      </w:r>
    </w:p>
    <w:p w14:paraId="2918E8B3">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3、甲方应保护乙方的设计方案、文件、资料图纸、数据、设计软件和专利技术未经乙方同意，甲方对乙方交付的设计资料及文件不得用于本合同外的项目。</w:t>
      </w:r>
    </w:p>
    <w:p w14:paraId="26E145AB">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4、在要求乙方进行资源调查和技术服务时提供食宿。</w:t>
      </w:r>
    </w:p>
    <w:p w14:paraId="081F7A10">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5、甲方要求乙方比合同规定的时间提前交付设计文件时，须征得乙方同意后，向乙方支付相应的赶工费用。</w:t>
      </w:r>
    </w:p>
    <w:p w14:paraId="734E34CB">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6、本项目范围内由乙方设计的全部成果，并享有该成果的知识产权甲方应保护乙方的设计版权，未经乙方同意，甲方对设计文件不得复制或向第三方转让或使用，如发生以上情况，乙方有权索赔，甲方须承担相应的违约责任。</w:t>
      </w:r>
    </w:p>
    <w:p w14:paraId="173EEE50">
      <w:pPr>
        <w:pStyle w:val="4"/>
        <w:spacing w:before="0" w:after="0" w:line="360" w:lineRule="auto"/>
        <w:rPr>
          <w:rFonts w:ascii="宋体" w:hAnsi="宋体" w:cs="宋体"/>
          <w:b w:val="0"/>
          <w:bCs w:val="0"/>
          <w:kern w:val="2"/>
          <w:sz w:val="24"/>
          <w:szCs w:val="24"/>
          <w:highlight w:val="white"/>
        </w:rPr>
      </w:pPr>
      <w:r>
        <w:rPr>
          <w:rFonts w:hint="eastAsia" w:ascii="宋体" w:hAnsi="宋体" w:cs="宋体"/>
          <w:b w:val="0"/>
          <w:bCs w:val="0"/>
          <w:kern w:val="2"/>
          <w:sz w:val="24"/>
          <w:szCs w:val="24"/>
          <w:highlight w:val="white"/>
        </w:rPr>
        <w:t>7、甲方指定</w:t>
      </w:r>
      <w:r>
        <w:rPr>
          <w:rFonts w:hint="eastAsia" w:ascii="宋体" w:hAnsi="宋体" w:cs="宋体"/>
          <w:b w:val="0"/>
          <w:bCs w:val="0"/>
          <w:kern w:val="2"/>
          <w:sz w:val="24"/>
          <w:szCs w:val="24"/>
          <w:highlight w:val="white"/>
          <w:u w:val="single"/>
        </w:rPr>
        <w:t xml:space="preserve">     </w:t>
      </w:r>
      <w:r>
        <w:rPr>
          <w:rFonts w:hint="eastAsia" w:ascii="宋体" w:hAnsi="宋体" w:cs="宋体"/>
          <w:b w:val="0"/>
          <w:bCs w:val="0"/>
          <w:kern w:val="2"/>
          <w:sz w:val="24"/>
          <w:szCs w:val="24"/>
          <w:highlight w:val="white"/>
        </w:rPr>
        <w:t>为项目联络人，联系电话:</w:t>
      </w:r>
      <w:r>
        <w:rPr>
          <w:rFonts w:hint="eastAsia" w:ascii="宋体" w:hAnsi="宋体" w:cs="宋体"/>
          <w:b w:val="0"/>
          <w:bCs w:val="0"/>
          <w:kern w:val="2"/>
          <w:sz w:val="24"/>
          <w:szCs w:val="24"/>
          <w:highlight w:val="white"/>
          <w:u w:val="single"/>
        </w:rPr>
        <w:t xml:space="preserve">          </w:t>
      </w:r>
    </w:p>
    <w:p w14:paraId="033D62E6">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乙方权责：</w:t>
      </w:r>
    </w:p>
    <w:p w14:paraId="6C43C99D">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1、乙方负责提供设计范围所指定服务，保证设计成果的深度和质量符合相关部门要求；</w:t>
      </w:r>
    </w:p>
    <w:p w14:paraId="6ACA0CF9">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2、乙方应注意维护甲方利益，未经甲方同意，不得将本项甲方提供的有关技术经济资料用于合同外的项目或向第三方泄露、转让；</w:t>
      </w:r>
    </w:p>
    <w:p w14:paraId="75D8C068">
      <w:pPr>
        <w:pStyle w:val="4"/>
        <w:spacing w:before="0" w:after="0" w:line="360" w:lineRule="auto"/>
        <w:rPr>
          <w:rFonts w:hint="eastAsia" w:ascii="宋体" w:hAnsi="宋体" w:cs="宋体"/>
          <w:b w:val="0"/>
          <w:bCs w:val="0"/>
          <w:kern w:val="2"/>
          <w:sz w:val="24"/>
          <w:szCs w:val="24"/>
        </w:rPr>
      </w:pPr>
      <w:r>
        <w:rPr>
          <w:rFonts w:hint="eastAsia" w:ascii="宋体" w:hAnsi="宋体" w:cs="宋体"/>
          <w:b w:val="0"/>
          <w:bCs w:val="0"/>
          <w:kern w:val="2"/>
          <w:sz w:val="24"/>
          <w:szCs w:val="24"/>
          <w:highlight w:val="white"/>
        </w:rPr>
        <w:t>3、乙方负责对甲方本园林景观园林工程施工和验收进行配合：乙方在施工图完成后，需与甲方</w:t>
      </w:r>
      <w:r>
        <w:rPr>
          <w:rFonts w:hint="eastAsia" w:ascii="宋体" w:hAnsi="宋体" w:cs="宋体"/>
          <w:b w:val="0"/>
          <w:bCs w:val="0"/>
          <w:kern w:val="2"/>
          <w:sz w:val="24"/>
          <w:szCs w:val="24"/>
        </w:rPr>
        <w:t>、本工程承建商及设计院一同出具设计交底会议；在工程定标以后及施工前应初察苗圃，以监管承建商预备植物料；在硬景施工前及施工期间乙方应按甲方的要求前往工地现场技术交底，以确保所有硬景工程按图施工，制备初步验收接受建设书，其上注明需待修改更正的项目。</w:t>
      </w:r>
    </w:p>
    <w:p w14:paraId="68883B84">
      <w:pPr>
        <w:pStyle w:val="4"/>
        <w:spacing w:before="0" w:after="0" w:line="360" w:lineRule="auto"/>
        <w:rPr>
          <w:rFonts w:hint="eastAsia" w:ascii="宋体" w:hAnsi="宋体" w:cs="宋体"/>
          <w:b w:val="0"/>
          <w:bCs w:val="0"/>
          <w:kern w:val="2"/>
          <w:sz w:val="24"/>
          <w:szCs w:val="24"/>
          <w:highlight w:val="white"/>
          <w:lang w:eastAsia="zh-CN"/>
        </w:rPr>
      </w:pPr>
      <w:r>
        <w:rPr>
          <w:rFonts w:hint="eastAsia" w:ascii="宋体" w:hAnsi="宋体" w:cs="宋体"/>
          <w:b w:val="0"/>
          <w:bCs w:val="0"/>
          <w:kern w:val="2"/>
          <w:sz w:val="24"/>
          <w:szCs w:val="24"/>
        </w:rPr>
        <w:t>乙方应制备一份硬景和软景的遗漏清单，此清单上的内容需在工程整体完工后和贵方最终验收前进行修正；乙方最后参加所有与园林</w:t>
      </w:r>
      <w:r>
        <w:rPr>
          <w:rFonts w:hint="eastAsia" w:ascii="宋体" w:hAnsi="宋体" w:cs="宋体"/>
          <w:b w:val="0"/>
          <w:bCs w:val="0"/>
          <w:kern w:val="2"/>
          <w:sz w:val="24"/>
          <w:szCs w:val="24"/>
          <w:highlight w:val="white"/>
        </w:rPr>
        <w:t>有关的工程验收，以签发竣工证明书；乙方负责解答施工过程出现的问题乙方履行以上义务的一切费用已经包含在本合同的设计费用中</w:t>
      </w:r>
      <w:r>
        <w:rPr>
          <w:rFonts w:hint="eastAsia" w:ascii="宋体" w:hAnsi="宋体" w:cs="宋体"/>
          <w:b w:val="0"/>
          <w:bCs w:val="0"/>
          <w:kern w:val="2"/>
          <w:sz w:val="24"/>
          <w:szCs w:val="24"/>
          <w:highlight w:val="white"/>
          <w:lang w:eastAsia="zh-CN"/>
        </w:rPr>
        <w:t>。</w:t>
      </w:r>
    </w:p>
    <w:p w14:paraId="0BF584B9">
      <w:pPr>
        <w:pStyle w:val="4"/>
        <w:spacing w:before="0" w:after="0" w:line="360" w:lineRule="auto"/>
        <w:rPr>
          <w:rFonts w:hint="eastAsia" w:ascii="宋体" w:hAnsi="宋体" w:cs="宋体"/>
          <w:b w:val="0"/>
          <w:bCs w:val="0"/>
          <w:kern w:val="2"/>
          <w:sz w:val="24"/>
          <w:szCs w:val="24"/>
          <w:highlight w:val="white"/>
          <w:u w:val="single"/>
          <w:lang w:val="en-US" w:eastAsia="zh-CN"/>
        </w:rPr>
      </w:pPr>
      <w:r>
        <w:rPr>
          <w:rFonts w:hint="eastAsia" w:ascii="宋体" w:hAnsi="宋体" w:cs="宋体"/>
          <w:b w:val="0"/>
          <w:bCs w:val="0"/>
          <w:kern w:val="2"/>
          <w:sz w:val="24"/>
          <w:szCs w:val="24"/>
          <w:highlight w:val="white"/>
        </w:rPr>
        <w:t>乙方指定</w:t>
      </w:r>
      <w:r>
        <w:rPr>
          <w:rFonts w:hint="eastAsia" w:ascii="宋体" w:hAnsi="宋体" w:cs="宋体"/>
          <w:b w:val="0"/>
          <w:bCs w:val="0"/>
          <w:kern w:val="2"/>
          <w:sz w:val="24"/>
          <w:szCs w:val="24"/>
          <w:highlight w:val="white"/>
          <w:u w:val="single"/>
          <w:lang w:val="en-US" w:eastAsia="zh-CN"/>
        </w:rPr>
        <w:t xml:space="preserve">      </w:t>
      </w:r>
      <w:r>
        <w:rPr>
          <w:rFonts w:hint="eastAsia" w:ascii="宋体" w:hAnsi="宋体" w:cs="宋体"/>
          <w:b w:val="0"/>
          <w:bCs w:val="0"/>
          <w:kern w:val="2"/>
          <w:sz w:val="24"/>
          <w:szCs w:val="24"/>
          <w:highlight w:val="white"/>
        </w:rPr>
        <w:t>作为负责人，联系电话：</w:t>
      </w:r>
      <w:r>
        <w:rPr>
          <w:rFonts w:hint="eastAsia" w:ascii="宋体" w:hAnsi="宋体" w:cs="宋体"/>
          <w:b w:val="0"/>
          <w:bCs w:val="0"/>
          <w:kern w:val="2"/>
          <w:sz w:val="24"/>
          <w:szCs w:val="24"/>
          <w:highlight w:val="white"/>
          <w:u w:val="single"/>
          <w:lang w:val="en-US" w:eastAsia="zh-CN"/>
        </w:rPr>
        <w:t xml:space="preserve">      </w:t>
      </w:r>
    </w:p>
    <w:p w14:paraId="7AC22689">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主要设计人员未经甲方同意不得随意变更；所有的设计工作均应由合格的设计人员承担。</w:t>
      </w:r>
    </w:p>
    <w:p w14:paraId="05FF5910">
      <w:pPr>
        <w:pStyle w:val="4"/>
        <w:spacing w:before="0" w:after="0" w:line="360" w:lineRule="auto"/>
        <w:rPr>
          <w:rFonts w:hint="eastAsia" w:ascii="宋体" w:hAnsi="宋体" w:cs="宋体"/>
          <w:b w:val="0"/>
          <w:bCs w:val="0"/>
          <w:kern w:val="2"/>
          <w:sz w:val="24"/>
          <w:szCs w:val="24"/>
          <w:highlight w:val="white"/>
        </w:rPr>
      </w:pPr>
      <w:r>
        <w:rPr>
          <w:rFonts w:hint="eastAsia" w:ascii="宋体" w:hAnsi="宋体" w:cs="宋体"/>
          <w:b w:val="0"/>
          <w:bCs w:val="0"/>
          <w:kern w:val="2"/>
          <w:sz w:val="24"/>
          <w:szCs w:val="24"/>
          <w:highlight w:val="white"/>
        </w:rPr>
        <w:t>七、违约责任:</w:t>
      </w:r>
    </w:p>
    <w:p w14:paraId="6A841572">
      <w:pPr>
        <w:pStyle w:val="4"/>
        <w:spacing w:before="0" w:after="0" w:line="360" w:lineRule="auto"/>
        <w:rPr>
          <w:rFonts w:hint="eastAsia"/>
        </w:rPr>
      </w:pPr>
      <w:r>
        <w:rPr>
          <w:rFonts w:hint="eastAsia" w:ascii="宋体" w:hAnsi="宋体" w:cs="宋体"/>
          <w:b w:val="0"/>
          <w:bCs w:val="0"/>
          <w:kern w:val="2"/>
          <w:sz w:val="24"/>
          <w:szCs w:val="24"/>
          <w:highlight w:val="white"/>
        </w:rPr>
        <w:t>1、在合同履行期间，甲方要求终止或解除合同，乙方未开始设计工作的，不退还甲已付的定金；已开始设计工作的，不退还甲方已付的定金，甲方还应就乙方已进行的实际工作量支付。</w:t>
      </w:r>
    </w:p>
    <w:p w14:paraId="4EE87A07">
      <w:pPr>
        <w:pStyle w:val="5"/>
        <w:spacing w:before="0" w:after="0" w:line="312" w:lineRule="auto"/>
        <w:ind w:firstLine="0"/>
        <w:jc w:val="both"/>
        <w:rPr>
          <w:rFonts w:hint="eastAsia" w:ascii="宋体" w:hAnsi="宋体" w:eastAsia="宋体" w:cs="宋体"/>
          <w:b w:val="0"/>
          <w:bCs w:val="0"/>
          <w:kern w:val="2"/>
          <w:sz w:val="24"/>
          <w:szCs w:val="24"/>
          <w:highlight w:val="white"/>
        </w:rPr>
      </w:pPr>
      <w:bookmarkStart w:id="117" w:name="_Toc480974789"/>
      <w:bookmarkStart w:id="118" w:name="_Toc351203493"/>
      <w:bookmarkStart w:id="119" w:name="_Toc488665469"/>
      <w:r>
        <w:rPr>
          <w:rFonts w:hint="eastAsia" w:ascii="宋体" w:hAnsi="宋体" w:eastAsia="宋体" w:cs="宋体"/>
          <w:b w:val="0"/>
          <w:bCs w:val="0"/>
          <w:kern w:val="2"/>
          <w:sz w:val="24"/>
          <w:szCs w:val="24"/>
          <w:highlight w:val="white"/>
        </w:rPr>
        <w:t>八、合同份数</w:t>
      </w:r>
      <w:bookmarkEnd w:id="117"/>
      <w:bookmarkEnd w:id="118"/>
      <w:bookmarkEnd w:id="119"/>
    </w:p>
    <w:p w14:paraId="38452725">
      <w:pPr>
        <w:pStyle w:val="5"/>
        <w:spacing w:before="0" w:after="0" w:line="312" w:lineRule="auto"/>
        <w:jc w:val="both"/>
        <w:rPr>
          <w:rFonts w:hint="eastAsia" w:ascii="宋体" w:hAnsi="宋体" w:eastAsia="宋体" w:cs="宋体"/>
          <w:b w:val="0"/>
          <w:bCs w:val="0"/>
          <w:kern w:val="2"/>
          <w:sz w:val="24"/>
          <w:szCs w:val="24"/>
          <w:highlight w:val="white"/>
        </w:rPr>
      </w:pPr>
      <w:bookmarkStart w:id="120" w:name="_Toc488665470"/>
      <w:r>
        <w:rPr>
          <w:rFonts w:hint="eastAsia" w:ascii="宋体" w:hAnsi="宋体" w:eastAsia="宋体" w:cs="宋体"/>
          <w:b w:val="0"/>
          <w:bCs w:val="0"/>
          <w:kern w:val="2"/>
          <w:sz w:val="24"/>
          <w:szCs w:val="24"/>
          <w:highlight w:val="white"/>
        </w:rPr>
        <w:t>本合同正本一式</w:t>
      </w:r>
      <w:r>
        <w:rPr>
          <w:rFonts w:hint="eastAsia" w:ascii="宋体" w:hAnsi="宋体" w:eastAsia="宋体" w:cs="宋体"/>
          <w:b w:val="0"/>
          <w:bCs w:val="0"/>
          <w:kern w:val="2"/>
          <w:sz w:val="24"/>
          <w:szCs w:val="24"/>
          <w:highlight w:val="white"/>
          <w:u w:val="single"/>
        </w:rPr>
        <w:t xml:space="preserve">    </w:t>
      </w:r>
      <w:r>
        <w:rPr>
          <w:rFonts w:hint="eastAsia" w:ascii="宋体" w:hAnsi="宋体" w:eastAsia="宋体" w:cs="宋体"/>
          <w:b w:val="0"/>
          <w:bCs w:val="0"/>
          <w:kern w:val="2"/>
          <w:sz w:val="24"/>
          <w:szCs w:val="24"/>
          <w:highlight w:val="white"/>
        </w:rPr>
        <w:t>份、副本一式</w:t>
      </w:r>
      <w:r>
        <w:rPr>
          <w:rFonts w:hint="eastAsia" w:ascii="宋体" w:hAnsi="宋体" w:eastAsia="宋体" w:cs="宋体"/>
          <w:b w:val="0"/>
          <w:bCs w:val="0"/>
          <w:kern w:val="2"/>
          <w:sz w:val="24"/>
          <w:szCs w:val="24"/>
          <w:highlight w:val="white"/>
          <w:u w:val="single"/>
        </w:rPr>
        <w:t xml:space="preserve">    </w:t>
      </w:r>
      <w:r>
        <w:rPr>
          <w:rFonts w:hint="eastAsia" w:ascii="宋体" w:hAnsi="宋体" w:eastAsia="宋体" w:cs="宋体"/>
          <w:b w:val="0"/>
          <w:bCs w:val="0"/>
          <w:kern w:val="2"/>
          <w:sz w:val="24"/>
          <w:szCs w:val="24"/>
          <w:highlight w:val="white"/>
        </w:rPr>
        <w:t>份，均具有同等法律效力，发包人执正本</w:t>
      </w:r>
      <w:r>
        <w:rPr>
          <w:rFonts w:hint="eastAsia" w:ascii="宋体" w:hAnsi="宋体" w:eastAsia="宋体" w:cs="宋体"/>
          <w:b w:val="0"/>
          <w:bCs w:val="0"/>
          <w:kern w:val="2"/>
          <w:sz w:val="24"/>
          <w:szCs w:val="24"/>
          <w:highlight w:val="white"/>
          <w:u w:val="single"/>
        </w:rPr>
        <w:t xml:space="preserve">    </w:t>
      </w:r>
      <w:r>
        <w:rPr>
          <w:rFonts w:hint="eastAsia" w:ascii="宋体" w:hAnsi="宋体" w:eastAsia="宋体" w:cs="宋体"/>
          <w:b w:val="0"/>
          <w:bCs w:val="0"/>
          <w:kern w:val="2"/>
          <w:sz w:val="24"/>
          <w:szCs w:val="24"/>
          <w:highlight w:val="white"/>
        </w:rPr>
        <w:t>份、副本</w:t>
      </w:r>
      <w:r>
        <w:rPr>
          <w:rFonts w:hint="eastAsia" w:ascii="宋体" w:hAnsi="宋体" w:eastAsia="宋体" w:cs="宋体"/>
          <w:b w:val="0"/>
          <w:bCs w:val="0"/>
          <w:kern w:val="2"/>
          <w:sz w:val="24"/>
          <w:szCs w:val="24"/>
          <w:highlight w:val="white"/>
          <w:u w:val="single"/>
        </w:rPr>
        <w:t xml:space="preserve">    </w:t>
      </w:r>
      <w:r>
        <w:rPr>
          <w:rFonts w:hint="eastAsia" w:ascii="宋体" w:hAnsi="宋体" w:eastAsia="宋体" w:cs="宋体"/>
          <w:b w:val="0"/>
          <w:bCs w:val="0"/>
          <w:kern w:val="2"/>
          <w:sz w:val="24"/>
          <w:szCs w:val="24"/>
          <w:highlight w:val="white"/>
        </w:rPr>
        <w:t>份，设计人执正本</w:t>
      </w:r>
      <w:r>
        <w:rPr>
          <w:rFonts w:hint="eastAsia" w:ascii="宋体" w:hAnsi="宋体" w:eastAsia="宋体" w:cs="宋体"/>
          <w:b w:val="0"/>
          <w:bCs w:val="0"/>
          <w:kern w:val="2"/>
          <w:sz w:val="24"/>
          <w:szCs w:val="24"/>
          <w:highlight w:val="white"/>
          <w:u w:val="single"/>
        </w:rPr>
        <w:t xml:space="preserve">    </w:t>
      </w:r>
      <w:r>
        <w:rPr>
          <w:rFonts w:hint="eastAsia" w:ascii="宋体" w:hAnsi="宋体" w:eastAsia="宋体" w:cs="宋体"/>
          <w:b w:val="0"/>
          <w:bCs w:val="0"/>
          <w:kern w:val="2"/>
          <w:sz w:val="24"/>
          <w:szCs w:val="24"/>
          <w:highlight w:val="white"/>
        </w:rPr>
        <w:t>份、副本</w:t>
      </w:r>
      <w:r>
        <w:rPr>
          <w:rFonts w:hint="eastAsia" w:ascii="宋体" w:hAnsi="宋体" w:eastAsia="宋体" w:cs="宋体"/>
          <w:b w:val="0"/>
          <w:bCs w:val="0"/>
          <w:kern w:val="2"/>
          <w:sz w:val="24"/>
          <w:szCs w:val="24"/>
          <w:highlight w:val="white"/>
          <w:u w:val="single"/>
        </w:rPr>
        <w:t xml:space="preserve">      </w:t>
      </w:r>
      <w:r>
        <w:rPr>
          <w:rFonts w:hint="eastAsia" w:ascii="宋体" w:hAnsi="宋体" w:eastAsia="宋体" w:cs="宋体"/>
          <w:b w:val="0"/>
          <w:bCs w:val="0"/>
          <w:kern w:val="2"/>
          <w:sz w:val="24"/>
          <w:szCs w:val="24"/>
          <w:highlight w:val="white"/>
        </w:rPr>
        <w:t>份。</w:t>
      </w:r>
      <w:bookmarkEnd w:id="120"/>
    </w:p>
    <w:p w14:paraId="0EF7AB04">
      <w:pPr>
        <w:pStyle w:val="5"/>
        <w:spacing w:before="0" w:after="0" w:line="312" w:lineRule="auto"/>
        <w:jc w:val="left"/>
        <w:rPr>
          <w:rFonts w:hint="eastAsia" w:ascii="宋体" w:hAnsi="宋体" w:eastAsia="宋体" w:cs="宋体"/>
          <w:b w:val="0"/>
          <w:bCs w:val="0"/>
          <w:kern w:val="2"/>
          <w:sz w:val="24"/>
          <w:szCs w:val="24"/>
          <w:highlight w:val="white"/>
        </w:rPr>
      </w:pPr>
      <w:bookmarkStart w:id="121" w:name="_Toc488665471"/>
    </w:p>
    <w:p w14:paraId="14BD3993">
      <w:pPr>
        <w:pStyle w:val="5"/>
        <w:spacing w:before="0" w:after="0" w:line="312" w:lineRule="auto"/>
        <w:jc w:val="left"/>
        <w:rPr>
          <w:rFonts w:hint="eastAsia" w:ascii="宋体" w:hAnsi="宋体" w:eastAsia="宋体" w:cs="宋体"/>
          <w:b w:val="0"/>
          <w:bCs w:val="0"/>
          <w:kern w:val="2"/>
          <w:sz w:val="24"/>
          <w:szCs w:val="24"/>
          <w:highlight w:val="white"/>
        </w:rPr>
      </w:pPr>
      <w:r>
        <w:rPr>
          <w:rFonts w:hint="eastAsia" w:ascii="宋体" w:hAnsi="宋体" w:eastAsia="宋体" w:cs="宋体"/>
          <w:b w:val="0"/>
          <w:bCs w:val="0"/>
          <w:kern w:val="2"/>
          <w:sz w:val="24"/>
          <w:szCs w:val="24"/>
          <w:highlight w:val="white"/>
        </w:rPr>
        <w:t>发包人：  （盖章）              设计人：  （盖章）</w:t>
      </w:r>
      <w:bookmarkEnd w:id="121"/>
      <w:r>
        <w:rPr>
          <w:rFonts w:hint="eastAsia" w:ascii="宋体" w:hAnsi="宋体" w:eastAsia="宋体" w:cs="宋体"/>
          <w:b w:val="0"/>
          <w:bCs w:val="0"/>
          <w:kern w:val="2"/>
          <w:sz w:val="24"/>
          <w:szCs w:val="24"/>
          <w:highlight w:val="white"/>
        </w:rPr>
        <w:t xml:space="preserve">                            </w:t>
      </w:r>
    </w:p>
    <w:p w14:paraId="4B7BB396">
      <w:pPr>
        <w:pStyle w:val="5"/>
        <w:spacing w:before="0" w:after="0" w:line="312" w:lineRule="auto"/>
        <w:jc w:val="left"/>
        <w:rPr>
          <w:rFonts w:hint="eastAsia" w:ascii="宋体" w:hAnsi="宋体" w:eastAsia="宋体" w:cs="宋体"/>
          <w:b w:val="0"/>
          <w:bCs w:val="0"/>
          <w:kern w:val="2"/>
          <w:sz w:val="24"/>
          <w:szCs w:val="24"/>
          <w:highlight w:val="white"/>
        </w:rPr>
      </w:pPr>
      <w:bookmarkStart w:id="122" w:name="_Toc488665472"/>
      <w:r>
        <w:rPr>
          <w:rFonts w:hint="eastAsia" w:ascii="宋体" w:hAnsi="宋体" w:eastAsia="宋体" w:cs="宋体"/>
          <w:b w:val="0"/>
          <w:bCs w:val="0"/>
          <w:kern w:val="2"/>
          <w:sz w:val="24"/>
          <w:szCs w:val="24"/>
          <w:highlight w:val="white"/>
        </w:rPr>
        <w:t>法定代表人或其委托代理人：      法定代表人或其委托代理人：</w:t>
      </w:r>
      <w:bookmarkEnd w:id="122"/>
    </w:p>
    <w:p w14:paraId="5CCD83FC">
      <w:pPr>
        <w:pStyle w:val="5"/>
        <w:spacing w:before="0" w:after="0" w:line="312" w:lineRule="auto"/>
        <w:jc w:val="left"/>
        <w:rPr>
          <w:rFonts w:hint="eastAsia" w:ascii="宋体" w:hAnsi="宋体" w:eastAsia="宋体" w:cs="宋体"/>
          <w:b w:val="0"/>
          <w:bCs w:val="0"/>
          <w:kern w:val="2"/>
          <w:sz w:val="24"/>
          <w:szCs w:val="24"/>
          <w:highlight w:val="white"/>
        </w:rPr>
      </w:pPr>
      <w:bookmarkStart w:id="123" w:name="_Toc488665473"/>
      <w:r>
        <w:rPr>
          <w:rFonts w:hint="eastAsia" w:ascii="宋体" w:hAnsi="宋体" w:eastAsia="宋体" w:cs="宋体"/>
          <w:b w:val="0"/>
          <w:bCs w:val="0"/>
          <w:kern w:val="2"/>
          <w:sz w:val="24"/>
          <w:szCs w:val="24"/>
          <w:highlight w:val="white"/>
        </w:rPr>
        <w:t>（签字）                      （签字）</w:t>
      </w:r>
      <w:bookmarkEnd w:id="123"/>
    </w:p>
    <w:p w14:paraId="60F4B5A8">
      <w:pPr>
        <w:pStyle w:val="5"/>
        <w:spacing w:before="0" w:after="0" w:line="312" w:lineRule="auto"/>
        <w:jc w:val="left"/>
        <w:rPr>
          <w:rFonts w:hint="eastAsia" w:ascii="宋体" w:hAnsi="宋体" w:eastAsia="宋体" w:cs="宋体"/>
          <w:b w:val="0"/>
          <w:bCs w:val="0"/>
          <w:kern w:val="2"/>
          <w:sz w:val="24"/>
          <w:szCs w:val="24"/>
          <w:highlight w:val="white"/>
        </w:rPr>
      </w:pPr>
      <w:bookmarkStart w:id="124" w:name="_Toc488665474"/>
      <w:r>
        <w:rPr>
          <w:rFonts w:hint="eastAsia" w:ascii="宋体" w:hAnsi="宋体" w:eastAsia="宋体" w:cs="宋体"/>
          <w:b w:val="0"/>
          <w:bCs w:val="0"/>
          <w:kern w:val="2"/>
          <w:sz w:val="24"/>
          <w:szCs w:val="24"/>
          <w:highlight w:val="white"/>
        </w:rPr>
        <w:t>组织机构代码：              组织机构代码：      </w:t>
      </w:r>
      <w:bookmarkEnd w:id="124"/>
      <w:r>
        <w:rPr>
          <w:rFonts w:hint="eastAsia" w:ascii="宋体" w:hAnsi="宋体" w:eastAsia="宋体" w:cs="宋体"/>
          <w:b w:val="0"/>
          <w:bCs w:val="0"/>
          <w:kern w:val="2"/>
          <w:sz w:val="24"/>
          <w:szCs w:val="24"/>
          <w:highlight w:val="white"/>
        </w:rPr>
        <w:t xml:space="preserve">         </w:t>
      </w:r>
    </w:p>
    <w:p w14:paraId="6640D97E">
      <w:pPr>
        <w:pStyle w:val="5"/>
        <w:spacing w:before="0" w:after="0" w:line="312" w:lineRule="auto"/>
        <w:jc w:val="left"/>
        <w:rPr>
          <w:rFonts w:hint="eastAsia" w:ascii="宋体" w:hAnsi="宋体" w:eastAsia="宋体" w:cs="宋体"/>
          <w:b w:val="0"/>
          <w:bCs w:val="0"/>
          <w:kern w:val="2"/>
          <w:sz w:val="24"/>
          <w:szCs w:val="24"/>
          <w:highlight w:val="white"/>
        </w:rPr>
      </w:pPr>
      <w:bookmarkStart w:id="125" w:name="_Toc488665475"/>
      <w:r>
        <w:rPr>
          <w:rFonts w:hint="eastAsia" w:ascii="宋体" w:hAnsi="宋体" w:eastAsia="宋体" w:cs="宋体"/>
          <w:b w:val="0"/>
          <w:bCs w:val="0"/>
          <w:kern w:val="2"/>
          <w:sz w:val="24"/>
          <w:szCs w:val="24"/>
          <w:highlight w:val="white"/>
        </w:rPr>
        <w:t>纳税人识别码：                  纳税人识别码：</w:t>
      </w:r>
      <w:bookmarkEnd w:id="125"/>
      <w:r>
        <w:rPr>
          <w:rFonts w:hint="eastAsia" w:ascii="宋体" w:hAnsi="宋体" w:eastAsia="宋体" w:cs="宋体"/>
          <w:b w:val="0"/>
          <w:bCs w:val="0"/>
          <w:kern w:val="2"/>
          <w:sz w:val="24"/>
          <w:szCs w:val="24"/>
          <w:highlight w:val="white"/>
        </w:rPr>
        <w:t xml:space="preserve">                                    </w:t>
      </w:r>
    </w:p>
    <w:p w14:paraId="5769718D">
      <w:pPr>
        <w:pStyle w:val="5"/>
        <w:spacing w:before="0" w:after="0" w:line="312" w:lineRule="auto"/>
        <w:jc w:val="left"/>
        <w:rPr>
          <w:rFonts w:hint="eastAsia" w:ascii="宋体" w:hAnsi="宋体" w:eastAsia="宋体" w:cs="宋体"/>
          <w:b w:val="0"/>
          <w:bCs w:val="0"/>
          <w:kern w:val="2"/>
          <w:sz w:val="24"/>
          <w:szCs w:val="24"/>
          <w:highlight w:val="white"/>
        </w:rPr>
      </w:pPr>
      <w:bookmarkStart w:id="126" w:name="_Toc488665476"/>
      <w:r>
        <w:rPr>
          <w:rFonts w:hint="eastAsia" w:ascii="宋体" w:hAnsi="宋体" w:eastAsia="宋体" w:cs="宋体"/>
          <w:b w:val="0"/>
          <w:bCs w:val="0"/>
          <w:kern w:val="2"/>
          <w:sz w:val="24"/>
          <w:szCs w:val="24"/>
          <w:highlight w:val="white"/>
        </w:rPr>
        <w:t>地  址：                      地  址：              </w:t>
      </w:r>
      <w:bookmarkEnd w:id="126"/>
      <w:r>
        <w:rPr>
          <w:rFonts w:hint="eastAsia" w:ascii="宋体" w:hAnsi="宋体" w:eastAsia="宋体" w:cs="宋体"/>
          <w:b w:val="0"/>
          <w:bCs w:val="0"/>
          <w:kern w:val="2"/>
          <w:sz w:val="24"/>
          <w:szCs w:val="24"/>
          <w:highlight w:val="white"/>
        </w:rPr>
        <w:t xml:space="preserve">               </w:t>
      </w:r>
    </w:p>
    <w:p w14:paraId="5D28E816">
      <w:pPr>
        <w:pStyle w:val="5"/>
        <w:spacing w:before="0" w:after="0" w:line="312" w:lineRule="auto"/>
        <w:jc w:val="left"/>
        <w:rPr>
          <w:rFonts w:hint="eastAsia" w:ascii="宋体" w:hAnsi="宋体" w:eastAsia="宋体" w:cs="宋体"/>
          <w:b w:val="0"/>
          <w:bCs w:val="0"/>
          <w:kern w:val="2"/>
          <w:sz w:val="24"/>
          <w:szCs w:val="24"/>
          <w:highlight w:val="white"/>
        </w:rPr>
      </w:pPr>
      <w:bookmarkStart w:id="127" w:name="_Toc488665477"/>
      <w:r>
        <w:rPr>
          <w:rFonts w:hint="eastAsia" w:ascii="宋体" w:hAnsi="宋体" w:eastAsia="宋体" w:cs="宋体"/>
          <w:b w:val="0"/>
          <w:bCs w:val="0"/>
          <w:kern w:val="2"/>
          <w:sz w:val="24"/>
          <w:szCs w:val="24"/>
          <w:highlight w:val="white"/>
        </w:rPr>
        <w:t>邮政编码：                    邮政编码：            </w:t>
      </w:r>
      <w:bookmarkEnd w:id="127"/>
      <w:r>
        <w:rPr>
          <w:rFonts w:hint="eastAsia" w:ascii="宋体" w:hAnsi="宋体" w:eastAsia="宋体" w:cs="宋体"/>
          <w:b w:val="0"/>
          <w:bCs w:val="0"/>
          <w:kern w:val="2"/>
          <w:sz w:val="24"/>
          <w:szCs w:val="24"/>
          <w:highlight w:val="white"/>
        </w:rPr>
        <w:t xml:space="preserve">     </w:t>
      </w:r>
    </w:p>
    <w:p w14:paraId="22C47F2C">
      <w:pPr>
        <w:pStyle w:val="5"/>
        <w:spacing w:before="0" w:after="0" w:line="312" w:lineRule="auto"/>
        <w:jc w:val="left"/>
        <w:rPr>
          <w:rFonts w:hint="eastAsia" w:ascii="宋体" w:hAnsi="宋体" w:eastAsia="宋体" w:cs="宋体"/>
          <w:b w:val="0"/>
          <w:bCs w:val="0"/>
          <w:kern w:val="2"/>
          <w:sz w:val="24"/>
          <w:szCs w:val="24"/>
          <w:highlight w:val="white"/>
        </w:rPr>
      </w:pPr>
      <w:bookmarkStart w:id="128" w:name="_Toc488665478"/>
      <w:r>
        <w:rPr>
          <w:rFonts w:hint="eastAsia" w:ascii="宋体" w:hAnsi="宋体" w:eastAsia="宋体" w:cs="宋体"/>
          <w:b w:val="0"/>
          <w:bCs w:val="0"/>
          <w:kern w:val="2"/>
          <w:sz w:val="24"/>
          <w:szCs w:val="24"/>
          <w:highlight w:val="white"/>
        </w:rPr>
        <w:t>法定代表人：                法定代表人：        </w:t>
      </w:r>
      <w:bookmarkEnd w:id="128"/>
      <w:r>
        <w:rPr>
          <w:rFonts w:hint="eastAsia" w:ascii="宋体" w:hAnsi="宋体" w:eastAsia="宋体" w:cs="宋体"/>
          <w:b w:val="0"/>
          <w:bCs w:val="0"/>
          <w:kern w:val="2"/>
          <w:sz w:val="24"/>
          <w:szCs w:val="24"/>
          <w:highlight w:val="white"/>
        </w:rPr>
        <w:t xml:space="preserve">       </w:t>
      </w:r>
    </w:p>
    <w:p w14:paraId="18F1D498">
      <w:pPr>
        <w:pStyle w:val="5"/>
        <w:spacing w:before="0" w:after="0" w:line="312" w:lineRule="auto"/>
        <w:jc w:val="left"/>
        <w:rPr>
          <w:rFonts w:hint="eastAsia" w:ascii="宋体" w:hAnsi="宋体" w:eastAsia="宋体" w:cs="宋体"/>
          <w:b w:val="0"/>
          <w:bCs w:val="0"/>
          <w:kern w:val="2"/>
          <w:sz w:val="24"/>
          <w:szCs w:val="24"/>
          <w:highlight w:val="white"/>
        </w:rPr>
      </w:pPr>
      <w:bookmarkStart w:id="129" w:name="_Toc488665479"/>
      <w:r>
        <w:rPr>
          <w:rFonts w:hint="eastAsia" w:ascii="宋体" w:hAnsi="宋体" w:eastAsia="宋体" w:cs="宋体"/>
          <w:b w:val="0"/>
          <w:bCs w:val="0"/>
          <w:kern w:val="2"/>
          <w:sz w:val="24"/>
          <w:szCs w:val="24"/>
          <w:highlight w:val="white"/>
        </w:rPr>
        <w:t>委托代理人：                  委托代理人：           </w:t>
      </w:r>
      <w:bookmarkEnd w:id="129"/>
      <w:r>
        <w:rPr>
          <w:rFonts w:hint="eastAsia" w:ascii="宋体" w:hAnsi="宋体" w:eastAsia="宋体" w:cs="宋体"/>
          <w:b w:val="0"/>
          <w:bCs w:val="0"/>
          <w:kern w:val="2"/>
          <w:sz w:val="24"/>
          <w:szCs w:val="24"/>
          <w:highlight w:val="white"/>
        </w:rPr>
        <w:t xml:space="preserve">             </w:t>
      </w:r>
    </w:p>
    <w:p w14:paraId="4DB9968C">
      <w:pPr>
        <w:pStyle w:val="5"/>
        <w:spacing w:before="0" w:after="0" w:line="312" w:lineRule="auto"/>
        <w:jc w:val="left"/>
        <w:rPr>
          <w:rFonts w:hint="eastAsia" w:ascii="宋体" w:hAnsi="宋体" w:eastAsia="宋体" w:cs="宋体"/>
          <w:b w:val="0"/>
          <w:bCs w:val="0"/>
          <w:kern w:val="2"/>
          <w:sz w:val="24"/>
          <w:szCs w:val="24"/>
          <w:highlight w:val="white"/>
        </w:rPr>
      </w:pPr>
      <w:bookmarkStart w:id="130" w:name="_Toc488665480"/>
      <w:r>
        <w:rPr>
          <w:rFonts w:hint="eastAsia" w:ascii="宋体" w:hAnsi="宋体" w:eastAsia="宋体" w:cs="宋体"/>
          <w:b w:val="0"/>
          <w:bCs w:val="0"/>
          <w:kern w:val="2"/>
          <w:sz w:val="24"/>
          <w:szCs w:val="24"/>
          <w:highlight w:val="white"/>
        </w:rPr>
        <w:t>电  话：                      电  话：               </w:t>
      </w:r>
      <w:bookmarkEnd w:id="130"/>
      <w:r>
        <w:rPr>
          <w:rFonts w:hint="eastAsia" w:ascii="宋体" w:hAnsi="宋体" w:eastAsia="宋体" w:cs="宋体"/>
          <w:b w:val="0"/>
          <w:bCs w:val="0"/>
          <w:kern w:val="2"/>
          <w:sz w:val="24"/>
          <w:szCs w:val="24"/>
          <w:highlight w:val="white"/>
        </w:rPr>
        <w:t xml:space="preserve">         </w:t>
      </w:r>
    </w:p>
    <w:p w14:paraId="2E4D9F06">
      <w:pPr>
        <w:pStyle w:val="5"/>
        <w:spacing w:before="0" w:after="0" w:line="312" w:lineRule="auto"/>
        <w:jc w:val="left"/>
        <w:rPr>
          <w:rFonts w:hint="eastAsia" w:ascii="宋体" w:hAnsi="宋体" w:eastAsia="宋体" w:cs="宋体"/>
          <w:b w:val="0"/>
          <w:bCs w:val="0"/>
          <w:kern w:val="2"/>
          <w:sz w:val="24"/>
          <w:szCs w:val="24"/>
          <w:highlight w:val="white"/>
        </w:rPr>
      </w:pPr>
      <w:bookmarkStart w:id="131" w:name="_Toc488665481"/>
      <w:r>
        <w:rPr>
          <w:rFonts w:hint="eastAsia" w:ascii="宋体" w:hAnsi="宋体" w:eastAsia="宋体" w:cs="宋体"/>
          <w:b w:val="0"/>
          <w:bCs w:val="0"/>
          <w:kern w:val="2"/>
          <w:sz w:val="24"/>
          <w:szCs w:val="24"/>
          <w:highlight w:val="white"/>
        </w:rPr>
        <w:t>传  真：                      传  真：             </w:t>
      </w:r>
      <w:bookmarkEnd w:id="131"/>
      <w:r>
        <w:rPr>
          <w:rFonts w:hint="eastAsia" w:ascii="宋体" w:hAnsi="宋体" w:eastAsia="宋体" w:cs="宋体"/>
          <w:b w:val="0"/>
          <w:bCs w:val="0"/>
          <w:kern w:val="2"/>
          <w:sz w:val="24"/>
          <w:szCs w:val="24"/>
          <w:highlight w:val="white"/>
        </w:rPr>
        <w:t xml:space="preserve">   </w:t>
      </w:r>
    </w:p>
    <w:p w14:paraId="0145E08D">
      <w:pPr>
        <w:pStyle w:val="5"/>
        <w:spacing w:before="0" w:after="0" w:line="312" w:lineRule="auto"/>
        <w:jc w:val="left"/>
        <w:rPr>
          <w:rFonts w:hint="eastAsia" w:ascii="宋体" w:hAnsi="宋体" w:eastAsia="宋体" w:cs="宋体"/>
          <w:b w:val="0"/>
          <w:bCs w:val="0"/>
          <w:kern w:val="2"/>
          <w:sz w:val="24"/>
          <w:szCs w:val="24"/>
          <w:highlight w:val="white"/>
        </w:rPr>
      </w:pPr>
      <w:bookmarkStart w:id="132" w:name="_Toc488665482"/>
      <w:r>
        <w:rPr>
          <w:rFonts w:hint="eastAsia" w:ascii="宋体" w:hAnsi="宋体" w:eastAsia="宋体" w:cs="宋体"/>
          <w:b w:val="0"/>
          <w:bCs w:val="0"/>
          <w:kern w:val="2"/>
          <w:sz w:val="24"/>
          <w:szCs w:val="24"/>
          <w:highlight w:val="white"/>
        </w:rPr>
        <w:t>电子信箱：                      电子信箱：             </w:t>
      </w:r>
      <w:bookmarkEnd w:id="132"/>
      <w:r>
        <w:rPr>
          <w:rFonts w:hint="eastAsia" w:ascii="宋体" w:hAnsi="宋体" w:eastAsia="宋体" w:cs="宋体"/>
          <w:b w:val="0"/>
          <w:bCs w:val="0"/>
          <w:kern w:val="2"/>
          <w:sz w:val="24"/>
          <w:szCs w:val="24"/>
          <w:highlight w:val="white"/>
        </w:rPr>
        <w:t xml:space="preserve">    </w:t>
      </w:r>
    </w:p>
    <w:p w14:paraId="46C77311">
      <w:pPr>
        <w:pStyle w:val="5"/>
        <w:spacing w:before="0" w:after="0" w:line="312" w:lineRule="auto"/>
        <w:jc w:val="left"/>
        <w:rPr>
          <w:rFonts w:hint="eastAsia" w:ascii="宋体" w:hAnsi="宋体" w:eastAsia="宋体" w:cs="宋体"/>
          <w:b w:val="0"/>
          <w:bCs w:val="0"/>
          <w:kern w:val="2"/>
          <w:sz w:val="24"/>
          <w:szCs w:val="24"/>
          <w:highlight w:val="white"/>
        </w:rPr>
      </w:pPr>
      <w:bookmarkStart w:id="133" w:name="_Toc488665483"/>
      <w:r>
        <w:rPr>
          <w:rFonts w:hint="eastAsia" w:ascii="宋体" w:hAnsi="宋体" w:eastAsia="宋体" w:cs="宋体"/>
          <w:b w:val="0"/>
          <w:bCs w:val="0"/>
          <w:kern w:val="2"/>
          <w:sz w:val="24"/>
          <w:szCs w:val="24"/>
          <w:highlight w:val="white"/>
        </w:rPr>
        <w:t>开户银行：                    开户银行：             </w:t>
      </w:r>
      <w:bookmarkEnd w:id="133"/>
      <w:r>
        <w:rPr>
          <w:rFonts w:hint="eastAsia" w:ascii="宋体" w:hAnsi="宋体" w:eastAsia="宋体" w:cs="宋体"/>
          <w:b w:val="0"/>
          <w:bCs w:val="0"/>
          <w:kern w:val="2"/>
          <w:sz w:val="24"/>
          <w:szCs w:val="24"/>
          <w:highlight w:val="white"/>
        </w:rPr>
        <w:t xml:space="preserve">   </w:t>
      </w:r>
    </w:p>
    <w:p w14:paraId="185B67D8">
      <w:pPr>
        <w:pStyle w:val="4"/>
        <w:spacing w:before="0" w:after="0" w:line="360" w:lineRule="auto"/>
        <w:jc w:val="left"/>
        <w:rPr>
          <w:rFonts w:hint="eastAsia" w:ascii="宋体" w:hAnsi="宋体" w:cs="宋体"/>
          <w:b w:val="0"/>
          <w:bCs w:val="0"/>
          <w:kern w:val="2"/>
          <w:sz w:val="24"/>
          <w:szCs w:val="24"/>
          <w:highlight w:val="white"/>
        </w:rPr>
      </w:pPr>
    </w:p>
    <w:p w14:paraId="1F1449D2">
      <w:pPr>
        <w:pStyle w:val="4"/>
        <w:spacing w:before="0" w:after="0" w:line="360" w:lineRule="auto"/>
        <w:rPr>
          <w:rFonts w:hint="eastAsia" w:ascii="宋体" w:hAnsi="宋体"/>
          <w:b w:val="0"/>
          <w:bCs w:val="0"/>
          <w:sz w:val="32"/>
          <w:szCs w:val="32"/>
        </w:rPr>
      </w:pPr>
    </w:p>
    <w:p w14:paraId="07B24CD3">
      <w:pPr>
        <w:pStyle w:val="4"/>
        <w:spacing w:before="0" w:after="0" w:line="360" w:lineRule="auto"/>
        <w:jc w:val="center"/>
        <w:rPr>
          <w:rFonts w:hint="eastAsia" w:ascii="宋体" w:hAnsi="宋体"/>
          <w:b w:val="0"/>
          <w:bCs w:val="0"/>
          <w:sz w:val="32"/>
          <w:szCs w:val="32"/>
        </w:rPr>
      </w:pPr>
    </w:p>
    <w:p w14:paraId="2DC3C72C">
      <w:pPr>
        <w:rPr>
          <w:rFonts w:hint="eastAsia" w:ascii="宋体" w:hAnsi="宋体"/>
          <w:b/>
          <w:bCs/>
          <w:sz w:val="32"/>
          <w:szCs w:val="32"/>
        </w:rPr>
      </w:pPr>
    </w:p>
    <w:p w14:paraId="4B715497">
      <w:pPr>
        <w:pStyle w:val="2"/>
        <w:rPr>
          <w:rFonts w:hint="eastAsia" w:hAnsi="宋体"/>
          <w:b/>
          <w:bCs/>
          <w:sz w:val="32"/>
          <w:szCs w:val="32"/>
        </w:rPr>
      </w:pPr>
    </w:p>
    <w:p w14:paraId="09095080">
      <w:pPr>
        <w:pStyle w:val="3"/>
        <w:rPr>
          <w:rFonts w:hint="eastAsia" w:ascii="宋体" w:hAnsi="宋体"/>
          <w:b/>
          <w:bCs/>
          <w:sz w:val="32"/>
          <w:szCs w:val="32"/>
        </w:rPr>
      </w:pPr>
    </w:p>
    <w:p w14:paraId="1719FF26">
      <w:pPr>
        <w:rPr>
          <w:rFonts w:hint="eastAsia" w:ascii="宋体" w:hAnsi="宋体" w:cs="Times New Roman"/>
        </w:rPr>
      </w:pPr>
    </w:p>
    <w:p w14:paraId="4F352634">
      <w:pPr>
        <w:pStyle w:val="4"/>
        <w:spacing w:before="0" w:after="0" w:line="360" w:lineRule="auto"/>
        <w:jc w:val="center"/>
        <w:rPr>
          <w:rFonts w:hint="eastAsia" w:ascii="宋体" w:hAnsi="宋体"/>
          <w:b w:val="0"/>
          <w:bCs w:val="0"/>
          <w:sz w:val="32"/>
          <w:szCs w:val="32"/>
        </w:rPr>
      </w:pPr>
      <w:r>
        <w:rPr>
          <w:rFonts w:hint="eastAsia" w:ascii="宋体" w:hAnsi="宋体"/>
          <w:b w:val="0"/>
          <w:bCs w:val="0"/>
          <w:sz w:val="32"/>
          <w:szCs w:val="32"/>
        </w:rPr>
        <w:t>第七章 竞争性磋商响应文件格式</w:t>
      </w:r>
      <w:bookmarkEnd w:id="115"/>
    </w:p>
    <w:p w14:paraId="4547BC54">
      <w:pPr>
        <w:pStyle w:val="2"/>
        <w:adjustRightInd w:val="0"/>
        <w:snapToGrid w:val="0"/>
        <w:spacing w:before="62" w:beforeLines="20" w:after="62" w:afterLines="20" w:line="360" w:lineRule="auto"/>
        <w:ind w:right="-4" w:rightChars="-2"/>
        <w:jc w:val="center"/>
        <w:rPr>
          <w:rFonts w:hint="eastAsia" w:hAnsi="宋体"/>
          <w:b/>
          <w:bCs/>
          <w:sz w:val="48"/>
          <w:szCs w:val="48"/>
        </w:rPr>
      </w:pPr>
    </w:p>
    <w:p w14:paraId="649A3DF0">
      <w:pPr>
        <w:pStyle w:val="2"/>
        <w:adjustRightInd w:val="0"/>
        <w:snapToGrid w:val="0"/>
        <w:spacing w:before="62" w:beforeLines="20" w:after="62" w:afterLines="20" w:line="360" w:lineRule="auto"/>
        <w:ind w:right="-4" w:rightChars="-2"/>
        <w:jc w:val="center"/>
        <w:rPr>
          <w:rFonts w:hint="eastAsia" w:hAnsi="宋体"/>
          <w:b/>
          <w:bCs/>
          <w:sz w:val="48"/>
          <w:szCs w:val="48"/>
        </w:rPr>
      </w:pPr>
    </w:p>
    <w:p w14:paraId="18B0FE4D">
      <w:pPr>
        <w:pStyle w:val="2"/>
        <w:adjustRightInd w:val="0"/>
        <w:snapToGrid w:val="0"/>
        <w:spacing w:before="62" w:beforeLines="20" w:after="62" w:afterLines="20" w:line="360" w:lineRule="auto"/>
        <w:ind w:right="-4" w:rightChars="-2"/>
        <w:jc w:val="center"/>
        <w:rPr>
          <w:rFonts w:hAnsi="宋体"/>
          <w:b/>
          <w:bCs/>
          <w:sz w:val="48"/>
          <w:szCs w:val="48"/>
        </w:rPr>
      </w:pPr>
      <w:r>
        <w:rPr>
          <w:rFonts w:hint="eastAsia" w:hAnsi="宋体"/>
          <w:b/>
          <w:bCs/>
          <w:sz w:val="48"/>
          <w:szCs w:val="48"/>
        </w:rPr>
        <w:t>竞争性磋商响应文件</w:t>
      </w:r>
    </w:p>
    <w:p w14:paraId="2563F56E">
      <w:pPr>
        <w:pStyle w:val="2"/>
        <w:adjustRightInd w:val="0"/>
        <w:snapToGrid w:val="0"/>
        <w:spacing w:before="62" w:beforeLines="20" w:after="62" w:afterLines="20"/>
        <w:ind w:right="-4" w:rightChars="-2"/>
        <w:jc w:val="center"/>
        <w:rPr>
          <w:rFonts w:hint="eastAsia" w:hAnsi="宋体" w:cs="宋体"/>
        </w:rPr>
      </w:pPr>
    </w:p>
    <w:p w14:paraId="5A553B2E">
      <w:pPr>
        <w:pStyle w:val="2"/>
        <w:adjustRightInd w:val="0"/>
        <w:snapToGrid w:val="0"/>
        <w:spacing w:before="62" w:beforeLines="20" w:after="62" w:afterLines="20"/>
        <w:ind w:right="-4" w:rightChars="-2"/>
        <w:jc w:val="center"/>
        <w:rPr>
          <w:rFonts w:hint="eastAsia" w:hAnsi="宋体" w:cs="宋体"/>
        </w:rPr>
      </w:pPr>
      <w:r>
        <w:rPr>
          <w:rFonts w:hint="eastAsia" w:hAnsi="宋体" w:cs="宋体"/>
        </w:rPr>
        <w:t>项目编号：</w:t>
      </w:r>
    </w:p>
    <w:p w14:paraId="01BDC242">
      <w:pPr>
        <w:pStyle w:val="2"/>
        <w:adjustRightInd w:val="0"/>
        <w:snapToGrid w:val="0"/>
        <w:spacing w:before="62" w:beforeLines="20" w:after="62" w:afterLines="20"/>
        <w:ind w:right="-4" w:rightChars="-2"/>
        <w:jc w:val="center"/>
        <w:rPr>
          <w:rFonts w:hint="eastAsia" w:hAnsi="宋体" w:cs="宋体"/>
        </w:rPr>
      </w:pPr>
    </w:p>
    <w:p w14:paraId="0FF4201E">
      <w:pPr>
        <w:pStyle w:val="2"/>
        <w:adjustRightInd w:val="0"/>
        <w:snapToGrid w:val="0"/>
        <w:spacing w:before="62" w:beforeLines="20" w:after="62" w:afterLines="20"/>
        <w:ind w:right="-4" w:rightChars="-2"/>
        <w:jc w:val="center"/>
        <w:rPr>
          <w:rFonts w:hint="eastAsia" w:hAnsi="宋体" w:cs="宋体"/>
        </w:rPr>
      </w:pPr>
    </w:p>
    <w:p w14:paraId="3C5093F2">
      <w:pPr>
        <w:pStyle w:val="12"/>
        <w:rPr>
          <w:rFonts w:hint="eastAsia" w:ascii="宋体" w:hAnsi="宋体"/>
        </w:rPr>
      </w:pPr>
    </w:p>
    <w:p w14:paraId="6B556F7C">
      <w:pPr>
        <w:rPr>
          <w:rFonts w:hint="eastAsia" w:ascii="宋体" w:hAnsi="宋体" w:cs="Times New Roman"/>
        </w:rPr>
      </w:pPr>
    </w:p>
    <w:p w14:paraId="0B660F0D">
      <w:pPr>
        <w:pStyle w:val="2"/>
        <w:adjustRightInd w:val="0"/>
        <w:snapToGrid w:val="0"/>
        <w:spacing w:before="62" w:beforeLines="20" w:after="62" w:afterLines="20"/>
        <w:ind w:right="-4" w:rightChars="-2"/>
        <w:jc w:val="center"/>
        <w:rPr>
          <w:rFonts w:hint="eastAsia" w:hAnsi="宋体" w:cs="宋体"/>
        </w:rPr>
      </w:pPr>
    </w:p>
    <w:p w14:paraId="5510359C">
      <w:pPr>
        <w:pStyle w:val="10"/>
        <w:adjustRightInd w:val="0"/>
        <w:snapToGrid w:val="0"/>
        <w:spacing w:before="62" w:beforeLines="20" w:after="62" w:afterLines="20" w:line="360" w:lineRule="auto"/>
        <w:ind w:left="143" w:leftChars="68" w:right="-4" w:rightChars="-2" w:firstLine="828" w:firstLineChars="345"/>
        <w:rPr>
          <w:rFonts w:hint="eastAsia" w:ascii="宋体" w:hAnsi="宋体" w:cs="宋体"/>
          <w:bCs/>
          <w:sz w:val="24"/>
          <w:szCs w:val="24"/>
        </w:rPr>
      </w:pPr>
      <w:r>
        <w:rPr>
          <w:rFonts w:hint="eastAsia" w:ascii="宋体" w:hAnsi="宋体" w:cs="宋体"/>
          <w:bCs/>
          <w:sz w:val="24"/>
          <w:szCs w:val="24"/>
        </w:rPr>
        <w:t>项目名称：</w:t>
      </w:r>
      <w:r>
        <w:rPr>
          <w:rFonts w:hint="eastAsia" w:ascii="宋体" w:hAnsi="宋体" w:cs="宋体"/>
          <w:bCs/>
          <w:sz w:val="24"/>
          <w:szCs w:val="24"/>
          <w:u w:val="single"/>
        </w:rPr>
        <w:t xml:space="preserve">  </w:t>
      </w:r>
      <w:r>
        <w:rPr>
          <w:rFonts w:hint="eastAsia" w:ascii="宋体" w:hAnsi="宋体" w:cs="宋体"/>
          <w:bCs/>
          <w:sz w:val="24"/>
          <w:szCs w:val="24"/>
        </w:rPr>
        <w:t xml:space="preserve">                          </w:t>
      </w:r>
    </w:p>
    <w:p w14:paraId="039D0804">
      <w:pPr>
        <w:pStyle w:val="10"/>
        <w:adjustRightInd w:val="0"/>
        <w:snapToGrid w:val="0"/>
        <w:spacing w:before="62" w:beforeLines="20" w:after="62" w:afterLines="20" w:line="360" w:lineRule="auto"/>
        <w:ind w:left="143" w:leftChars="68" w:right="-4" w:rightChars="-2" w:firstLine="828" w:firstLineChars="345"/>
        <w:rPr>
          <w:rFonts w:hint="eastAsia" w:ascii="宋体" w:hAnsi="宋体" w:cs="宋体"/>
          <w:bCs/>
          <w:sz w:val="24"/>
          <w:szCs w:val="24"/>
        </w:rPr>
      </w:pPr>
      <w:r>
        <w:rPr>
          <w:rFonts w:hint="eastAsia" w:ascii="宋体" w:hAnsi="宋体" w:cs="宋体"/>
          <w:bCs/>
          <w:sz w:val="24"/>
          <w:szCs w:val="24"/>
        </w:rPr>
        <w:t>投标响应文件内容：</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z w:val="24"/>
          <w:szCs w:val="24"/>
          <w:u w:val="single"/>
        </w:rPr>
        <w:t>商务标/技术标</w:t>
      </w:r>
      <w:r>
        <w:rPr>
          <w:rFonts w:hint="eastAsia" w:ascii="宋体" w:hAnsi="宋体" w:cs="宋体"/>
          <w:bCs/>
          <w:sz w:val="24"/>
          <w:szCs w:val="24"/>
          <w:u w:val="single"/>
        </w:rPr>
        <w:tab/>
      </w:r>
      <w:r>
        <w:rPr>
          <w:rFonts w:hint="eastAsia" w:ascii="宋体" w:hAnsi="宋体" w:cs="宋体"/>
          <w:bCs/>
          <w:sz w:val="24"/>
          <w:szCs w:val="24"/>
          <w:u w:val="single"/>
        </w:rPr>
        <w:tab/>
      </w:r>
      <w:r>
        <w:rPr>
          <w:rFonts w:hint="eastAsia" w:ascii="宋体" w:hAnsi="宋体" w:cs="宋体"/>
          <w:bCs/>
          <w:sz w:val="24"/>
          <w:szCs w:val="24"/>
          <w:u w:val="single"/>
        </w:rPr>
        <w:t xml:space="preserve">   </w:t>
      </w:r>
    </w:p>
    <w:p w14:paraId="279467B2">
      <w:pPr>
        <w:pStyle w:val="10"/>
        <w:adjustRightInd w:val="0"/>
        <w:snapToGrid w:val="0"/>
        <w:spacing w:before="62" w:beforeLines="20" w:after="62" w:afterLines="20" w:line="360" w:lineRule="auto"/>
        <w:ind w:left="143" w:leftChars="68" w:right="-4" w:rightChars="-2" w:firstLine="828" w:firstLineChars="345"/>
        <w:rPr>
          <w:rFonts w:hint="eastAsia" w:ascii="宋体" w:hAnsi="宋体" w:cs="宋体"/>
          <w:bCs/>
          <w:sz w:val="24"/>
          <w:szCs w:val="24"/>
          <w:u w:val="single"/>
        </w:rPr>
      </w:pPr>
      <w:r>
        <w:rPr>
          <w:rFonts w:hint="eastAsia" w:ascii="宋体" w:hAnsi="宋体" w:cs="宋体"/>
          <w:bCs/>
          <w:sz w:val="24"/>
          <w:szCs w:val="24"/>
        </w:rPr>
        <w:t>投 标 供 应 商：</w:t>
      </w:r>
      <w:r>
        <w:rPr>
          <w:rFonts w:hint="eastAsia" w:ascii="宋体" w:hAnsi="宋体" w:cs="宋体"/>
          <w:bCs/>
          <w:sz w:val="24"/>
          <w:szCs w:val="24"/>
          <w:u w:val="single"/>
        </w:rPr>
        <w:t xml:space="preserve">            （盖章）              </w:t>
      </w:r>
    </w:p>
    <w:p w14:paraId="66775A93">
      <w:pPr>
        <w:pStyle w:val="10"/>
        <w:adjustRightInd w:val="0"/>
        <w:snapToGrid w:val="0"/>
        <w:spacing w:before="62" w:beforeLines="20" w:after="62" w:afterLines="20" w:line="360" w:lineRule="auto"/>
        <w:ind w:left="143" w:leftChars="68" w:right="-4" w:rightChars="-2" w:firstLine="828" w:firstLineChars="345"/>
        <w:rPr>
          <w:rFonts w:hint="eastAsia" w:ascii="宋体" w:hAnsi="宋体" w:cs="宋体"/>
          <w:bCs/>
          <w:sz w:val="24"/>
          <w:szCs w:val="24"/>
          <w:u w:val="single"/>
        </w:rPr>
      </w:pPr>
      <w:r>
        <w:rPr>
          <w:rFonts w:hint="eastAsia" w:ascii="宋体" w:hAnsi="宋体" w:cs="宋体"/>
          <w:bCs/>
          <w:sz w:val="24"/>
          <w:szCs w:val="24"/>
        </w:rPr>
        <w:t>法定代表人或其委托代理人：</w:t>
      </w:r>
      <w:r>
        <w:rPr>
          <w:rFonts w:hint="eastAsia" w:ascii="宋体" w:hAnsi="宋体" w:cs="宋体"/>
          <w:bCs/>
          <w:sz w:val="24"/>
          <w:szCs w:val="24"/>
          <w:u w:val="single"/>
        </w:rPr>
        <w:t xml:space="preserve">   （签字或盖章） </w:t>
      </w:r>
    </w:p>
    <w:p w14:paraId="6BAB2654">
      <w:pPr>
        <w:adjustRightInd w:val="0"/>
        <w:snapToGrid w:val="0"/>
        <w:spacing w:before="62" w:beforeLines="20" w:after="62" w:afterLines="20" w:line="360" w:lineRule="auto"/>
        <w:ind w:right="-4" w:rightChars="-2"/>
        <w:rPr>
          <w:rFonts w:hint="eastAsia" w:ascii="宋体" w:hAnsi="宋体"/>
          <w:sz w:val="24"/>
          <w:szCs w:val="24"/>
        </w:rPr>
      </w:pPr>
    </w:p>
    <w:p w14:paraId="321845BD">
      <w:pPr>
        <w:adjustRightInd w:val="0"/>
        <w:snapToGrid w:val="0"/>
        <w:spacing w:before="62" w:beforeLines="20" w:after="62" w:afterLines="20" w:line="360" w:lineRule="auto"/>
        <w:ind w:right="-4" w:rightChars="-2" w:firstLine="1528" w:firstLineChars="637"/>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日</w:t>
      </w:r>
    </w:p>
    <w:p w14:paraId="5DBCA95E">
      <w:pPr>
        <w:pStyle w:val="5"/>
        <w:jc w:val="left"/>
        <w:rPr>
          <w:rFonts w:ascii="宋体" w:hAnsi="宋体" w:eastAsia="宋体"/>
          <w:sz w:val="28"/>
          <w:szCs w:val="28"/>
          <w:highlight w:val="white"/>
        </w:rPr>
      </w:pPr>
    </w:p>
    <w:p w14:paraId="02E94FFD">
      <w:pPr>
        <w:pStyle w:val="2"/>
        <w:adjustRightInd w:val="0"/>
        <w:snapToGrid w:val="0"/>
        <w:spacing w:before="62" w:beforeLines="20" w:after="62" w:afterLines="20" w:line="360" w:lineRule="auto"/>
        <w:ind w:right="-4" w:rightChars="-2"/>
        <w:jc w:val="center"/>
        <w:rPr>
          <w:rFonts w:hAnsi="宋体"/>
        </w:rPr>
      </w:pPr>
      <w:bookmarkStart w:id="134" w:name="_Toc382495054"/>
      <w:bookmarkEnd w:id="134"/>
    </w:p>
    <w:p w14:paraId="1BF6DF6B">
      <w:pPr>
        <w:pStyle w:val="2"/>
        <w:adjustRightInd w:val="0"/>
        <w:snapToGrid w:val="0"/>
        <w:spacing w:before="62" w:beforeLines="20" w:after="62" w:afterLines="20" w:line="360" w:lineRule="auto"/>
        <w:ind w:right="-4" w:rightChars="-2"/>
        <w:jc w:val="center"/>
        <w:rPr>
          <w:rFonts w:hAnsi="宋体"/>
        </w:rPr>
      </w:pPr>
    </w:p>
    <w:p w14:paraId="5F507D21">
      <w:pPr>
        <w:pStyle w:val="2"/>
        <w:adjustRightInd w:val="0"/>
        <w:snapToGrid w:val="0"/>
        <w:spacing w:before="62" w:beforeLines="20" w:after="62" w:afterLines="20" w:line="360" w:lineRule="auto"/>
        <w:ind w:right="-4" w:rightChars="-2"/>
        <w:jc w:val="center"/>
        <w:rPr>
          <w:rFonts w:hAnsi="宋体"/>
        </w:rPr>
      </w:pPr>
    </w:p>
    <w:p w14:paraId="22D211B2">
      <w:pPr>
        <w:spacing w:line="360" w:lineRule="auto"/>
        <w:ind w:firstLine="549"/>
        <w:jc w:val="center"/>
        <w:rPr>
          <w:rFonts w:hint="eastAsia" w:ascii="宋体" w:hAnsi="宋体"/>
          <w:sz w:val="24"/>
          <w:szCs w:val="24"/>
          <w:highlight w:val="white"/>
        </w:rPr>
      </w:pPr>
      <w:r>
        <w:rPr>
          <w:rFonts w:hint="eastAsia" w:ascii="宋体" w:hAnsi="宋体"/>
          <w:sz w:val="24"/>
          <w:szCs w:val="24"/>
        </w:rPr>
        <w:br w:type="page"/>
      </w:r>
      <w:bookmarkStart w:id="135" w:name="_Toc382508391"/>
      <w:bookmarkEnd w:id="135"/>
      <w:r>
        <w:rPr>
          <w:rFonts w:hint="eastAsia" w:ascii="宋体" w:hAnsi="宋体"/>
          <w:b/>
          <w:bCs/>
          <w:sz w:val="24"/>
          <w:szCs w:val="24"/>
          <w:highlight w:val="white"/>
        </w:rPr>
        <w:t xml:space="preserve"> </w:t>
      </w:r>
      <w:r>
        <w:rPr>
          <w:rFonts w:hint="eastAsia" w:ascii="宋体" w:hAnsi="宋体" w:cs="Times New Roman"/>
          <w:b/>
          <w:bCs/>
          <w:sz w:val="28"/>
          <w:szCs w:val="28"/>
          <w:highlight w:val="white"/>
        </w:rPr>
        <w:t xml:space="preserve"> </w:t>
      </w:r>
      <w:r>
        <w:rPr>
          <w:rFonts w:hint="eastAsia" w:ascii="宋体" w:hAnsi="宋体" w:cs="Times New Roman"/>
          <w:b/>
          <w:bCs/>
          <w:sz w:val="24"/>
          <w:szCs w:val="24"/>
          <w:highlight w:val="white"/>
        </w:rPr>
        <w:t>格式1</w:t>
      </w:r>
      <w:r>
        <w:rPr>
          <w:rFonts w:hint="eastAsia" w:ascii="宋体" w:hAnsi="宋体" w:cs="Times New Roman"/>
          <w:b/>
          <w:bCs/>
          <w:sz w:val="24"/>
          <w:szCs w:val="24"/>
          <w:highlight w:val="white"/>
          <w:lang w:val="zh-CN"/>
        </w:rPr>
        <w:t>、投标函</w:t>
      </w:r>
    </w:p>
    <w:p w14:paraId="5177D85C">
      <w:pPr>
        <w:spacing w:line="360" w:lineRule="auto"/>
        <w:ind w:firstLine="549"/>
        <w:rPr>
          <w:rFonts w:hint="eastAsia" w:ascii="宋体" w:hAnsi="宋体"/>
          <w:b/>
          <w:bCs/>
          <w:sz w:val="24"/>
          <w:szCs w:val="24"/>
          <w:highlight w:val="white"/>
        </w:rPr>
      </w:pPr>
      <w:r>
        <w:rPr>
          <w:rFonts w:hint="eastAsia" w:ascii="宋体" w:hAnsi="宋体"/>
          <w:b/>
          <w:bCs/>
          <w:sz w:val="24"/>
          <w:szCs w:val="24"/>
          <w:highlight w:val="white"/>
        </w:rPr>
        <w:t xml:space="preserve">致：（采购人） </w:t>
      </w:r>
    </w:p>
    <w:p w14:paraId="569CDB0C">
      <w:pPr>
        <w:spacing w:line="360" w:lineRule="auto"/>
        <w:ind w:firstLine="549"/>
        <w:rPr>
          <w:rFonts w:hint="eastAsia" w:ascii="宋体" w:hAnsi="宋体"/>
          <w:sz w:val="24"/>
          <w:szCs w:val="24"/>
          <w:highlight w:val="white"/>
        </w:rPr>
      </w:pPr>
      <w:r>
        <w:rPr>
          <w:rFonts w:hint="eastAsia" w:ascii="宋体" w:hAnsi="宋体"/>
          <w:sz w:val="24"/>
          <w:szCs w:val="24"/>
          <w:highlight w:val="white"/>
        </w:rPr>
        <w:t>1、根据贵单位发布招标编号为</w:t>
      </w:r>
      <w:r>
        <w:rPr>
          <w:rFonts w:hint="eastAsia" w:ascii="宋体" w:hAnsi="宋体"/>
          <w:sz w:val="24"/>
          <w:szCs w:val="24"/>
          <w:highlight w:val="white"/>
          <w:u w:val="single"/>
        </w:rPr>
        <w:t xml:space="preserve">       （项目编号）</w:t>
      </w:r>
      <w:r>
        <w:rPr>
          <w:rFonts w:hint="eastAsia" w:ascii="宋体" w:hAnsi="宋体"/>
          <w:sz w:val="24"/>
          <w:szCs w:val="24"/>
          <w:highlight w:val="white"/>
        </w:rPr>
        <w:t>的磋商文件，我们决定参加你们组织的“</w:t>
      </w:r>
      <w:r>
        <w:rPr>
          <w:rFonts w:hint="eastAsia" w:ascii="宋体" w:hAnsi="宋体"/>
          <w:sz w:val="24"/>
          <w:szCs w:val="24"/>
          <w:highlight w:val="white"/>
          <w:u w:val="single"/>
        </w:rPr>
        <w:t xml:space="preserve">                 （项目名称）</w:t>
      </w:r>
      <w:r>
        <w:rPr>
          <w:rFonts w:hint="eastAsia" w:ascii="宋体" w:hAnsi="宋体"/>
          <w:sz w:val="24"/>
          <w:szCs w:val="24"/>
          <w:highlight w:val="white"/>
        </w:rPr>
        <w:t>”项目的招标活动。</w:t>
      </w:r>
    </w:p>
    <w:p w14:paraId="412F6A87">
      <w:pPr>
        <w:spacing w:line="360" w:lineRule="auto"/>
        <w:ind w:firstLine="549"/>
        <w:rPr>
          <w:rFonts w:hint="eastAsia" w:ascii="宋体" w:hAnsi="宋体"/>
          <w:sz w:val="24"/>
          <w:szCs w:val="24"/>
          <w:highlight w:val="white"/>
        </w:rPr>
      </w:pPr>
      <w:r>
        <w:rPr>
          <w:rFonts w:hint="eastAsia" w:ascii="宋体" w:hAnsi="宋体"/>
          <w:sz w:val="24"/>
          <w:szCs w:val="24"/>
          <w:highlight w:val="white"/>
        </w:rPr>
        <w:t>2、我方愿意按照磋商文件规定的各项要求，向采购人提供所需的货物与服务，投标总报价为人民币（大写）</w:t>
      </w:r>
      <w:r>
        <w:rPr>
          <w:rFonts w:hint="eastAsia" w:ascii="宋体" w:hAnsi="宋体"/>
          <w:sz w:val="24"/>
          <w:szCs w:val="24"/>
          <w:highlight w:val="white"/>
          <w:u w:val="single"/>
        </w:rPr>
        <w:t xml:space="preserve">         </w:t>
      </w:r>
      <w:r>
        <w:rPr>
          <w:rFonts w:hint="eastAsia" w:ascii="宋体" w:hAnsi="宋体"/>
          <w:sz w:val="24"/>
          <w:szCs w:val="24"/>
          <w:highlight w:val="white"/>
        </w:rPr>
        <w:t>元（小写</w:t>
      </w:r>
      <w:r>
        <w:rPr>
          <w:rFonts w:hint="eastAsia" w:ascii="宋体" w:hAnsi="宋体"/>
          <w:sz w:val="24"/>
          <w:szCs w:val="24"/>
          <w:highlight w:val="white"/>
          <w:u w:val="single"/>
        </w:rPr>
        <w:t xml:space="preserve">             </w:t>
      </w:r>
      <w:r>
        <w:rPr>
          <w:rFonts w:hint="eastAsia" w:ascii="宋体" w:hAnsi="宋体"/>
          <w:sz w:val="24"/>
          <w:szCs w:val="24"/>
          <w:highlight w:val="white"/>
        </w:rPr>
        <w:t>元），服务期为</w:t>
      </w:r>
      <w:r>
        <w:rPr>
          <w:rFonts w:hint="eastAsia" w:ascii="宋体" w:hAnsi="宋体"/>
          <w:sz w:val="24"/>
          <w:szCs w:val="24"/>
          <w:highlight w:val="white"/>
          <w:u w:val="single"/>
        </w:rPr>
        <w:t xml:space="preserve">         </w:t>
      </w:r>
      <w:r>
        <w:rPr>
          <w:rFonts w:hint="eastAsia" w:ascii="宋体" w:hAnsi="宋体"/>
          <w:sz w:val="24"/>
          <w:szCs w:val="24"/>
          <w:highlight w:val="white"/>
        </w:rPr>
        <w:t>日历天，质量达到</w:t>
      </w:r>
      <w:r>
        <w:rPr>
          <w:rFonts w:hint="eastAsia" w:ascii="宋体" w:hAnsi="宋体"/>
          <w:sz w:val="24"/>
          <w:szCs w:val="24"/>
          <w:highlight w:val="white"/>
          <w:u w:val="single"/>
        </w:rPr>
        <w:t xml:space="preserve">        </w:t>
      </w:r>
      <w:r>
        <w:rPr>
          <w:rFonts w:hint="eastAsia" w:ascii="宋体" w:hAnsi="宋体"/>
          <w:sz w:val="24"/>
          <w:szCs w:val="24"/>
          <w:highlight w:val="white"/>
        </w:rPr>
        <w:t>。</w:t>
      </w:r>
    </w:p>
    <w:p w14:paraId="04EA5C0C">
      <w:pPr>
        <w:spacing w:line="360" w:lineRule="auto"/>
        <w:ind w:firstLine="549"/>
        <w:rPr>
          <w:rFonts w:hint="eastAsia" w:ascii="宋体" w:hAnsi="宋体"/>
          <w:sz w:val="24"/>
          <w:szCs w:val="24"/>
          <w:highlight w:val="white"/>
        </w:rPr>
      </w:pPr>
      <w:r>
        <w:rPr>
          <w:rFonts w:hint="eastAsia" w:ascii="宋体" w:hAnsi="宋体"/>
          <w:sz w:val="24"/>
          <w:szCs w:val="24"/>
          <w:highlight w:val="white"/>
        </w:rPr>
        <w:t>3、一旦我方中标，我方将严格履行合同规定的责任和义务，按磋商文件要求提交履约保证金，保证于合同签字生效后，按规定的服务期完成项目的交货安装并交付采购人验收。</w:t>
      </w:r>
    </w:p>
    <w:p w14:paraId="5BB2E090">
      <w:pPr>
        <w:spacing w:line="360" w:lineRule="auto"/>
        <w:ind w:firstLine="549"/>
        <w:rPr>
          <w:rFonts w:hint="eastAsia" w:ascii="宋体" w:hAnsi="宋体"/>
          <w:sz w:val="24"/>
          <w:szCs w:val="24"/>
          <w:highlight w:val="white"/>
        </w:rPr>
      </w:pPr>
      <w:r>
        <w:rPr>
          <w:rFonts w:hint="eastAsia" w:ascii="宋体" w:hAnsi="宋体"/>
          <w:sz w:val="24"/>
          <w:szCs w:val="24"/>
          <w:highlight w:val="white"/>
        </w:rPr>
        <w:t>4、投标有效期为自投标截止之日起</w:t>
      </w:r>
      <w:r>
        <w:rPr>
          <w:rFonts w:hint="eastAsia" w:ascii="宋体" w:hAnsi="宋体"/>
          <w:sz w:val="24"/>
          <w:szCs w:val="24"/>
          <w:highlight w:val="white"/>
          <w:u w:val="single"/>
        </w:rPr>
        <w:t xml:space="preserve">      </w:t>
      </w:r>
      <w:r>
        <w:rPr>
          <w:rFonts w:hint="eastAsia" w:ascii="宋体" w:hAnsi="宋体"/>
          <w:sz w:val="24"/>
          <w:szCs w:val="24"/>
          <w:highlight w:val="white"/>
        </w:rPr>
        <w:t>日历天；我方承诺完全响应磋商文件及补充、澄清、修改文件中的全部内容。</w:t>
      </w:r>
    </w:p>
    <w:p w14:paraId="0B812F3E">
      <w:pPr>
        <w:spacing w:line="360" w:lineRule="auto"/>
        <w:ind w:firstLine="549"/>
        <w:rPr>
          <w:rFonts w:hint="eastAsia" w:ascii="宋体" w:hAnsi="宋体"/>
          <w:sz w:val="24"/>
          <w:szCs w:val="24"/>
          <w:highlight w:val="white"/>
        </w:rPr>
      </w:pPr>
      <w:r>
        <w:rPr>
          <w:rFonts w:hint="eastAsia" w:ascii="宋体" w:hAnsi="宋体"/>
          <w:sz w:val="24"/>
          <w:szCs w:val="24"/>
          <w:highlight w:val="white"/>
        </w:rPr>
        <w:t>5、我方为本项目提交的投标文件有：正本一份、副本四份，电子版投标文件一份。</w:t>
      </w:r>
    </w:p>
    <w:p w14:paraId="51FA5843">
      <w:pPr>
        <w:spacing w:line="360" w:lineRule="auto"/>
        <w:ind w:firstLine="549"/>
        <w:rPr>
          <w:rFonts w:hint="eastAsia" w:ascii="宋体" w:hAnsi="宋体"/>
          <w:sz w:val="24"/>
          <w:szCs w:val="24"/>
          <w:highlight w:val="white"/>
        </w:rPr>
      </w:pPr>
      <w:r>
        <w:rPr>
          <w:rFonts w:hint="eastAsia" w:ascii="宋体" w:hAnsi="宋体"/>
          <w:sz w:val="24"/>
          <w:szCs w:val="24"/>
          <w:highlight w:val="white"/>
        </w:rPr>
        <w:t>6、我方愿意提供采购人可能另外要求的、与投标有关的文件资料，并保证我方已提供和将要提供的文件是真实的、准确的。</w:t>
      </w:r>
    </w:p>
    <w:p w14:paraId="4A1848DD">
      <w:pPr>
        <w:spacing w:line="360" w:lineRule="auto"/>
        <w:ind w:firstLine="549"/>
        <w:rPr>
          <w:rFonts w:hint="eastAsia" w:ascii="宋体" w:hAnsi="宋体"/>
          <w:sz w:val="24"/>
          <w:szCs w:val="24"/>
          <w:highlight w:val="white"/>
        </w:rPr>
      </w:pPr>
      <w:r>
        <w:rPr>
          <w:rFonts w:hint="eastAsia" w:ascii="宋体" w:hAnsi="宋体"/>
          <w:sz w:val="24"/>
          <w:szCs w:val="24"/>
          <w:highlight w:val="white"/>
        </w:rPr>
        <w:t>7、我方完全理解你们不一定将合同授予最低报价的供应商。</w:t>
      </w:r>
    </w:p>
    <w:p w14:paraId="398B8CCF">
      <w:pPr>
        <w:spacing w:line="360" w:lineRule="auto"/>
        <w:ind w:firstLine="549"/>
        <w:rPr>
          <w:rFonts w:hint="eastAsia" w:ascii="宋体" w:hAnsi="宋体"/>
          <w:sz w:val="24"/>
          <w:szCs w:val="24"/>
          <w:highlight w:val="white"/>
        </w:rPr>
      </w:pPr>
      <w:r>
        <w:rPr>
          <w:rFonts w:hint="eastAsia" w:ascii="宋体" w:hAnsi="宋体"/>
          <w:sz w:val="24"/>
          <w:szCs w:val="24"/>
          <w:highlight w:val="white"/>
        </w:rPr>
        <w:t xml:space="preserve">    </w:t>
      </w:r>
    </w:p>
    <w:p w14:paraId="7BE01102">
      <w:pPr>
        <w:spacing w:line="360" w:lineRule="auto"/>
        <w:ind w:firstLine="549"/>
        <w:rPr>
          <w:rFonts w:hint="eastAsia" w:ascii="宋体" w:hAnsi="宋体"/>
          <w:sz w:val="24"/>
          <w:szCs w:val="24"/>
          <w:highlight w:val="white"/>
        </w:rPr>
      </w:pPr>
      <w:r>
        <w:rPr>
          <w:rFonts w:hint="eastAsia" w:ascii="宋体" w:hAnsi="宋体"/>
          <w:sz w:val="24"/>
          <w:szCs w:val="24"/>
          <w:highlight w:val="white"/>
        </w:rPr>
        <w:t>供应商名称：</w:t>
      </w:r>
      <w:r>
        <w:rPr>
          <w:rFonts w:hint="eastAsia" w:ascii="宋体" w:hAnsi="宋体"/>
          <w:sz w:val="24"/>
          <w:szCs w:val="24"/>
          <w:highlight w:val="white"/>
          <w:u w:val="single"/>
        </w:rPr>
        <w:t xml:space="preserve">        （公    章）                   </w:t>
      </w:r>
    </w:p>
    <w:p w14:paraId="186F15B6">
      <w:pPr>
        <w:spacing w:line="360" w:lineRule="auto"/>
        <w:ind w:firstLine="549"/>
        <w:rPr>
          <w:rFonts w:hint="eastAsia" w:ascii="宋体" w:hAnsi="宋体"/>
          <w:sz w:val="24"/>
          <w:szCs w:val="24"/>
          <w:highlight w:val="white"/>
          <w:u w:val="single"/>
        </w:rPr>
      </w:pPr>
      <w:r>
        <w:rPr>
          <w:rFonts w:hint="eastAsia" w:ascii="宋体" w:hAnsi="宋体"/>
          <w:sz w:val="24"/>
          <w:szCs w:val="24"/>
          <w:highlight w:val="white"/>
        </w:rPr>
        <w:t>法定代表人（签字或盖章）：</w:t>
      </w:r>
      <w:r>
        <w:rPr>
          <w:rFonts w:hint="eastAsia" w:ascii="宋体" w:hAnsi="宋体"/>
          <w:sz w:val="24"/>
          <w:szCs w:val="24"/>
          <w:highlight w:val="white"/>
          <w:u w:val="single"/>
        </w:rPr>
        <w:t xml:space="preserve">                          </w:t>
      </w:r>
    </w:p>
    <w:p w14:paraId="572A6C83">
      <w:pPr>
        <w:spacing w:line="360" w:lineRule="auto"/>
        <w:ind w:firstLine="549"/>
        <w:rPr>
          <w:rFonts w:hint="eastAsia" w:ascii="宋体" w:hAnsi="宋体"/>
          <w:sz w:val="24"/>
          <w:szCs w:val="24"/>
          <w:highlight w:val="white"/>
          <w:u w:val="single"/>
        </w:rPr>
      </w:pPr>
      <w:r>
        <w:rPr>
          <w:rFonts w:hint="eastAsia" w:ascii="宋体" w:hAnsi="宋体"/>
          <w:sz w:val="24"/>
          <w:szCs w:val="24"/>
          <w:highlight w:val="white"/>
        </w:rPr>
        <w:t>授权委托人（签字或盖章）：</w:t>
      </w:r>
      <w:r>
        <w:rPr>
          <w:rFonts w:hint="eastAsia" w:ascii="宋体" w:hAnsi="宋体"/>
          <w:sz w:val="24"/>
          <w:szCs w:val="24"/>
          <w:highlight w:val="white"/>
          <w:u w:val="single"/>
        </w:rPr>
        <w:t xml:space="preserve">                          </w:t>
      </w:r>
    </w:p>
    <w:p w14:paraId="0B5589BE">
      <w:pPr>
        <w:spacing w:line="360" w:lineRule="auto"/>
        <w:ind w:firstLine="549"/>
        <w:rPr>
          <w:rFonts w:hint="eastAsia" w:ascii="宋体" w:hAnsi="宋体"/>
          <w:sz w:val="24"/>
          <w:szCs w:val="24"/>
          <w:highlight w:val="white"/>
        </w:rPr>
      </w:pPr>
      <w:r>
        <w:rPr>
          <w:rFonts w:hint="eastAsia" w:ascii="宋体" w:hAnsi="宋体"/>
          <w:sz w:val="24"/>
          <w:szCs w:val="24"/>
          <w:highlight w:val="white"/>
        </w:rPr>
        <w:t>日     期：</w:t>
      </w:r>
      <w:r>
        <w:rPr>
          <w:rFonts w:hint="eastAsia" w:ascii="宋体" w:hAnsi="宋体"/>
          <w:sz w:val="24"/>
          <w:szCs w:val="24"/>
          <w:highlight w:val="white"/>
          <w:u w:val="single"/>
        </w:rPr>
        <w:t xml:space="preserve">                                       </w:t>
      </w:r>
    </w:p>
    <w:p w14:paraId="4F62775A">
      <w:pPr>
        <w:spacing w:line="360" w:lineRule="auto"/>
        <w:ind w:firstLine="549"/>
        <w:rPr>
          <w:rFonts w:hint="eastAsia" w:ascii="宋体" w:hAnsi="宋体"/>
          <w:sz w:val="24"/>
          <w:szCs w:val="24"/>
          <w:highlight w:val="white"/>
          <w:u w:val="single"/>
        </w:rPr>
      </w:pPr>
      <w:r>
        <w:rPr>
          <w:rFonts w:hint="eastAsia" w:ascii="宋体" w:hAnsi="宋体"/>
          <w:sz w:val="24"/>
          <w:szCs w:val="24"/>
          <w:highlight w:val="white"/>
        </w:rPr>
        <w:t>通讯地址：</w:t>
      </w:r>
      <w:r>
        <w:rPr>
          <w:rFonts w:hint="eastAsia" w:ascii="宋体" w:hAnsi="宋体"/>
          <w:sz w:val="24"/>
          <w:szCs w:val="24"/>
          <w:highlight w:val="white"/>
          <w:u w:val="single"/>
        </w:rPr>
        <w:t xml:space="preserve">                                        </w:t>
      </w:r>
    </w:p>
    <w:p w14:paraId="1DCED1B0">
      <w:pPr>
        <w:spacing w:line="360" w:lineRule="auto"/>
        <w:ind w:firstLine="549"/>
        <w:rPr>
          <w:rFonts w:hint="eastAsia" w:ascii="宋体" w:hAnsi="宋体"/>
          <w:sz w:val="24"/>
          <w:szCs w:val="24"/>
          <w:highlight w:val="white"/>
          <w:u w:val="single"/>
        </w:rPr>
      </w:pPr>
      <w:r>
        <w:rPr>
          <w:rFonts w:hint="eastAsia" w:ascii="宋体" w:hAnsi="宋体"/>
          <w:sz w:val="24"/>
          <w:szCs w:val="24"/>
          <w:highlight w:val="white"/>
        </w:rPr>
        <w:t>邮政编码：</w:t>
      </w:r>
      <w:r>
        <w:rPr>
          <w:rFonts w:hint="eastAsia" w:ascii="宋体" w:hAnsi="宋体"/>
          <w:sz w:val="24"/>
          <w:szCs w:val="24"/>
          <w:highlight w:val="white"/>
          <w:u w:val="single"/>
        </w:rPr>
        <w:t xml:space="preserve">             </w:t>
      </w:r>
      <w:r>
        <w:rPr>
          <w:rFonts w:hint="eastAsia" w:ascii="宋体" w:hAnsi="宋体"/>
          <w:sz w:val="24"/>
          <w:szCs w:val="24"/>
          <w:highlight w:val="white"/>
        </w:rPr>
        <w:t xml:space="preserve">     电   话：</w:t>
      </w:r>
      <w:r>
        <w:rPr>
          <w:rFonts w:hint="eastAsia" w:ascii="宋体" w:hAnsi="宋体"/>
          <w:sz w:val="24"/>
          <w:szCs w:val="24"/>
          <w:highlight w:val="white"/>
          <w:u w:val="single"/>
        </w:rPr>
        <w:t xml:space="preserve">             </w:t>
      </w:r>
    </w:p>
    <w:p w14:paraId="7CC87AE1">
      <w:pPr>
        <w:spacing w:line="360" w:lineRule="auto"/>
        <w:ind w:firstLine="549"/>
        <w:rPr>
          <w:rFonts w:hint="eastAsia" w:ascii="宋体" w:hAnsi="宋体"/>
          <w:sz w:val="24"/>
          <w:szCs w:val="24"/>
          <w:highlight w:val="white"/>
          <w:u w:val="single"/>
        </w:rPr>
      </w:pPr>
      <w:r>
        <w:rPr>
          <w:rFonts w:hint="eastAsia" w:ascii="宋体" w:hAnsi="宋体"/>
          <w:sz w:val="24"/>
          <w:szCs w:val="24"/>
          <w:highlight w:val="white"/>
        </w:rPr>
        <w:t>传    真：</w:t>
      </w:r>
      <w:r>
        <w:rPr>
          <w:rFonts w:hint="eastAsia" w:ascii="宋体" w:hAnsi="宋体"/>
          <w:sz w:val="24"/>
          <w:szCs w:val="24"/>
          <w:highlight w:val="white"/>
          <w:u w:val="single"/>
        </w:rPr>
        <w:t xml:space="preserve">             </w:t>
      </w:r>
    </w:p>
    <w:p w14:paraId="6BFB17B9">
      <w:pPr>
        <w:spacing w:line="360" w:lineRule="auto"/>
        <w:ind w:firstLine="549"/>
        <w:rPr>
          <w:rFonts w:hint="eastAsia" w:ascii="宋体" w:hAnsi="宋体"/>
          <w:sz w:val="24"/>
          <w:szCs w:val="24"/>
          <w:highlight w:val="white"/>
        </w:rPr>
      </w:pPr>
      <w:r>
        <w:rPr>
          <w:rFonts w:hint="eastAsia" w:ascii="宋体" w:hAnsi="宋体"/>
          <w:sz w:val="24"/>
          <w:szCs w:val="24"/>
          <w:highlight w:val="white"/>
        </w:rPr>
        <w:t xml:space="preserve">             </w:t>
      </w:r>
    </w:p>
    <w:p w14:paraId="72A1E6E3">
      <w:pPr>
        <w:pStyle w:val="6"/>
        <w:rPr>
          <w:rFonts w:hAnsi="宋体"/>
          <w:sz w:val="24"/>
          <w:szCs w:val="24"/>
          <w:highlight w:val="white"/>
        </w:rPr>
      </w:pPr>
      <w:r>
        <w:rPr>
          <w:rFonts w:hint="eastAsia" w:hAnsi="宋体"/>
          <w:b w:val="0"/>
          <w:bCs w:val="0"/>
          <w:sz w:val="24"/>
          <w:szCs w:val="24"/>
        </w:rPr>
        <w:br w:type="page"/>
      </w:r>
      <w:bookmarkStart w:id="136" w:name="_Toc382508392"/>
      <w:bookmarkEnd w:id="136"/>
      <w:r>
        <w:rPr>
          <w:rFonts w:hint="eastAsia" w:hAnsi="宋体"/>
          <w:sz w:val="24"/>
          <w:szCs w:val="24"/>
          <w:highlight w:val="white"/>
        </w:rPr>
        <w:t>格式2、法人代表授权书</w:t>
      </w:r>
    </w:p>
    <w:p w14:paraId="3D7BB064">
      <w:pPr>
        <w:spacing w:line="360" w:lineRule="auto"/>
        <w:rPr>
          <w:rFonts w:hint="eastAsia" w:ascii="宋体" w:hAnsi="宋体"/>
          <w:b/>
          <w:sz w:val="24"/>
          <w:szCs w:val="24"/>
        </w:rPr>
      </w:pPr>
      <w:r>
        <w:rPr>
          <w:rFonts w:hint="eastAsia" w:ascii="宋体" w:hAnsi="宋体"/>
          <w:b/>
          <w:sz w:val="24"/>
          <w:szCs w:val="24"/>
        </w:rPr>
        <w:t>（采购人）：</w:t>
      </w:r>
    </w:p>
    <w:p w14:paraId="43FA9A01">
      <w:pPr>
        <w:spacing w:line="360" w:lineRule="auto"/>
        <w:ind w:firstLine="480" w:firstLineChars="200"/>
        <w:jc w:val="lef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（供应商全称）法人代表授权</w:t>
      </w:r>
      <w:r>
        <w:rPr>
          <w:rFonts w:hint="eastAsia" w:ascii="宋体" w:hAnsi="宋体"/>
          <w:sz w:val="24"/>
          <w:szCs w:val="24"/>
          <w:u w:val="single"/>
        </w:rPr>
        <w:t xml:space="preserve">              </w:t>
      </w:r>
      <w:r>
        <w:rPr>
          <w:rFonts w:hint="eastAsia" w:ascii="宋体" w:hAnsi="宋体"/>
          <w:sz w:val="24"/>
          <w:szCs w:val="24"/>
        </w:rPr>
        <w:t>（供应商代表姓名）为供应商代表，参加贵单位组织的</w:t>
      </w:r>
      <w:r>
        <w:rPr>
          <w:rFonts w:hint="eastAsia" w:ascii="宋体" w:hAnsi="宋体"/>
          <w:sz w:val="24"/>
          <w:szCs w:val="24"/>
          <w:u w:val="single"/>
        </w:rPr>
        <w:t xml:space="preserve">                </w:t>
      </w:r>
      <w:r>
        <w:rPr>
          <w:rFonts w:hint="eastAsia" w:ascii="宋体" w:hAnsi="宋体"/>
          <w:sz w:val="24"/>
          <w:szCs w:val="24"/>
        </w:rPr>
        <w:t>（项目名称）项目（项目编号</w:t>
      </w:r>
      <w:r>
        <w:rPr>
          <w:rFonts w:hint="eastAsia" w:ascii="宋体" w:hAnsi="宋体"/>
          <w:sz w:val="24"/>
          <w:szCs w:val="24"/>
          <w:u w:val="single"/>
        </w:rPr>
        <w:t xml:space="preserve">            </w:t>
      </w:r>
      <w:r>
        <w:rPr>
          <w:rFonts w:hint="eastAsia" w:ascii="宋体" w:hAnsi="宋体"/>
          <w:sz w:val="24"/>
          <w:szCs w:val="24"/>
        </w:rPr>
        <w:t>）招标活动，全权代表我方处理招标活动的一切事宜。</w:t>
      </w:r>
    </w:p>
    <w:p w14:paraId="5C3B4820">
      <w:pPr>
        <w:tabs>
          <w:tab w:val="left" w:pos="1935"/>
        </w:tabs>
        <w:spacing w:line="360" w:lineRule="auto"/>
        <w:rPr>
          <w:rFonts w:hint="eastAsia" w:ascii="宋体" w:hAnsi="宋体"/>
          <w:sz w:val="24"/>
          <w:szCs w:val="24"/>
        </w:rPr>
      </w:pPr>
      <w:r>
        <w:rPr>
          <w:rFonts w:ascii="宋体" w:hAnsi="宋体"/>
          <w:sz w:val="24"/>
          <w:szCs w:val="24"/>
        </w:rPr>
        <w:tab/>
      </w:r>
    </w:p>
    <w:p w14:paraId="53B5ED61">
      <w:pPr>
        <w:spacing w:line="360" w:lineRule="auto"/>
        <w:rPr>
          <w:rFonts w:hint="eastAsia" w:ascii="宋体" w:hAnsi="宋体"/>
          <w:sz w:val="24"/>
          <w:szCs w:val="24"/>
        </w:rPr>
      </w:pPr>
    </w:p>
    <w:p w14:paraId="5FA39AD0">
      <w:pPr>
        <w:spacing w:line="360" w:lineRule="auto"/>
        <w:rPr>
          <w:rFonts w:hint="eastAsia" w:ascii="宋体" w:hAnsi="宋体"/>
          <w:sz w:val="24"/>
          <w:szCs w:val="24"/>
        </w:rPr>
      </w:pPr>
      <w:r>
        <w:rPr>
          <w:rFonts w:hint="eastAsia" w:ascii="宋体" w:hAnsi="宋体"/>
          <w:sz w:val="24"/>
          <w:szCs w:val="24"/>
        </w:rPr>
        <w:t xml:space="preserve">                                 法定代表人（签字或盖章）：</w:t>
      </w:r>
    </w:p>
    <w:p w14:paraId="187997E2">
      <w:pPr>
        <w:spacing w:line="360" w:lineRule="auto"/>
        <w:rPr>
          <w:rFonts w:hint="eastAsia" w:ascii="宋体" w:hAnsi="宋体"/>
          <w:sz w:val="24"/>
          <w:szCs w:val="24"/>
        </w:rPr>
      </w:pPr>
      <w:r>
        <w:rPr>
          <w:rFonts w:hint="eastAsia" w:ascii="宋体" w:hAnsi="宋体"/>
          <w:sz w:val="24"/>
          <w:szCs w:val="24"/>
        </w:rPr>
        <w:t xml:space="preserve">                                 供应商名称（公章）：</w:t>
      </w:r>
    </w:p>
    <w:p w14:paraId="37925DE4">
      <w:pPr>
        <w:spacing w:line="360" w:lineRule="auto"/>
        <w:rPr>
          <w:rFonts w:hint="eastAsia" w:ascii="宋体" w:hAnsi="宋体"/>
          <w:sz w:val="24"/>
          <w:szCs w:val="24"/>
        </w:rPr>
      </w:pPr>
    </w:p>
    <w:p w14:paraId="2BDC0D86">
      <w:pPr>
        <w:spacing w:line="360" w:lineRule="auto"/>
        <w:rPr>
          <w:rFonts w:hint="eastAsia" w:ascii="宋体" w:hAnsi="宋体"/>
          <w:sz w:val="24"/>
          <w:szCs w:val="24"/>
        </w:rPr>
      </w:pPr>
      <w:r>
        <w:rPr>
          <w:rFonts w:hint="eastAsia" w:ascii="宋体" w:hAnsi="宋体"/>
          <w:sz w:val="24"/>
          <w:szCs w:val="24"/>
        </w:rPr>
        <w:t xml:space="preserve">                                  日期：</w:t>
      </w:r>
    </w:p>
    <w:p w14:paraId="0E950F69">
      <w:pPr>
        <w:spacing w:line="360" w:lineRule="auto"/>
        <w:rPr>
          <w:rFonts w:hint="eastAsia" w:ascii="宋体" w:hAnsi="宋体"/>
          <w:sz w:val="24"/>
          <w:szCs w:val="24"/>
        </w:rPr>
      </w:pPr>
      <w:r>
        <w:rPr>
          <w:rFonts w:hint="eastAsia" w:ascii="宋体" w:hAnsi="宋体"/>
          <w:sz w:val="24"/>
          <w:szCs w:val="24"/>
        </w:rPr>
        <w:t>附：法人及授权委托人身份证</w:t>
      </w:r>
    </w:p>
    <w:p w14:paraId="44C92F8C">
      <w:pPr>
        <w:spacing w:line="360" w:lineRule="auto"/>
        <w:rPr>
          <w:rFonts w:hint="eastAsia" w:ascii="宋体" w:hAnsi="宋体"/>
          <w:sz w:val="24"/>
          <w:szCs w:val="24"/>
        </w:rPr>
      </w:pPr>
    </w:p>
    <w:p w14:paraId="704679AE">
      <w:pPr>
        <w:spacing w:line="360" w:lineRule="auto"/>
        <w:rPr>
          <w:rFonts w:hint="eastAsia" w:ascii="宋体" w:hAnsi="宋体"/>
          <w:sz w:val="24"/>
          <w:szCs w:val="24"/>
        </w:rPr>
      </w:pPr>
    </w:p>
    <w:p w14:paraId="78B282A2">
      <w:pPr>
        <w:spacing w:line="360" w:lineRule="auto"/>
        <w:rPr>
          <w:rFonts w:hint="eastAsia" w:ascii="宋体" w:hAnsi="宋体"/>
          <w:sz w:val="24"/>
          <w:szCs w:val="24"/>
        </w:rPr>
      </w:pPr>
      <w:r>
        <w:rPr>
          <w:rFonts w:hint="eastAsia" w:ascii="宋体" w:hAnsi="宋体"/>
          <w:sz w:val="24"/>
          <w:szCs w:val="24"/>
        </w:rPr>
        <w:t>委托代理人姓名：</w:t>
      </w:r>
      <w:r>
        <w:rPr>
          <w:rFonts w:hint="eastAsia" w:ascii="宋体" w:hAnsi="宋体"/>
          <w:sz w:val="24"/>
          <w:szCs w:val="24"/>
          <w:u w:val="single"/>
        </w:rPr>
        <w:t xml:space="preserve">                        </w:t>
      </w:r>
      <w:r>
        <w:rPr>
          <w:rFonts w:hint="eastAsia" w:ascii="宋体" w:hAnsi="宋体"/>
          <w:sz w:val="24"/>
          <w:szCs w:val="24"/>
        </w:rPr>
        <w:t>（签字或盖章）</w:t>
      </w:r>
    </w:p>
    <w:p w14:paraId="246A623E">
      <w:pPr>
        <w:spacing w:line="360" w:lineRule="auto"/>
        <w:rPr>
          <w:rFonts w:hint="eastAsia" w:ascii="宋体" w:hAnsi="宋体"/>
          <w:sz w:val="24"/>
          <w:szCs w:val="24"/>
        </w:rPr>
      </w:pPr>
      <w:r>
        <w:rPr>
          <w:rFonts w:hint="eastAsia" w:ascii="宋体" w:hAnsi="宋体"/>
          <w:sz w:val="24"/>
          <w:szCs w:val="24"/>
        </w:rPr>
        <w:t>职          务：</w:t>
      </w:r>
      <w:r>
        <w:rPr>
          <w:rFonts w:hint="eastAsia" w:ascii="宋体" w:hAnsi="宋体"/>
          <w:sz w:val="24"/>
          <w:szCs w:val="24"/>
          <w:u w:val="single"/>
        </w:rPr>
        <w:t xml:space="preserve">                       </w:t>
      </w:r>
    </w:p>
    <w:p w14:paraId="6C6EC7B7">
      <w:pPr>
        <w:spacing w:line="360" w:lineRule="auto"/>
        <w:rPr>
          <w:rFonts w:hint="eastAsia" w:ascii="宋体" w:hAnsi="宋体"/>
          <w:sz w:val="24"/>
          <w:szCs w:val="24"/>
        </w:rPr>
      </w:pPr>
      <w:r>
        <w:rPr>
          <w:rFonts w:hint="eastAsia" w:ascii="宋体" w:hAnsi="宋体"/>
          <w:sz w:val="24"/>
          <w:szCs w:val="24"/>
        </w:rPr>
        <w:t xml:space="preserve">详细通讯地址：  </w:t>
      </w:r>
      <w:r>
        <w:rPr>
          <w:rFonts w:hint="eastAsia" w:ascii="宋体" w:hAnsi="宋体"/>
          <w:sz w:val="24"/>
          <w:szCs w:val="24"/>
          <w:u w:val="single"/>
        </w:rPr>
        <w:t xml:space="preserve">                       </w:t>
      </w:r>
    </w:p>
    <w:p w14:paraId="60B540A6">
      <w:pPr>
        <w:spacing w:line="360" w:lineRule="auto"/>
        <w:rPr>
          <w:rFonts w:hint="eastAsia" w:ascii="宋体" w:hAnsi="宋体"/>
          <w:sz w:val="24"/>
          <w:szCs w:val="24"/>
        </w:rPr>
      </w:pPr>
      <w:r>
        <w:rPr>
          <w:rFonts w:hint="eastAsia" w:ascii="宋体" w:hAnsi="宋体"/>
          <w:sz w:val="24"/>
          <w:szCs w:val="24"/>
        </w:rPr>
        <w:t>邮  政  编  码：</w:t>
      </w:r>
      <w:r>
        <w:rPr>
          <w:rFonts w:hint="eastAsia" w:ascii="宋体" w:hAnsi="宋体"/>
          <w:sz w:val="24"/>
          <w:szCs w:val="24"/>
          <w:u w:val="single"/>
        </w:rPr>
        <w:t xml:space="preserve">                       </w:t>
      </w:r>
    </w:p>
    <w:p w14:paraId="0A1A77DC">
      <w:pPr>
        <w:spacing w:line="360" w:lineRule="auto"/>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5DA21E58">
      <w:pPr>
        <w:spacing w:line="360" w:lineRule="auto"/>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0C1F7A72">
      <w:pPr>
        <w:spacing w:line="360" w:lineRule="auto"/>
        <w:rPr>
          <w:rFonts w:hint="eastAsia" w:ascii="宋体" w:hAnsi="宋体"/>
          <w:b/>
          <w:bCs/>
          <w:sz w:val="24"/>
          <w:szCs w:val="24"/>
        </w:rPr>
      </w:pPr>
      <w:r>
        <w:rPr>
          <w:rFonts w:hint="eastAsia" w:ascii="宋体" w:hAnsi="宋体"/>
          <w:sz w:val="24"/>
          <w:szCs w:val="24"/>
        </w:rPr>
        <w:t>电  子  信  箱：</w:t>
      </w:r>
      <w:r>
        <w:rPr>
          <w:rFonts w:hint="eastAsia" w:ascii="宋体" w:hAnsi="宋体"/>
          <w:sz w:val="24"/>
          <w:szCs w:val="24"/>
          <w:u w:val="single"/>
        </w:rPr>
        <w:t xml:space="preserve">                       </w:t>
      </w:r>
    </w:p>
    <w:p w14:paraId="554F0198">
      <w:pPr>
        <w:spacing w:line="360" w:lineRule="auto"/>
        <w:rPr>
          <w:rFonts w:hint="eastAsia" w:ascii="宋体" w:hAnsi="宋体"/>
          <w:b/>
          <w:bCs/>
          <w:sz w:val="24"/>
          <w:szCs w:val="24"/>
        </w:rPr>
      </w:pPr>
      <w:r>
        <w:rPr>
          <w:rFonts w:hint="eastAsia" w:ascii="宋体" w:hAnsi="宋体"/>
          <w:b/>
          <w:bCs/>
          <w:sz w:val="24"/>
          <w:szCs w:val="24"/>
        </w:rPr>
        <w:t>（本页除响应文件中需装订外，应单独手持一份至开标现场。开标现场接受检查。）</w:t>
      </w:r>
    </w:p>
    <w:p w14:paraId="6F33920E">
      <w:pPr>
        <w:spacing w:line="360" w:lineRule="auto"/>
        <w:rPr>
          <w:rFonts w:hint="eastAsia" w:ascii="宋体" w:hAnsi="宋体"/>
          <w:sz w:val="24"/>
          <w:szCs w:val="24"/>
        </w:rPr>
      </w:pPr>
      <w:r>
        <w:rPr>
          <w:rFonts w:hint="eastAsia" w:ascii="宋体" w:hAnsi="宋体"/>
          <w:b/>
          <w:bCs/>
          <w:sz w:val="24"/>
          <w:szCs w:val="24"/>
        </w:rPr>
        <w:br w:type="page"/>
      </w:r>
      <w:r>
        <w:rPr>
          <w:rFonts w:hint="eastAsia" w:ascii="宋体" w:hAnsi="宋体"/>
          <w:sz w:val="24"/>
          <w:szCs w:val="24"/>
        </w:rPr>
        <w:t>附：法定代表人身份证明</w:t>
      </w:r>
    </w:p>
    <w:p w14:paraId="6FFFA721">
      <w:pPr>
        <w:spacing w:line="360" w:lineRule="auto"/>
        <w:rPr>
          <w:rFonts w:hint="eastAsia" w:ascii="宋体" w:hAnsi="宋体"/>
          <w:sz w:val="24"/>
          <w:szCs w:val="24"/>
        </w:rPr>
      </w:pPr>
    </w:p>
    <w:p w14:paraId="2FEDD0F1">
      <w:pPr>
        <w:spacing w:line="360" w:lineRule="auto"/>
        <w:jc w:val="center"/>
        <w:rPr>
          <w:rFonts w:hint="eastAsia" w:ascii="宋体" w:hAnsi="宋体"/>
          <w:b/>
          <w:sz w:val="24"/>
          <w:szCs w:val="24"/>
        </w:rPr>
      </w:pPr>
      <w:r>
        <w:rPr>
          <w:rFonts w:hint="eastAsia" w:ascii="宋体" w:hAnsi="宋体"/>
          <w:b/>
          <w:sz w:val="24"/>
          <w:szCs w:val="24"/>
        </w:rPr>
        <w:t>法定代表人身份证明</w:t>
      </w:r>
    </w:p>
    <w:p w14:paraId="5060EAEC">
      <w:pPr>
        <w:spacing w:line="360" w:lineRule="auto"/>
        <w:rPr>
          <w:rFonts w:hint="eastAsia" w:ascii="宋体" w:hAnsi="宋体"/>
          <w:sz w:val="24"/>
          <w:szCs w:val="24"/>
        </w:rPr>
      </w:pPr>
    </w:p>
    <w:p w14:paraId="479652AB">
      <w:pPr>
        <w:spacing w:line="360" w:lineRule="auto"/>
        <w:rPr>
          <w:rFonts w:hint="eastAsia" w:ascii="宋体" w:hAnsi="宋体"/>
          <w:sz w:val="24"/>
          <w:szCs w:val="24"/>
        </w:rPr>
      </w:pPr>
    </w:p>
    <w:p w14:paraId="74EAAAA3">
      <w:pPr>
        <w:spacing w:line="360" w:lineRule="auto"/>
        <w:rPr>
          <w:rFonts w:hint="eastAsia" w:ascii="宋体" w:hAnsi="宋体"/>
          <w:sz w:val="24"/>
          <w:szCs w:val="24"/>
          <w:u w:val="single"/>
        </w:rPr>
      </w:pPr>
      <w:r>
        <w:rPr>
          <w:rFonts w:hint="eastAsia" w:ascii="宋体" w:hAnsi="宋体"/>
          <w:sz w:val="24"/>
          <w:szCs w:val="24"/>
        </w:rPr>
        <w:t>单位名称：</w:t>
      </w:r>
      <w:r>
        <w:rPr>
          <w:rFonts w:hint="eastAsia" w:ascii="宋体" w:hAnsi="宋体"/>
          <w:sz w:val="24"/>
          <w:szCs w:val="24"/>
          <w:u w:val="single"/>
        </w:rPr>
        <w:t xml:space="preserve">                                           </w:t>
      </w:r>
    </w:p>
    <w:p w14:paraId="0E5849F4">
      <w:pPr>
        <w:spacing w:line="360" w:lineRule="auto"/>
        <w:rPr>
          <w:rFonts w:hint="eastAsia" w:ascii="宋体" w:hAnsi="宋体"/>
          <w:sz w:val="24"/>
          <w:szCs w:val="24"/>
          <w:u w:val="single"/>
        </w:rPr>
      </w:pPr>
      <w:r>
        <w:rPr>
          <w:rFonts w:hint="eastAsia" w:ascii="宋体" w:hAnsi="宋体"/>
          <w:sz w:val="24"/>
          <w:szCs w:val="24"/>
        </w:rPr>
        <w:t>单位性质：</w:t>
      </w:r>
      <w:r>
        <w:rPr>
          <w:rFonts w:hint="eastAsia" w:ascii="宋体" w:hAnsi="宋体"/>
          <w:sz w:val="24"/>
          <w:szCs w:val="24"/>
          <w:u w:val="single"/>
        </w:rPr>
        <w:t xml:space="preserve">                                           </w:t>
      </w:r>
    </w:p>
    <w:p w14:paraId="0C9B0B9E">
      <w:pPr>
        <w:spacing w:line="360" w:lineRule="auto"/>
        <w:rPr>
          <w:rFonts w:hint="eastAsia"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14:paraId="4FE316AA">
      <w:pPr>
        <w:spacing w:line="360" w:lineRule="auto"/>
        <w:rPr>
          <w:rFonts w:hint="eastAsia"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 xml:space="preserve"> 月 </w:t>
      </w:r>
      <w:r>
        <w:rPr>
          <w:rFonts w:hint="eastAsia" w:ascii="宋体" w:hAnsi="宋体"/>
          <w:sz w:val="24"/>
          <w:szCs w:val="24"/>
          <w:u w:val="single"/>
        </w:rPr>
        <w:t xml:space="preserve">          </w:t>
      </w:r>
      <w:r>
        <w:rPr>
          <w:rFonts w:hint="eastAsia" w:ascii="宋体" w:hAnsi="宋体"/>
          <w:sz w:val="24"/>
          <w:szCs w:val="24"/>
        </w:rPr>
        <w:t xml:space="preserve">  日</w:t>
      </w:r>
    </w:p>
    <w:p w14:paraId="06ED96BB">
      <w:pPr>
        <w:spacing w:line="360" w:lineRule="auto"/>
        <w:rPr>
          <w:rFonts w:hint="eastAsia" w:ascii="宋体" w:hAnsi="宋体"/>
          <w:sz w:val="24"/>
          <w:szCs w:val="24"/>
          <w:u w:val="single"/>
        </w:rPr>
      </w:pPr>
      <w:r>
        <w:rPr>
          <w:rFonts w:hint="eastAsia" w:ascii="宋体" w:hAnsi="宋体"/>
          <w:sz w:val="24"/>
          <w:szCs w:val="24"/>
        </w:rPr>
        <w:t>经营期限：</w:t>
      </w:r>
      <w:r>
        <w:rPr>
          <w:rFonts w:hint="eastAsia" w:ascii="宋体" w:hAnsi="宋体"/>
          <w:sz w:val="24"/>
          <w:szCs w:val="24"/>
          <w:u w:val="single"/>
        </w:rPr>
        <w:t xml:space="preserve">                                           </w:t>
      </w:r>
    </w:p>
    <w:p w14:paraId="14B59E3D">
      <w:pPr>
        <w:spacing w:line="360" w:lineRule="auto"/>
        <w:rPr>
          <w:rFonts w:hint="eastAsia" w:ascii="宋体" w:hAnsi="宋体"/>
          <w:sz w:val="24"/>
          <w:szCs w:val="24"/>
          <w:u w:val="single"/>
        </w:rPr>
      </w:pPr>
      <w:r>
        <w:rPr>
          <w:rFonts w:hint="eastAsia" w:ascii="宋体" w:hAnsi="宋体"/>
          <w:sz w:val="24"/>
          <w:szCs w:val="24"/>
        </w:rPr>
        <w:t>姓    名：</w:t>
      </w:r>
      <w:r>
        <w:rPr>
          <w:rFonts w:hint="eastAsia" w:ascii="宋体" w:hAnsi="宋体"/>
          <w:sz w:val="24"/>
          <w:szCs w:val="24"/>
          <w:u w:val="single"/>
        </w:rPr>
        <w:t xml:space="preserve">                  </w:t>
      </w:r>
      <w:r>
        <w:rPr>
          <w:rFonts w:hint="eastAsia" w:ascii="宋体" w:hAnsi="宋体"/>
          <w:sz w:val="24"/>
          <w:szCs w:val="24"/>
        </w:rPr>
        <w:t xml:space="preserve">       性别： </w:t>
      </w:r>
      <w:r>
        <w:rPr>
          <w:rFonts w:hint="eastAsia" w:ascii="宋体" w:hAnsi="宋体"/>
          <w:sz w:val="24"/>
          <w:szCs w:val="24"/>
          <w:u w:val="single"/>
        </w:rPr>
        <w:t xml:space="preserve">                   </w:t>
      </w:r>
    </w:p>
    <w:p w14:paraId="7A17BBB1">
      <w:pPr>
        <w:spacing w:line="360" w:lineRule="auto"/>
        <w:rPr>
          <w:rFonts w:hint="eastAsia" w:ascii="宋体" w:hAnsi="宋体"/>
          <w:sz w:val="24"/>
          <w:szCs w:val="24"/>
          <w:u w:val="single"/>
        </w:rPr>
      </w:pPr>
      <w:r>
        <w:rPr>
          <w:rFonts w:hint="eastAsia" w:ascii="宋体" w:hAnsi="宋体"/>
          <w:sz w:val="24"/>
          <w:szCs w:val="24"/>
        </w:rPr>
        <w:t>年    龄：</w:t>
      </w:r>
      <w:r>
        <w:rPr>
          <w:rFonts w:hint="eastAsia" w:ascii="宋体" w:hAnsi="宋体"/>
          <w:sz w:val="24"/>
          <w:szCs w:val="24"/>
          <w:u w:val="single"/>
        </w:rPr>
        <w:t xml:space="preserve">                  </w:t>
      </w:r>
      <w:r>
        <w:rPr>
          <w:rFonts w:hint="eastAsia" w:ascii="宋体" w:hAnsi="宋体"/>
          <w:sz w:val="24"/>
          <w:szCs w:val="24"/>
        </w:rPr>
        <w:t xml:space="preserve">       职务： </w:t>
      </w:r>
      <w:r>
        <w:rPr>
          <w:rFonts w:hint="eastAsia" w:ascii="宋体" w:hAnsi="宋体"/>
          <w:sz w:val="24"/>
          <w:szCs w:val="24"/>
          <w:u w:val="single"/>
        </w:rPr>
        <w:t xml:space="preserve">                   </w:t>
      </w:r>
    </w:p>
    <w:p w14:paraId="0669B86C">
      <w:pPr>
        <w:spacing w:line="360" w:lineRule="auto"/>
        <w:rPr>
          <w:rFonts w:hint="eastAsia" w:ascii="宋体" w:hAnsi="宋体"/>
          <w:sz w:val="24"/>
          <w:szCs w:val="24"/>
        </w:rPr>
      </w:pPr>
      <w:r>
        <w:rPr>
          <w:rFonts w:hint="eastAsia" w:ascii="宋体" w:hAnsi="宋体"/>
          <w:sz w:val="24"/>
          <w:szCs w:val="24"/>
        </w:rPr>
        <w:t>系</w:t>
      </w:r>
      <w:r>
        <w:rPr>
          <w:rFonts w:hint="eastAsia" w:ascii="宋体" w:hAnsi="宋体"/>
          <w:sz w:val="24"/>
          <w:szCs w:val="24"/>
          <w:u w:val="single"/>
        </w:rPr>
        <w:t xml:space="preserve">           （供应商单位名称）             </w:t>
      </w:r>
      <w:r>
        <w:rPr>
          <w:rFonts w:hint="eastAsia" w:ascii="宋体" w:hAnsi="宋体"/>
          <w:sz w:val="24"/>
          <w:szCs w:val="24"/>
        </w:rPr>
        <w:t>的法定代表人。</w:t>
      </w:r>
    </w:p>
    <w:p w14:paraId="178C8A1D">
      <w:pPr>
        <w:spacing w:line="360" w:lineRule="auto"/>
        <w:rPr>
          <w:rFonts w:hint="eastAsia" w:ascii="宋体" w:hAnsi="宋体"/>
          <w:sz w:val="24"/>
          <w:szCs w:val="24"/>
        </w:rPr>
      </w:pPr>
    </w:p>
    <w:p w14:paraId="481E6733">
      <w:pPr>
        <w:spacing w:line="360" w:lineRule="auto"/>
        <w:rPr>
          <w:rFonts w:hint="eastAsia" w:ascii="宋体" w:hAnsi="宋体"/>
          <w:sz w:val="24"/>
          <w:szCs w:val="24"/>
        </w:rPr>
      </w:pPr>
      <w:r>
        <w:rPr>
          <w:rFonts w:hint="eastAsia" w:ascii="宋体" w:hAnsi="宋体"/>
          <w:sz w:val="24"/>
          <w:szCs w:val="24"/>
        </w:rPr>
        <w:t>特此证明。</w:t>
      </w:r>
    </w:p>
    <w:p w14:paraId="046E90C3">
      <w:pPr>
        <w:spacing w:before="62" w:beforeLines="20" w:after="62" w:afterLines="20" w:line="540" w:lineRule="exact"/>
        <w:rPr>
          <w:rFonts w:ascii="宋体" w:hAnsi="宋体"/>
          <w:b/>
          <w:sz w:val="24"/>
          <w:szCs w:val="24"/>
        </w:rPr>
      </w:pPr>
      <w:r>
        <w:rPr>
          <w:rFonts w:hint="eastAsia" w:ascii="宋体" w:hAnsi="宋体"/>
          <w:b/>
          <w:sz w:val="24"/>
          <w:szCs w:val="24"/>
        </w:rPr>
        <w:t>附：法定代表人身份证扫描件</w:t>
      </w:r>
    </w:p>
    <w:p w14:paraId="517DB4D6">
      <w:pPr>
        <w:pStyle w:val="18"/>
        <w:ind w:firstLine="480"/>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14:paraId="7040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14:paraId="1BFFE677">
            <w:pPr>
              <w:spacing w:before="62" w:beforeLines="20" w:after="62" w:afterLines="20" w:line="540" w:lineRule="exact"/>
              <w:jc w:val="center"/>
              <w:rPr>
                <w:rFonts w:ascii="宋体" w:hAnsi="宋体"/>
                <w:sz w:val="24"/>
                <w:szCs w:val="24"/>
              </w:rPr>
            </w:pPr>
            <w:r>
              <w:rPr>
                <w:rFonts w:hint="eastAsia" w:ascii="宋体" w:hAnsi="宋体"/>
                <w:b/>
                <w:sz w:val="24"/>
                <w:szCs w:val="24"/>
              </w:rPr>
              <w:t>法定代表人身份证扫描件</w:t>
            </w:r>
          </w:p>
        </w:tc>
      </w:tr>
    </w:tbl>
    <w:p w14:paraId="1883A2F1">
      <w:pPr>
        <w:spacing w:line="360" w:lineRule="auto"/>
        <w:rPr>
          <w:rFonts w:hint="eastAsia" w:ascii="宋体" w:hAnsi="宋体"/>
          <w:sz w:val="24"/>
          <w:szCs w:val="24"/>
        </w:rPr>
      </w:pPr>
    </w:p>
    <w:p w14:paraId="13F37555">
      <w:pPr>
        <w:spacing w:line="360" w:lineRule="auto"/>
        <w:rPr>
          <w:rFonts w:hint="eastAsia" w:ascii="宋体" w:hAnsi="宋体"/>
          <w:sz w:val="24"/>
          <w:szCs w:val="24"/>
        </w:rPr>
      </w:pPr>
    </w:p>
    <w:p w14:paraId="73D233A2">
      <w:pPr>
        <w:spacing w:line="360" w:lineRule="auto"/>
        <w:rPr>
          <w:rFonts w:hint="eastAsia" w:ascii="宋体" w:hAnsi="宋体"/>
          <w:sz w:val="24"/>
          <w:szCs w:val="24"/>
        </w:rPr>
      </w:pPr>
      <w:r>
        <w:rPr>
          <w:rFonts w:hint="eastAsia" w:ascii="宋体" w:hAnsi="宋体"/>
          <w:sz w:val="24"/>
          <w:szCs w:val="24"/>
        </w:rPr>
        <w:t xml:space="preserve">               供应商：</w:t>
      </w:r>
      <w:r>
        <w:rPr>
          <w:rFonts w:hint="eastAsia" w:ascii="宋体" w:hAnsi="宋体"/>
          <w:sz w:val="24"/>
          <w:szCs w:val="24"/>
          <w:u w:val="single"/>
        </w:rPr>
        <w:t xml:space="preserve">             （盖公章）</w:t>
      </w:r>
    </w:p>
    <w:p w14:paraId="0224E67C">
      <w:pPr>
        <w:spacing w:line="360" w:lineRule="auto"/>
        <w:rPr>
          <w:rFonts w:hint="eastAsia" w:ascii="宋体" w:hAnsi="宋体"/>
          <w:sz w:val="24"/>
          <w:szCs w:val="24"/>
        </w:rPr>
      </w:pPr>
      <w:r>
        <w:rPr>
          <w:rFonts w:hint="eastAsia" w:ascii="宋体" w:hAnsi="宋体"/>
          <w:sz w:val="24"/>
          <w:szCs w:val="24"/>
        </w:rPr>
        <w:t xml:space="preserve">            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74FE6243">
      <w:pPr>
        <w:pStyle w:val="6"/>
        <w:rPr>
          <w:rFonts w:hint="eastAsia" w:hAnsi="宋体"/>
          <w:sz w:val="24"/>
          <w:szCs w:val="24"/>
        </w:rPr>
      </w:pPr>
      <w:bookmarkStart w:id="137" w:name="_Toc7348"/>
      <w:bookmarkStart w:id="138" w:name="_Toc17032"/>
      <w:bookmarkStart w:id="139" w:name="_Toc7181"/>
      <w:r>
        <w:rPr>
          <w:rFonts w:hint="eastAsia" w:hAnsi="宋体"/>
          <w:sz w:val="24"/>
          <w:szCs w:val="24"/>
        </w:rPr>
        <w:t xml:space="preserve"> </w:t>
      </w:r>
    </w:p>
    <w:p w14:paraId="610018BA">
      <w:pPr>
        <w:spacing w:line="360" w:lineRule="auto"/>
        <w:jc w:val="center"/>
        <w:outlineLvl w:val="0"/>
        <w:rPr>
          <w:rFonts w:hint="eastAsia" w:ascii="宋体" w:hAnsi="宋体"/>
          <w:sz w:val="24"/>
          <w:szCs w:val="24"/>
        </w:rPr>
      </w:pPr>
    </w:p>
    <w:bookmarkEnd w:id="137"/>
    <w:bookmarkEnd w:id="138"/>
    <w:bookmarkEnd w:id="139"/>
    <w:p w14:paraId="6F108C1E">
      <w:pPr>
        <w:snapToGrid w:val="0"/>
        <w:spacing w:line="360" w:lineRule="auto"/>
        <w:ind w:right="-33"/>
        <w:jc w:val="center"/>
        <w:textAlignment w:val="baseline"/>
        <w:rPr>
          <w:rFonts w:hint="eastAsia" w:ascii="宋体" w:hAnsi="宋体"/>
          <w:b/>
          <w:bCs/>
          <w:sz w:val="24"/>
          <w:szCs w:val="24"/>
        </w:rPr>
      </w:pPr>
      <w:bookmarkStart w:id="140" w:name="_Toc24283"/>
      <w:bookmarkStart w:id="141" w:name="_Toc14776"/>
      <w:bookmarkStart w:id="142" w:name="_Toc506218920"/>
      <w:bookmarkStart w:id="143" w:name="_Toc507769455"/>
      <w:bookmarkStart w:id="144" w:name="_Toc62655842"/>
    </w:p>
    <w:p w14:paraId="6216C319">
      <w:pPr>
        <w:snapToGrid w:val="0"/>
        <w:spacing w:line="360" w:lineRule="auto"/>
        <w:ind w:right="-33"/>
        <w:jc w:val="center"/>
        <w:textAlignment w:val="baseline"/>
        <w:rPr>
          <w:rFonts w:hint="eastAsia" w:ascii="宋体" w:hAnsi="宋体"/>
          <w:b/>
          <w:bCs/>
          <w:sz w:val="24"/>
          <w:szCs w:val="24"/>
        </w:rPr>
      </w:pPr>
      <w:r>
        <w:rPr>
          <w:rFonts w:hint="eastAsia" w:ascii="宋体" w:hAnsi="宋体"/>
          <w:b/>
          <w:bCs/>
          <w:sz w:val="24"/>
          <w:szCs w:val="24"/>
        </w:rPr>
        <w:t>格式3、</w:t>
      </w:r>
      <w:bookmarkEnd w:id="140"/>
      <w:bookmarkEnd w:id="141"/>
      <w:bookmarkEnd w:id="142"/>
      <w:bookmarkEnd w:id="143"/>
      <w:bookmarkEnd w:id="144"/>
      <w:r>
        <w:rPr>
          <w:rFonts w:hint="eastAsia" w:ascii="宋体" w:hAnsi="宋体"/>
          <w:b/>
          <w:bCs/>
          <w:sz w:val="24"/>
          <w:szCs w:val="24"/>
        </w:rPr>
        <w:t>投标承诺函</w:t>
      </w:r>
    </w:p>
    <w:p w14:paraId="745124EC">
      <w:pPr>
        <w:pStyle w:val="16"/>
        <w:widowControl w:val="0"/>
        <w:spacing w:before="0" w:beforeAutospacing="0" w:after="120" w:afterAutospacing="0"/>
      </w:pPr>
    </w:p>
    <w:p w14:paraId="7B4E8323">
      <w:pPr>
        <w:spacing w:line="360" w:lineRule="auto"/>
        <w:jc w:val="left"/>
        <w:rPr>
          <w:rFonts w:hint="eastAsia" w:ascii="宋体" w:hAnsi="宋体"/>
          <w:color w:val="000000"/>
          <w:sz w:val="24"/>
          <w:szCs w:val="24"/>
        </w:rPr>
      </w:pPr>
      <w:r>
        <w:rPr>
          <w:rFonts w:hint="eastAsia" w:ascii="宋体" w:hAnsi="宋体"/>
          <w:color w:val="000000"/>
          <w:sz w:val="24"/>
          <w:szCs w:val="24"/>
          <w:lang w:bidi="ar"/>
        </w:rPr>
        <w:t>（填写采购人名称）：</w:t>
      </w:r>
    </w:p>
    <w:p w14:paraId="5ACA2B94">
      <w:pPr>
        <w:spacing w:line="360" w:lineRule="auto"/>
        <w:ind w:firstLine="480" w:firstLineChars="200"/>
        <w:jc w:val="left"/>
        <w:rPr>
          <w:rFonts w:hint="eastAsia" w:ascii="宋体" w:hAnsi="宋体"/>
          <w:color w:val="000000"/>
          <w:sz w:val="24"/>
          <w:szCs w:val="24"/>
          <w:lang w:bidi="ar"/>
        </w:rPr>
      </w:pPr>
    </w:p>
    <w:p w14:paraId="61E623A2">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lang w:bidi="ar"/>
        </w:rPr>
        <w:t>本企业郑重承诺，我公司全面、真实、有效的履行投标保证金的约定，不存在“有效期撤销文件、无故放弃中标、弄虚作假、串通投标、不交履约金、不签订合同”等法律法规以及招标文件规定不予退还的其他情形，如我公司违背本承诺，我公司愿承担一切法律责任和后果。并向</w:t>
      </w:r>
      <w:r>
        <w:rPr>
          <w:rFonts w:hint="eastAsia"/>
          <w:color w:val="000000"/>
          <w:sz w:val="24"/>
          <w:szCs w:val="24"/>
          <w:lang w:bidi="ar"/>
        </w:rPr>
        <w:t>当即</w:t>
      </w:r>
      <w:r>
        <w:rPr>
          <w:rFonts w:hint="eastAsia" w:ascii="宋体" w:hAnsi="宋体"/>
          <w:color w:val="000000"/>
          <w:sz w:val="24"/>
          <w:szCs w:val="24"/>
          <w:lang w:bidi="ar"/>
        </w:rPr>
        <w:t>采购人指定账户转入相当于本项目预算价金额2% 的费用作为对采购人采购损失的补偿。</w:t>
      </w:r>
    </w:p>
    <w:p w14:paraId="23686780">
      <w:pPr>
        <w:pStyle w:val="16"/>
        <w:widowControl w:val="0"/>
        <w:spacing w:before="0" w:beforeAutospacing="0" w:after="120" w:afterAutospacing="0"/>
        <w:ind w:left="420" w:leftChars="200" w:firstLine="480" w:firstLineChars="200"/>
      </w:pPr>
    </w:p>
    <w:p w14:paraId="1AFB0436">
      <w:pPr>
        <w:spacing w:line="360" w:lineRule="auto"/>
        <w:jc w:val="left"/>
        <w:rPr>
          <w:rFonts w:hint="eastAsia" w:ascii="宋体" w:hAnsi="宋体"/>
          <w:color w:val="000000"/>
          <w:sz w:val="24"/>
          <w:szCs w:val="24"/>
        </w:rPr>
      </w:pPr>
    </w:p>
    <w:p w14:paraId="1F7A220E">
      <w:pPr>
        <w:spacing w:line="360" w:lineRule="auto"/>
        <w:jc w:val="right"/>
        <w:rPr>
          <w:rFonts w:hint="eastAsia" w:ascii="宋体" w:hAnsi="宋体"/>
          <w:color w:val="000000"/>
          <w:sz w:val="24"/>
          <w:szCs w:val="24"/>
        </w:rPr>
      </w:pPr>
      <w:r>
        <w:rPr>
          <w:rFonts w:hint="eastAsia" w:ascii="宋体" w:hAnsi="宋体"/>
          <w:color w:val="000000"/>
          <w:sz w:val="24"/>
          <w:szCs w:val="24"/>
          <w:lang w:bidi="ar"/>
        </w:rPr>
        <w:t>供应商名称：                    （公章）</w:t>
      </w:r>
    </w:p>
    <w:p w14:paraId="31720371">
      <w:pPr>
        <w:spacing w:line="360" w:lineRule="auto"/>
        <w:jc w:val="right"/>
        <w:rPr>
          <w:rFonts w:hint="eastAsia" w:ascii="宋体" w:hAnsi="宋体"/>
          <w:color w:val="000000"/>
          <w:sz w:val="24"/>
          <w:szCs w:val="24"/>
        </w:rPr>
      </w:pPr>
    </w:p>
    <w:p w14:paraId="749F00CE">
      <w:pPr>
        <w:spacing w:line="360" w:lineRule="auto"/>
        <w:jc w:val="right"/>
        <w:rPr>
          <w:rFonts w:hint="eastAsia" w:ascii="宋体" w:hAnsi="宋体"/>
          <w:color w:val="000000"/>
          <w:sz w:val="24"/>
          <w:szCs w:val="24"/>
        </w:rPr>
      </w:pPr>
      <w:r>
        <w:rPr>
          <w:rFonts w:hint="eastAsia" w:ascii="宋体" w:hAnsi="宋体"/>
          <w:color w:val="000000"/>
          <w:sz w:val="24"/>
          <w:szCs w:val="24"/>
          <w:lang w:bidi="ar"/>
        </w:rPr>
        <w:t>法定代表人或授权委托人：              （签字或盖章）</w:t>
      </w:r>
    </w:p>
    <w:p w14:paraId="6475B9E9">
      <w:pPr>
        <w:spacing w:line="360" w:lineRule="auto"/>
        <w:jc w:val="right"/>
        <w:rPr>
          <w:rFonts w:hint="eastAsia" w:ascii="宋体" w:hAnsi="宋体"/>
          <w:color w:val="000000"/>
          <w:sz w:val="24"/>
          <w:szCs w:val="24"/>
        </w:rPr>
      </w:pPr>
    </w:p>
    <w:p w14:paraId="2013F8BF">
      <w:pPr>
        <w:spacing w:line="360" w:lineRule="auto"/>
        <w:jc w:val="right"/>
        <w:rPr>
          <w:rFonts w:hint="eastAsia" w:ascii="宋体" w:hAnsi="宋体"/>
          <w:color w:val="000000"/>
          <w:sz w:val="24"/>
          <w:szCs w:val="24"/>
        </w:rPr>
      </w:pPr>
      <w:r>
        <w:rPr>
          <w:rFonts w:hint="eastAsia" w:ascii="宋体" w:hAnsi="宋体"/>
          <w:color w:val="000000"/>
          <w:sz w:val="24"/>
          <w:szCs w:val="24"/>
          <w:lang w:bidi="ar"/>
        </w:rPr>
        <w:t>日期：202</w:t>
      </w:r>
      <w:r>
        <w:rPr>
          <w:rFonts w:hint="eastAsia"/>
          <w:color w:val="000000"/>
          <w:sz w:val="24"/>
          <w:szCs w:val="24"/>
          <w:lang w:bidi="ar"/>
        </w:rPr>
        <w:t>2</w:t>
      </w:r>
      <w:r>
        <w:rPr>
          <w:rFonts w:hint="eastAsia" w:ascii="宋体" w:hAnsi="宋体"/>
          <w:color w:val="000000"/>
          <w:sz w:val="24"/>
          <w:szCs w:val="24"/>
          <w:lang w:bidi="ar"/>
        </w:rPr>
        <w:t>年    月   日</w:t>
      </w:r>
    </w:p>
    <w:p w14:paraId="33C6090E">
      <w:pPr>
        <w:snapToGrid w:val="0"/>
        <w:spacing w:line="360" w:lineRule="auto"/>
        <w:ind w:right="-33"/>
        <w:jc w:val="center"/>
        <w:textAlignment w:val="baseline"/>
        <w:rPr>
          <w:rFonts w:hint="eastAsia" w:ascii="宋体" w:hAnsi="宋体"/>
          <w:b/>
          <w:sz w:val="24"/>
          <w:szCs w:val="24"/>
        </w:rPr>
      </w:pPr>
    </w:p>
    <w:p w14:paraId="3D9AF295">
      <w:pPr>
        <w:snapToGrid w:val="0"/>
        <w:spacing w:line="360" w:lineRule="auto"/>
        <w:ind w:right="-33"/>
        <w:jc w:val="center"/>
        <w:textAlignment w:val="baseline"/>
        <w:rPr>
          <w:rFonts w:hint="eastAsia" w:ascii="宋体" w:hAnsi="宋体"/>
          <w:b/>
          <w:sz w:val="24"/>
          <w:szCs w:val="24"/>
        </w:rPr>
      </w:pPr>
    </w:p>
    <w:p w14:paraId="0147F0F3">
      <w:pPr>
        <w:snapToGrid w:val="0"/>
        <w:spacing w:line="360" w:lineRule="auto"/>
        <w:ind w:right="-33"/>
        <w:jc w:val="center"/>
        <w:textAlignment w:val="baseline"/>
        <w:rPr>
          <w:rFonts w:hint="eastAsia" w:ascii="宋体" w:hAnsi="宋体"/>
          <w:b/>
          <w:sz w:val="24"/>
          <w:szCs w:val="24"/>
        </w:rPr>
      </w:pPr>
    </w:p>
    <w:p w14:paraId="71C1AB80">
      <w:pPr>
        <w:snapToGrid w:val="0"/>
        <w:spacing w:line="360" w:lineRule="auto"/>
        <w:ind w:right="-33"/>
        <w:jc w:val="center"/>
        <w:textAlignment w:val="baseline"/>
        <w:rPr>
          <w:rFonts w:hint="eastAsia" w:ascii="宋体" w:hAnsi="宋体"/>
          <w:b/>
          <w:sz w:val="24"/>
          <w:szCs w:val="24"/>
        </w:rPr>
      </w:pPr>
    </w:p>
    <w:p w14:paraId="3D10F8D8">
      <w:pPr>
        <w:snapToGrid w:val="0"/>
        <w:spacing w:line="360" w:lineRule="auto"/>
        <w:ind w:right="-33"/>
        <w:jc w:val="center"/>
        <w:textAlignment w:val="baseline"/>
        <w:rPr>
          <w:rFonts w:hint="eastAsia" w:ascii="宋体" w:hAnsi="宋体"/>
          <w:b/>
          <w:sz w:val="24"/>
          <w:szCs w:val="24"/>
        </w:rPr>
      </w:pPr>
    </w:p>
    <w:p w14:paraId="0A5F899A">
      <w:pPr>
        <w:snapToGrid w:val="0"/>
        <w:spacing w:line="360" w:lineRule="auto"/>
        <w:ind w:right="-33"/>
        <w:jc w:val="center"/>
        <w:textAlignment w:val="baseline"/>
        <w:rPr>
          <w:rFonts w:hint="eastAsia" w:ascii="宋体" w:hAnsi="宋体"/>
          <w:b/>
          <w:sz w:val="24"/>
          <w:szCs w:val="24"/>
        </w:rPr>
      </w:pPr>
    </w:p>
    <w:p w14:paraId="5B60334C">
      <w:pPr>
        <w:snapToGrid w:val="0"/>
        <w:spacing w:line="360" w:lineRule="auto"/>
        <w:ind w:right="-33"/>
        <w:jc w:val="center"/>
        <w:textAlignment w:val="baseline"/>
        <w:rPr>
          <w:rFonts w:hint="eastAsia" w:ascii="宋体" w:hAnsi="宋体"/>
          <w:b/>
          <w:sz w:val="24"/>
          <w:szCs w:val="24"/>
        </w:rPr>
      </w:pPr>
    </w:p>
    <w:p w14:paraId="6418B1AD">
      <w:pPr>
        <w:snapToGrid w:val="0"/>
        <w:spacing w:line="360" w:lineRule="auto"/>
        <w:ind w:right="-33"/>
        <w:jc w:val="center"/>
        <w:textAlignment w:val="baseline"/>
        <w:rPr>
          <w:rFonts w:hint="eastAsia" w:ascii="宋体" w:hAnsi="宋体"/>
          <w:b/>
          <w:sz w:val="24"/>
          <w:szCs w:val="24"/>
        </w:rPr>
      </w:pPr>
    </w:p>
    <w:p w14:paraId="34CACF70">
      <w:pPr>
        <w:snapToGrid w:val="0"/>
        <w:spacing w:line="360" w:lineRule="auto"/>
        <w:ind w:right="-33"/>
        <w:jc w:val="center"/>
        <w:textAlignment w:val="baseline"/>
        <w:rPr>
          <w:rFonts w:hint="eastAsia" w:ascii="宋体" w:hAnsi="宋体"/>
          <w:b/>
          <w:sz w:val="24"/>
          <w:szCs w:val="24"/>
        </w:rPr>
      </w:pPr>
    </w:p>
    <w:p w14:paraId="30316B5C">
      <w:pPr>
        <w:snapToGrid w:val="0"/>
        <w:spacing w:line="360" w:lineRule="auto"/>
        <w:ind w:right="-33"/>
        <w:jc w:val="center"/>
        <w:textAlignment w:val="baseline"/>
        <w:rPr>
          <w:rFonts w:hint="eastAsia" w:ascii="宋体" w:hAnsi="宋体"/>
          <w:b/>
          <w:sz w:val="24"/>
          <w:szCs w:val="24"/>
        </w:rPr>
      </w:pPr>
    </w:p>
    <w:p w14:paraId="7991B694">
      <w:pPr>
        <w:snapToGrid w:val="0"/>
        <w:spacing w:line="360" w:lineRule="auto"/>
        <w:ind w:right="-33"/>
        <w:jc w:val="center"/>
        <w:textAlignment w:val="baseline"/>
        <w:rPr>
          <w:rFonts w:hint="eastAsia" w:ascii="宋体" w:hAnsi="宋体"/>
          <w:b/>
          <w:sz w:val="24"/>
          <w:szCs w:val="24"/>
        </w:rPr>
      </w:pPr>
    </w:p>
    <w:p w14:paraId="4543BC7C">
      <w:pPr>
        <w:snapToGrid w:val="0"/>
        <w:spacing w:line="360" w:lineRule="auto"/>
        <w:ind w:right="-33"/>
        <w:jc w:val="center"/>
        <w:textAlignment w:val="baseline"/>
        <w:rPr>
          <w:rFonts w:hint="eastAsia" w:ascii="宋体" w:hAnsi="宋体"/>
          <w:b/>
          <w:sz w:val="24"/>
          <w:szCs w:val="24"/>
        </w:rPr>
      </w:pPr>
    </w:p>
    <w:p w14:paraId="00153028">
      <w:pPr>
        <w:snapToGrid w:val="0"/>
        <w:spacing w:line="360" w:lineRule="auto"/>
        <w:ind w:right="-33"/>
        <w:jc w:val="center"/>
        <w:textAlignment w:val="baseline"/>
        <w:rPr>
          <w:rFonts w:hint="eastAsia" w:ascii="宋体" w:hAnsi="宋体"/>
          <w:b/>
          <w:sz w:val="24"/>
          <w:szCs w:val="24"/>
        </w:rPr>
      </w:pPr>
    </w:p>
    <w:p w14:paraId="584C35F8">
      <w:pPr>
        <w:snapToGrid w:val="0"/>
        <w:spacing w:line="360" w:lineRule="auto"/>
        <w:ind w:right="-33"/>
        <w:jc w:val="center"/>
        <w:textAlignment w:val="baseline"/>
        <w:rPr>
          <w:rFonts w:ascii="宋体" w:hAnsi="宋体"/>
          <w:b/>
          <w:sz w:val="24"/>
          <w:szCs w:val="24"/>
        </w:rPr>
      </w:pPr>
      <w:r>
        <w:rPr>
          <w:rFonts w:hint="eastAsia" w:ascii="宋体" w:hAnsi="宋体"/>
          <w:b/>
          <w:sz w:val="24"/>
          <w:szCs w:val="24"/>
        </w:rPr>
        <w:t>格式4、投标报价汇总表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6374"/>
      </w:tblGrid>
      <w:tr w14:paraId="7774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48" w:type="dxa"/>
            <w:noWrap w:val="0"/>
            <w:vAlign w:val="top"/>
          </w:tcPr>
          <w:p w14:paraId="3E7DF8FC">
            <w:pPr>
              <w:pStyle w:val="9"/>
              <w:ind w:right="-33"/>
              <w:textAlignment w:val="baseline"/>
              <w:rPr>
                <w:rFonts w:ascii="宋体" w:hAnsi="宋体" w:cs="宋体"/>
                <w:b/>
                <w:sz w:val="24"/>
              </w:rPr>
            </w:pPr>
          </w:p>
          <w:p w14:paraId="2E618E1F">
            <w:pPr>
              <w:pStyle w:val="9"/>
              <w:ind w:right="-33"/>
              <w:jc w:val="center"/>
              <w:textAlignment w:val="baseline"/>
              <w:rPr>
                <w:rFonts w:ascii="宋体" w:hAnsi="宋体" w:cs="宋体"/>
                <w:b/>
                <w:sz w:val="24"/>
              </w:rPr>
            </w:pPr>
            <w:r>
              <w:rPr>
                <w:rFonts w:hint="eastAsia" w:ascii="宋体" w:hAnsi="宋体" w:cs="宋体"/>
                <w:b/>
                <w:sz w:val="24"/>
              </w:rPr>
              <w:t>项目名称</w:t>
            </w:r>
          </w:p>
        </w:tc>
        <w:tc>
          <w:tcPr>
            <w:tcW w:w="6374" w:type="dxa"/>
            <w:noWrap w:val="0"/>
            <w:vAlign w:val="top"/>
          </w:tcPr>
          <w:p w14:paraId="3EE117FB">
            <w:pPr>
              <w:pStyle w:val="9"/>
              <w:ind w:right="-33"/>
              <w:textAlignment w:val="baseline"/>
              <w:rPr>
                <w:rFonts w:ascii="宋体" w:hAnsi="宋体" w:cs="宋体"/>
                <w:sz w:val="24"/>
              </w:rPr>
            </w:pPr>
          </w:p>
        </w:tc>
      </w:tr>
      <w:tr w14:paraId="054D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48" w:type="dxa"/>
            <w:noWrap w:val="0"/>
            <w:vAlign w:val="top"/>
          </w:tcPr>
          <w:p w14:paraId="63306F2C">
            <w:pPr>
              <w:pStyle w:val="9"/>
              <w:ind w:right="-33"/>
              <w:textAlignment w:val="baseline"/>
              <w:rPr>
                <w:rFonts w:ascii="宋体" w:hAnsi="宋体" w:cs="宋体"/>
                <w:b/>
                <w:sz w:val="24"/>
              </w:rPr>
            </w:pPr>
          </w:p>
          <w:p w14:paraId="5D9D40E4">
            <w:pPr>
              <w:pStyle w:val="9"/>
              <w:ind w:right="-33"/>
              <w:jc w:val="center"/>
              <w:textAlignment w:val="baseline"/>
              <w:rPr>
                <w:rFonts w:ascii="宋体" w:hAnsi="宋体" w:cs="宋体"/>
                <w:b/>
                <w:sz w:val="24"/>
              </w:rPr>
            </w:pPr>
            <w:r>
              <w:rPr>
                <w:rFonts w:hint="eastAsia" w:ascii="宋体" w:hAnsi="宋体" w:cs="宋体"/>
                <w:b/>
                <w:sz w:val="24"/>
              </w:rPr>
              <w:t>投标单位全称</w:t>
            </w:r>
          </w:p>
        </w:tc>
        <w:tc>
          <w:tcPr>
            <w:tcW w:w="6374" w:type="dxa"/>
            <w:noWrap w:val="0"/>
            <w:vAlign w:val="top"/>
          </w:tcPr>
          <w:p w14:paraId="041809CC">
            <w:pPr>
              <w:pStyle w:val="9"/>
              <w:ind w:right="-33"/>
              <w:textAlignment w:val="baseline"/>
              <w:rPr>
                <w:rFonts w:ascii="宋体" w:hAnsi="宋体" w:cs="宋体"/>
                <w:sz w:val="24"/>
              </w:rPr>
            </w:pPr>
          </w:p>
        </w:tc>
      </w:tr>
      <w:tr w14:paraId="1AF4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148" w:type="dxa"/>
            <w:noWrap w:val="0"/>
            <w:vAlign w:val="top"/>
          </w:tcPr>
          <w:p w14:paraId="4B5112D7">
            <w:pPr>
              <w:pStyle w:val="9"/>
              <w:ind w:right="-33"/>
              <w:textAlignment w:val="baseline"/>
              <w:rPr>
                <w:rFonts w:ascii="宋体" w:hAnsi="宋体" w:cs="宋体"/>
                <w:b/>
                <w:sz w:val="24"/>
              </w:rPr>
            </w:pPr>
          </w:p>
          <w:p w14:paraId="752F7715">
            <w:pPr>
              <w:pStyle w:val="9"/>
              <w:ind w:right="-33"/>
              <w:textAlignment w:val="baseline"/>
              <w:rPr>
                <w:rFonts w:ascii="宋体" w:hAnsi="宋体" w:cs="宋体"/>
                <w:b/>
                <w:sz w:val="24"/>
              </w:rPr>
            </w:pPr>
          </w:p>
          <w:p w14:paraId="1A1F924F">
            <w:pPr>
              <w:pStyle w:val="9"/>
              <w:ind w:right="-33"/>
              <w:jc w:val="center"/>
              <w:textAlignment w:val="baseline"/>
              <w:rPr>
                <w:rFonts w:ascii="宋体" w:hAnsi="宋体" w:cs="宋体"/>
                <w:b/>
                <w:sz w:val="24"/>
              </w:rPr>
            </w:pPr>
            <w:r>
              <w:rPr>
                <w:rFonts w:hint="eastAsia" w:ascii="宋体" w:hAnsi="宋体" w:cs="宋体"/>
                <w:b/>
                <w:sz w:val="24"/>
              </w:rPr>
              <w:t>投标报价</w:t>
            </w:r>
          </w:p>
          <w:p w14:paraId="20C42BA0">
            <w:pPr>
              <w:pStyle w:val="9"/>
              <w:ind w:right="-33"/>
              <w:jc w:val="center"/>
              <w:textAlignment w:val="baseline"/>
              <w:rPr>
                <w:rFonts w:ascii="宋体" w:hAnsi="宋体" w:cs="宋体"/>
                <w:b/>
                <w:sz w:val="24"/>
              </w:rPr>
            </w:pPr>
            <w:r>
              <w:rPr>
                <w:rFonts w:hint="eastAsia" w:ascii="宋体" w:hAnsi="宋体" w:cs="宋体"/>
                <w:b/>
                <w:sz w:val="24"/>
              </w:rPr>
              <w:t>（人民币）</w:t>
            </w:r>
          </w:p>
        </w:tc>
        <w:tc>
          <w:tcPr>
            <w:tcW w:w="6374" w:type="dxa"/>
            <w:noWrap w:val="0"/>
            <w:vAlign w:val="top"/>
          </w:tcPr>
          <w:p w14:paraId="33930D3A">
            <w:pPr>
              <w:pStyle w:val="9"/>
              <w:ind w:right="-33"/>
              <w:textAlignment w:val="baseline"/>
              <w:rPr>
                <w:rFonts w:ascii="宋体" w:hAnsi="宋体" w:cs="宋体"/>
                <w:sz w:val="24"/>
              </w:rPr>
            </w:pPr>
          </w:p>
          <w:p w14:paraId="66A6E60C">
            <w:pPr>
              <w:pStyle w:val="9"/>
              <w:ind w:right="-33"/>
              <w:textAlignment w:val="baseline"/>
              <w:rPr>
                <w:rFonts w:ascii="宋体" w:hAnsi="宋体" w:cs="宋体"/>
                <w:sz w:val="24"/>
              </w:rPr>
            </w:pPr>
            <w:r>
              <w:rPr>
                <w:rFonts w:hint="eastAsia" w:ascii="宋体" w:hAnsi="宋体" w:cs="宋体"/>
                <w:sz w:val="24"/>
              </w:rPr>
              <w:t>大写：元</w:t>
            </w:r>
          </w:p>
          <w:p w14:paraId="5DA2A86C">
            <w:pPr>
              <w:pStyle w:val="9"/>
              <w:ind w:right="-33"/>
              <w:textAlignment w:val="baseline"/>
              <w:rPr>
                <w:rFonts w:ascii="宋体" w:hAnsi="宋体" w:cs="宋体"/>
                <w:sz w:val="24"/>
              </w:rPr>
            </w:pPr>
          </w:p>
          <w:p w14:paraId="7AE5F9E0">
            <w:pPr>
              <w:pStyle w:val="9"/>
              <w:ind w:right="-33"/>
              <w:textAlignment w:val="baseline"/>
              <w:rPr>
                <w:rFonts w:ascii="宋体" w:hAnsi="宋体" w:cs="宋体"/>
                <w:sz w:val="24"/>
              </w:rPr>
            </w:pPr>
            <w:r>
              <w:rPr>
                <w:rFonts w:hint="eastAsia" w:ascii="宋体" w:hAnsi="宋体" w:cs="宋体"/>
                <w:sz w:val="24"/>
              </w:rPr>
              <w:t>小写：元</w:t>
            </w:r>
          </w:p>
        </w:tc>
      </w:tr>
      <w:tr w14:paraId="1FD0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2148" w:type="dxa"/>
            <w:noWrap w:val="0"/>
            <w:vAlign w:val="top"/>
          </w:tcPr>
          <w:p w14:paraId="75F85FD7">
            <w:pPr>
              <w:pStyle w:val="9"/>
              <w:ind w:right="-33"/>
              <w:textAlignment w:val="baseline"/>
              <w:rPr>
                <w:rFonts w:ascii="宋体" w:hAnsi="宋体" w:cs="宋体"/>
                <w:b/>
                <w:sz w:val="24"/>
              </w:rPr>
            </w:pPr>
          </w:p>
          <w:p w14:paraId="683B24D3">
            <w:pPr>
              <w:pStyle w:val="9"/>
              <w:ind w:right="-33"/>
              <w:textAlignment w:val="baseline"/>
              <w:rPr>
                <w:rFonts w:ascii="宋体" w:hAnsi="宋体" w:cs="宋体"/>
                <w:b/>
                <w:sz w:val="24"/>
              </w:rPr>
            </w:pPr>
          </w:p>
          <w:p w14:paraId="6CC9D24B">
            <w:pPr>
              <w:pStyle w:val="9"/>
              <w:ind w:right="-33"/>
              <w:textAlignment w:val="baseline"/>
              <w:rPr>
                <w:rFonts w:ascii="宋体" w:hAnsi="宋体" w:cs="宋体"/>
                <w:b/>
                <w:sz w:val="24"/>
              </w:rPr>
            </w:pPr>
          </w:p>
          <w:p w14:paraId="43430FEC">
            <w:pPr>
              <w:pStyle w:val="9"/>
              <w:ind w:right="-33"/>
              <w:jc w:val="center"/>
              <w:textAlignment w:val="baseline"/>
              <w:rPr>
                <w:rFonts w:ascii="宋体" w:hAnsi="宋体" w:cs="宋体"/>
                <w:b/>
                <w:sz w:val="24"/>
              </w:rPr>
            </w:pPr>
            <w:r>
              <w:rPr>
                <w:rFonts w:hint="eastAsia" w:ascii="宋体" w:hAnsi="宋体" w:cs="宋体"/>
                <w:b/>
                <w:sz w:val="24"/>
              </w:rPr>
              <w:t>备注</w:t>
            </w:r>
          </w:p>
        </w:tc>
        <w:tc>
          <w:tcPr>
            <w:tcW w:w="6374" w:type="dxa"/>
            <w:noWrap w:val="0"/>
            <w:vAlign w:val="top"/>
          </w:tcPr>
          <w:p w14:paraId="0843E5C4">
            <w:pPr>
              <w:pStyle w:val="9"/>
              <w:ind w:right="-33"/>
              <w:textAlignment w:val="baseline"/>
              <w:rPr>
                <w:rFonts w:ascii="宋体" w:hAnsi="宋体" w:cs="宋体"/>
                <w:sz w:val="24"/>
              </w:rPr>
            </w:pPr>
          </w:p>
        </w:tc>
      </w:tr>
    </w:tbl>
    <w:p w14:paraId="459FD26C">
      <w:pPr>
        <w:snapToGrid w:val="0"/>
        <w:spacing w:line="408" w:lineRule="auto"/>
        <w:ind w:right="-33"/>
        <w:jc w:val="right"/>
        <w:textAlignment w:val="baseline"/>
        <w:rPr>
          <w:rFonts w:ascii="宋体" w:hAnsi="宋体"/>
          <w:sz w:val="24"/>
          <w:szCs w:val="24"/>
        </w:rPr>
      </w:pPr>
      <w:r>
        <w:rPr>
          <w:rFonts w:hint="eastAsia" w:ascii="宋体" w:hAnsi="宋体"/>
          <w:sz w:val="24"/>
          <w:szCs w:val="24"/>
        </w:rPr>
        <w:t>供应商：</w:t>
      </w:r>
      <w:r>
        <w:rPr>
          <w:rFonts w:hint="eastAsia" w:ascii="宋体" w:hAnsi="宋体"/>
          <w:sz w:val="24"/>
          <w:szCs w:val="24"/>
          <w:u w:val="single" w:color="000000"/>
        </w:rPr>
        <w:t>（盖公章）</w:t>
      </w:r>
    </w:p>
    <w:p w14:paraId="3F824F5B">
      <w:pPr>
        <w:snapToGrid w:val="0"/>
        <w:spacing w:line="408" w:lineRule="auto"/>
        <w:ind w:right="-33"/>
        <w:jc w:val="right"/>
        <w:textAlignment w:val="baseline"/>
        <w:rPr>
          <w:rFonts w:hint="eastAsia" w:ascii="宋体" w:hAnsi="宋体" w:cs="Times New Roman"/>
          <w:b/>
          <w:bCs/>
          <w:sz w:val="24"/>
          <w:szCs w:val="24"/>
          <w:highlight w:val="white"/>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78E15342">
      <w:pPr>
        <w:spacing w:line="360" w:lineRule="auto"/>
        <w:jc w:val="center"/>
        <w:rPr>
          <w:rFonts w:hint="eastAsia" w:ascii="宋体" w:hAnsi="宋体" w:cs="Times New Roman"/>
          <w:b/>
          <w:bCs/>
          <w:sz w:val="24"/>
          <w:szCs w:val="24"/>
          <w:highlight w:val="white"/>
        </w:rPr>
      </w:pPr>
    </w:p>
    <w:p w14:paraId="7BE008E3">
      <w:pPr>
        <w:pStyle w:val="2"/>
        <w:rPr>
          <w:rFonts w:hint="eastAsia" w:hAnsi="宋体"/>
          <w:b/>
          <w:bCs/>
          <w:sz w:val="24"/>
          <w:szCs w:val="24"/>
          <w:highlight w:val="white"/>
        </w:rPr>
      </w:pPr>
    </w:p>
    <w:p w14:paraId="57FD69DD">
      <w:pPr>
        <w:pStyle w:val="3"/>
        <w:rPr>
          <w:rFonts w:hint="eastAsia" w:ascii="宋体" w:hAnsi="宋体" w:cs="Times New Roman"/>
          <w:b/>
          <w:bCs/>
          <w:sz w:val="24"/>
          <w:highlight w:val="white"/>
        </w:rPr>
      </w:pPr>
    </w:p>
    <w:p w14:paraId="2375BEE1">
      <w:pPr>
        <w:rPr>
          <w:rFonts w:hint="eastAsia" w:ascii="宋体" w:hAnsi="宋体" w:cs="Times New Roman"/>
          <w:b/>
          <w:bCs/>
          <w:sz w:val="24"/>
          <w:szCs w:val="24"/>
          <w:highlight w:val="white"/>
        </w:rPr>
      </w:pPr>
    </w:p>
    <w:p w14:paraId="2FF2F6AD">
      <w:pPr>
        <w:pStyle w:val="2"/>
        <w:rPr>
          <w:rFonts w:hint="eastAsia" w:hAnsi="宋体"/>
          <w:b/>
          <w:bCs/>
          <w:sz w:val="24"/>
          <w:szCs w:val="24"/>
          <w:highlight w:val="white"/>
        </w:rPr>
      </w:pPr>
    </w:p>
    <w:p w14:paraId="2B34DCAA">
      <w:pPr>
        <w:pStyle w:val="3"/>
        <w:rPr>
          <w:rFonts w:hint="eastAsia" w:ascii="宋体" w:hAnsi="宋体" w:cs="Times New Roman"/>
          <w:b/>
          <w:bCs/>
          <w:sz w:val="24"/>
          <w:highlight w:val="white"/>
        </w:rPr>
      </w:pPr>
    </w:p>
    <w:p w14:paraId="7B2F34BE">
      <w:pPr>
        <w:rPr>
          <w:rFonts w:hint="eastAsia" w:ascii="宋体" w:hAnsi="宋体" w:cs="Times New Roman"/>
          <w:b/>
          <w:bCs/>
          <w:sz w:val="24"/>
          <w:szCs w:val="24"/>
          <w:highlight w:val="white"/>
        </w:rPr>
      </w:pPr>
    </w:p>
    <w:p w14:paraId="63C8691C">
      <w:pPr>
        <w:pStyle w:val="2"/>
        <w:rPr>
          <w:rFonts w:hint="eastAsia" w:hAnsi="宋体"/>
          <w:b/>
          <w:bCs/>
          <w:sz w:val="24"/>
          <w:szCs w:val="24"/>
          <w:highlight w:val="white"/>
        </w:rPr>
      </w:pPr>
    </w:p>
    <w:p w14:paraId="1D84B52C">
      <w:pPr>
        <w:pStyle w:val="3"/>
        <w:rPr>
          <w:rFonts w:hint="eastAsia" w:ascii="宋体" w:hAnsi="宋体" w:cs="Times New Roman"/>
          <w:b/>
          <w:bCs/>
          <w:sz w:val="24"/>
          <w:highlight w:val="white"/>
        </w:rPr>
      </w:pPr>
    </w:p>
    <w:p w14:paraId="51052FEF">
      <w:pPr>
        <w:rPr>
          <w:rFonts w:hint="eastAsia" w:ascii="宋体" w:hAnsi="宋体" w:cs="Times New Roman"/>
          <w:b/>
          <w:bCs/>
          <w:sz w:val="24"/>
          <w:szCs w:val="24"/>
          <w:highlight w:val="white"/>
        </w:rPr>
      </w:pPr>
    </w:p>
    <w:p w14:paraId="6D7166E5">
      <w:pPr>
        <w:pStyle w:val="2"/>
        <w:rPr>
          <w:rFonts w:hint="eastAsia" w:hAnsi="宋体"/>
          <w:b/>
          <w:bCs/>
          <w:sz w:val="24"/>
          <w:szCs w:val="24"/>
          <w:highlight w:val="white"/>
        </w:rPr>
      </w:pPr>
    </w:p>
    <w:p w14:paraId="4F5CDC2B">
      <w:pPr>
        <w:pStyle w:val="3"/>
        <w:rPr>
          <w:rFonts w:hint="eastAsia" w:ascii="宋体" w:hAnsi="宋体" w:cs="Times New Roman"/>
          <w:b/>
          <w:bCs/>
          <w:sz w:val="24"/>
          <w:highlight w:val="white"/>
        </w:rPr>
      </w:pPr>
    </w:p>
    <w:p w14:paraId="36858ADA">
      <w:pPr>
        <w:spacing w:line="360" w:lineRule="auto"/>
        <w:jc w:val="center"/>
        <w:rPr>
          <w:rFonts w:hint="eastAsia" w:ascii="宋体" w:hAnsi="宋体" w:cs="Times New Roman"/>
          <w:b/>
          <w:bCs/>
          <w:sz w:val="24"/>
          <w:szCs w:val="24"/>
          <w:lang w:val="zh-CN"/>
        </w:rPr>
      </w:pPr>
      <w:r>
        <w:rPr>
          <w:rFonts w:hint="eastAsia" w:ascii="宋体" w:hAnsi="宋体" w:cs="Times New Roman"/>
          <w:b/>
          <w:bCs/>
          <w:sz w:val="24"/>
          <w:szCs w:val="24"/>
          <w:highlight w:val="white"/>
          <w:lang w:val="zh-CN"/>
        </w:rPr>
        <w:t>格式</w:t>
      </w:r>
      <w:r>
        <w:rPr>
          <w:rFonts w:hint="eastAsia" w:ascii="宋体" w:hAnsi="宋体" w:cs="Times New Roman"/>
          <w:b/>
          <w:bCs/>
          <w:sz w:val="24"/>
          <w:szCs w:val="24"/>
        </w:rPr>
        <w:t>5</w:t>
      </w:r>
      <w:r>
        <w:rPr>
          <w:rFonts w:hint="eastAsia" w:ascii="宋体" w:hAnsi="宋体" w:cs="Times New Roman"/>
          <w:b/>
          <w:bCs/>
          <w:sz w:val="24"/>
          <w:szCs w:val="24"/>
          <w:lang w:val="zh-CN"/>
        </w:rPr>
        <w:t>、</w:t>
      </w:r>
      <w:r>
        <w:rPr>
          <w:rFonts w:hint="eastAsia" w:ascii="宋体" w:hAnsi="宋体" w:cs="Times New Roman"/>
          <w:b/>
          <w:bCs/>
          <w:sz w:val="24"/>
          <w:szCs w:val="24"/>
          <w:highlight w:val="white"/>
        </w:rPr>
        <w:t>供应商资格证明及评审所需材料</w:t>
      </w:r>
    </w:p>
    <w:p w14:paraId="0DE028B7">
      <w:pPr>
        <w:spacing w:line="360" w:lineRule="auto"/>
        <w:jc w:val="left"/>
        <w:rPr>
          <w:rFonts w:hint="eastAsia" w:ascii="宋体" w:hAnsi="宋体" w:cs="Times New Roman"/>
          <w:b/>
          <w:bCs/>
          <w:sz w:val="24"/>
          <w:szCs w:val="24"/>
          <w:lang w:val="zh-CN"/>
        </w:rPr>
      </w:pPr>
      <w:r>
        <w:rPr>
          <w:rFonts w:hint="eastAsia" w:ascii="宋体" w:hAnsi="宋体"/>
          <w:sz w:val="24"/>
          <w:szCs w:val="24"/>
        </w:rPr>
        <w:t>供应商应仔细查看招标公告、评标办法及招标文件中需提供的资料，确保提供齐全。（加盖公章）</w:t>
      </w:r>
    </w:p>
    <w:p w14:paraId="37F4BDD4">
      <w:pPr>
        <w:spacing w:line="360" w:lineRule="auto"/>
        <w:jc w:val="center"/>
        <w:rPr>
          <w:rFonts w:hint="eastAsia" w:ascii="宋体" w:hAnsi="宋体" w:cs="Times New Roman"/>
          <w:b/>
          <w:bCs/>
          <w:sz w:val="24"/>
          <w:szCs w:val="24"/>
          <w:highlight w:val="white"/>
        </w:rPr>
      </w:pPr>
    </w:p>
    <w:p w14:paraId="39FC09C3">
      <w:pPr>
        <w:spacing w:line="360" w:lineRule="auto"/>
        <w:jc w:val="center"/>
        <w:rPr>
          <w:rFonts w:hint="eastAsia" w:ascii="宋体" w:hAnsi="宋体" w:cs="Times New Roman"/>
          <w:b/>
          <w:bCs/>
          <w:sz w:val="24"/>
          <w:szCs w:val="24"/>
          <w:highlight w:val="white"/>
        </w:rPr>
      </w:pPr>
    </w:p>
    <w:p w14:paraId="22783CCB">
      <w:pPr>
        <w:spacing w:line="360" w:lineRule="auto"/>
        <w:jc w:val="center"/>
        <w:rPr>
          <w:rFonts w:hint="eastAsia" w:ascii="宋体" w:hAnsi="宋体" w:cs="Times New Roman"/>
          <w:b/>
          <w:bCs/>
          <w:sz w:val="24"/>
          <w:szCs w:val="24"/>
          <w:highlight w:val="white"/>
        </w:rPr>
      </w:pPr>
    </w:p>
    <w:p w14:paraId="2ED477B9">
      <w:pPr>
        <w:spacing w:line="360" w:lineRule="auto"/>
        <w:jc w:val="center"/>
        <w:rPr>
          <w:rFonts w:hint="eastAsia" w:ascii="宋体" w:hAnsi="宋体" w:cs="Times New Roman"/>
          <w:b/>
          <w:bCs/>
          <w:sz w:val="24"/>
          <w:szCs w:val="24"/>
          <w:highlight w:val="white"/>
        </w:rPr>
      </w:pPr>
    </w:p>
    <w:p w14:paraId="56EB4275">
      <w:pPr>
        <w:spacing w:line="360" w:lineRule="auto"/>
        <w:jc w:val="center"/>
        <w:rPr>
          <w:rFonts w:hint="eastAsia" w:ascii="宋体" w:hAnsi="宋体" w:cs="Times New Roman"/>
          <w:b/>
          <w:bCs/>
          <w:sz w:val="24"/>
          <w:szCs w:val="24"/>
          <w:highlight w:val="white"/>
        </w:rPr>
      </w:pPr>
    </w:p>
    <w:p w14:paraId="3BB32779">
      <w:pPr>
        <w:spacing w:line="360" w:lineRule="auto"/>
        <w:jc w:val="center"/>
        <w:rPr>
          <w:rFonts w:hint="eastAsia" w:ascii="宋体" w:hAnsi="宋体" w:cs="Times New Roman"/>
          <w:b/>
          <w:bCs/>
          <w:sz w:val="24"/>
          <w:szCs w:val="24"/>
        </w:rPr>
      </w:pPr>
      <w:r>
        <w:rPr>
          <w:rFonts w:hint="eastAsia" w:ascii="宋体" w:hAnsi="宋体" w:cs="Times New Roman"/>
          <w:b/>
          <w:bCs/>
          <w:sz w:val="24"/>
          <w:szCs w:val="24"/>
          <w:highlight w:val="white"/>
        </w:rPr>
        <w:t>格式6、类似业绩</w:t>
      </w:r>
    </w:p>
    <w:p w14:paraId="5664C23F">
      <w:pPr>
        <w:snapToGrid w:val="0"/>
        <w:ind w:right="-33"/>
        <w:jc w:val="center"/>
        <w:textAlignment w:val="baseline"/>
        <w:rPr>
          <w:rFonts w:ascii="宋体" w:hAnsi="宋体"/>
          <w:sz w:val="24"/>
          <w:szCs w:val="24"/>
        </w:rPr>
      </w:pPr>
      <w:r>
        <w:rPr>
          <w:rFonts w:hint="eastAsia" w:ascii="宋体" w:hAnsi="宋体"/>
          <w:sz w:val="24"/>
          <w:szCs w:val="24"/>
        </w:rPr>
        <w:t>（自 年 月 日以来）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2574"/>
        <w:gridCol w:w="1335"/>
        <w:gridCol w:w="1515"/>
        <w:gridCol w:w="840"/>
        <w:gridCol w:w="1115"/>
      </w:tblGrid>
      <w:tr w14:paraId="650B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21" w:type="dxa"/>
            <w:noWrap/>
            <w:vAlign w:val="center"/>
          </w:tcPr>
          <w:p w14:paraId="1E3EDCB0">
            <w:pPr>
              <w:snapToGrid w:val="0"/>
              <w:ind w:right="-33"/>
              <w:jc w:val="center"/>
              <w:textAlignment w:val="baseline"/>
              <w:rPr>
                <w:rFonts w:ascii="宋体" w:hAnsi="宋体"/>
                <w:sz w:val="24"/>
                <w:szCs w:val="24"/>
              </w:rPr>
            </w:pPr>
            <w:r>
              <w:rPr>
                <w:rFonts w:hint="eastAsia" w:ascii="宋体" w:hAnsi="宋体"/>
                <w:sz w:val="24"/>
                <w:szCs w:val="24"/>
              </w:rPr>
              <w:t>序号</w:t>
            </w:r>
          </w:p>
        </w:tc>
        <w:tc>
          <w:tcPr>
            <w:tcW w:w="1979" w:type="dxa"/>
            <w:noWrap/>
            <w:vAlign w:val="center"/>
          </w:tcPr>
          <w:p w14:paraId="2079728C">
            <w:pPr>
              <w:snapToGrid w:val="0"/>
              <w:ind w:right="-33"/>
              <w:jc w:val="center"/>
              <w:textAlignment w:val="baseline"/>
              <w:rPr>
                <w:rFonts w:ascii="宋体" w:hAnsi="宋体"/>
                <w:sz w:val="24"/>
                <w:szCs w:val="24"/>
              </w:rPr>
            </w:pPr>
            <w:r>
              <w:rPr>
                <w:rFonts w:hint="eastAsia" w:ascii="宋体" w:hAnsi="宋体"/>
                <w:sz w:val="24"/>
                <w:szCs w:val="24"/>
              </w:rPr>
              <w:t>业主名称</w:t>
            </w:r>
          </w:p>
        </w:tc>
        <w:tc>
          <w:tcPr>
            <w:tcW w:w="2574" w:type="dxa"/>
            <w:noWrap/>
            <w:vAlign w:val="center"/>
          </w:tcPr>
          <w:p w14:paraId="526D7571">
            <w:pPr>
              <w:snapToGrid w:val="0"/>
              <w:ind w:right="-33"/>
              <w:jc w:val="center"/>
              <w:textAlignment w:val="baseline"/>
              <w:rPr>
                <w:rFonts w:ascii="宋体" w:hAnsi="宋体"/>
                <w:sz w:val="24"/>
                <w:szCs w:val="24"/>
              </w:rPr>
            </w:pPr>
            <w:r>
              <w:rPr>
                <w:rFonts w:hint="eastAsia" w:ascii="宋体" w:hAnsi="宋体"/>
                <w:sz w:val="24"/>
                <w:szCs w:val="24"/>
              </w:rPr>
              <w:t>项目名称</w:t>
            </w:r>
          </w:p>
        </w:tc>
        <w:tc>
          <w:tcPr>
            <w:tcW w:w="1335" w:type="dxa"/>
            <w:noWrap/>
            <w:vAlign w:val="center"/>
          </w:tcPr>
          <w:p w14:paraId="6DD2E900">
            <w:pPr>
              <w:snapToGrid w:val="0"/>
              <w:ind w:right="-33"/>
              <w:jc w:val="center"/>
              <w:textAlignment w:val="baseline"/>
              <w:rPr>
                <w:rFonts w:ascii="宋体" w:hAnsi="宋体"/>
                <w:sz w:val="24"/>
                <w:szCs w:val="24"/>
              </w:rPr>
            </w:pPr>
            <w:r>
              <w:rPr>
                <w:rFonts w:hint="eastAsia" w:ascii="宋体" w:hAnsi="宋体"/>
                <w:sz w:val="24"/>
                <w:szCs w:val="24"/>
              </w:rPr>
              <w:t>联系人</w:t>
            </w:r>
          </w:p>
        </w:tc>
        <w:tc>
          <w:tcPr>
            <w:tcW w:w="1515" w:type="dxa"/>
            <w:noWrap/>
            <w:vAlign w:val="center"/>
          </w:tcPr>
          <w:p w14:paraId="5E055513">
            <w:pPr>
              <w:snapToGrid w:val="0"/>
              <w:ind w:right="-33"/>
              <w:jc w:val="center"/>
              <w:textAlignment w:val="baseline"/>
              <w:rPr>
                <w:rFonts w:ascii="宋体" w:hAnsi="宋体"/>
                <w:sz w:val="24"/>
                <w:szCs w:val="24"/>
              </w:rPr>
            </w:pPr>
            <w:r>
              <w:rPr>
                <w:rFonts w:hint="eastAsia" w:ascii="宋体" w:hAnsi="宋体"/>
                <w:sz w:val="24"/>
                <w:szCs w:val="24"/>
              </w:rPr>
              <w:t>联系方式</w:t>
            </w:r>
          </w:p>
        </w:tc>
        <w:tc>
          <w:tcPr>
            <w:tcW w:w="840" w:type="dxa"/>
            <w:noWrap/>
            <w:vAlign w:val="center"/>
          </w:tcPr>
          <w:p w14:paraId="59899001">
            <w:pPr>
              <w:snapToGrid w:val="0"/>
              <w:ind w:right="-33"/>
              <w:jc w:val="center"/>
              <w:textAlignment w:val="baseline"/>
              <w:rPr>
                <w:rFonts w:ascii="宋体" w:hAnsi="宋体"/>
                <w:sz w:val="24"/>
                <w:szCs w:val="24"/>
              </w:rPr>
            </w:pPr>
            <w:r>
              <w:rPr>
                <w:rFonts w:hint="eastAsia" w:ascii="宋体" w:hAnsi="宋体"/>
                <w:sz w:val="24"/>
                <w:szCs w:val="24"/>
              </w:rPr>
              <w:t>完成情况</w:t>
            </w:r>
          </w:p>
        </w:tc>
        <w:tc>
          <w:tcPr>
            <w:tcW w:w="1115" w:type="dxa"/>
            <w:noWrap/>
            <w:vAlign w:val="center"/>
          </w:tcPr>
          <w:p w14:paraId="744D3FC7">
            <w:pPr>
              <w:snapToGrid w:val="0"/>
              <w:ind w:right="-33"/>
              <w:jc w:val="center"/>
              <w:textAlignment w:val="baseline"/>
              <w:rPr>
                <w:rFonts w:ascii="宋体" w:hAnsi="宋体"/>
                <w:sz w:val="24"/>
                <w:szCs w:val="24"/>
              </w:rPr>
            </w:pPr>
            <w:r>
              <w:rPr>
                <w:rFonts w:hint="eastAsia" w:ascii="宋体" w:hAnsi="宋体"/>
                <w:sz w:val="24"/>
                <w:szCs w:val="24"/>
              </w:rPr>
              <w:t>用户反馈情况</w:t>
            </w:r>
          </w:p>
        </w:tc>
      </w:tr>
      <w:tr w14:paraId="30F4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noWrap/>
            <w:vAlign w:val="center"/>
          </w:tcPr>
          <w:p w14:paraId="5A5F7233">
            <w:pPr>
              <w:snapToGrid w:val="0"/>
              <w:ind w:right="-33"/>
              <w:jc w:val="center"/>
              <w:textAlignment w:val="baseline"/>
              <w:rPr>
                <w:rFonts w:ascii="宋体" w:hAnsi="宋体"/>
                <w:sz w:val="24"/>
                <w:szCs w:val="24"/>
              </w:rPr>
            </w:pPr>
          </w:p>
        </w:tc>
        <w:tc>
          <w:tcPr>
            <w:tcW w:w="1979" w:type="dxa"/>
            <w:noWrap/>
            <w:vAlign w:val="center"/>
          </w:tcPr>
          <w:p w14:paraId="0CA203CE">
            <w:pPr>
              <w:snapToGrid w:val="0"/>
              <w:ind w:right="-33"/>
              <w:jc w:val="center"/>
              <w:textAlignment w:val="baseline"/>
              <w:rPr>
                <w:rFonts w:ascii="宋体" w:hAnsi="宋体"/>
                <w:sz w:val="24"/>
                <w:szCs w:val="24"/>
              </w:rPr>
            </w:pPr>
          </w:p>
        </w:tc>
        <w:tc>
          <w:tcPr>
            <w:tcW w:w="2574" w:type="dxa"/>
            <w:noWrap/>
            <w:vAlign w:val="center"/>
          </w:tcPr>
          <w:p w14:paraId="3D333407">
            <w:pPr>
              <w:snapToGrid w:val="0"/>
              <w:ind w:right="-33"/>
              <w:jc w:val="center"/>
              <w:textAlignment w:val="baseline"/>
              <w:rPr>
                <w:rFonts w:ascii="宋体" w:hAnsi="宋体"/>
                <w:sz w:val="24"/>
                <w:szCs w:val="24"/>
              </w:rPr>
            </w:pPr>
          </w:p>
        </w:tc>
        <w:tc>
          <w:tcPr>
            <w:tcW w:w="1335" w:type="dxa"/>
            <w:noWrap/>
            <w:vAlign w:val="center"/>
          </w:tcPr>
          <w:p w14:paraId="38865415">
            <w:pPr>
              <w:snapToGrid w:val="0"/>
              <w:ind w:right="-33"/>
              <w:jc w:val="center"/>
              <w:textAlignment w:val="baseline"/>
              <w:rPr>
                <w:rFonts w:ascii="宋体" w:hAnsi="宋体"/>
                <w:sz w:val="24"/>
                <w:szCs w:val="24"/>
              </w:rPr>
            </w:pPr>
          </w:p>
        </w:tc>
        <w:tc>
          <w:tcPr>
            <w:tcW w:w="1515" w:type="dxa"/>
            <w:noWrap/>
            <w:vAlign w:val="center"/>
          </w:tcPr>
          <w:p w14:paraId="37174A38">
            <w:pPr>
              <w:snapToGrid w:val="0"/>
              <w:ind w:right="-33"/>
              <w:jc w:val="center"/>
              <w:textAlignment w:val="baseline"/>
              <w:rPr>
                <w:rFonts w:ascii="宋体" w:hAnsi="宋体"/>
                <w:sz w:val="24"/>
                <w:szCs w:val="24"/>
              </w:rPr>
            </w:pPr>
          </w:p>
        </w:tc>
        <w:tc>
          <w:tcPr>
            <w:tcW w:w="840" w:type="dxa"/>
            <w:noWrap/>
            <w:vAlign w:val="center"/>
          </w:tcPr>
          <w:p w14:paraId="2E609768">
            <w:pPr>
              <w:snapToGrid w:val="0"/>
              <w:ind w:right="-33"/>
              <w:jc w:val="center"/>
              <w:textAlignment w:val="baseline"/>
              <w:rPr>
                <w:rFonts w:ascii="宋体" w:hAnsi="宋体"/>
                <w:sz w:val="24"/>
                <w:szCs w:val="24"/>
              </w:rPr>
            </w:pPr>
          </w:p>
        </w:tc>
        <w:tc>
          <w:tcPr>
            <w:tcW w:w="1115" w:type="dxa"/>
            <w:noWrap/>
            <w:vAlign w:val="center"/>
          </w:tcPr>
          <w:p w14:paraId="3F8390E1">
            <w:pPr>
              <w:snapToGrid w:val="0"/>
              <w:ind w:right="-33"/>
              <w:jc w:val="center"/>
              <w:textAlignment w:val="baseline"/>
              <w:rPr>
                <w:rFonts w:ascii="宋体" w:hAnsi="宋体"/>
                <w:sz w:val="24"/>
                <w:szCs w:val="24"/>
              </w:rPr>
            </w:pPr>
          </w:p>
        </w:tc>
      </w:tr>
      <w:tr w14:paraId="324C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noWrap/>
            <w:vAlign w:val="center"/>
          </w:tcPr>
          <w:p w14:paraId="39F67DC6">
            <w:pPr>
              <w:snapToGrid w:val="0"/>
              <w:ind w:right="-33"/>
              <w:jc w:val="center"/>
              <w:textAlignment w:val="baseline"/>
              <w:rPr>
                <w:rFonts w:ascii="宋体" w:hAnsi="宋体"/>
                <w:sz w:val="24"/>
                <w:szCs w:val="24"/>
              </w:rPr>
            </w:pPr>
          </w:p>
        </w:tc>
        <w:tc>
          <w:tcPr>
            <w:tcW w:w="1979" w:type="dxa"/>
            <w:noWrap/>
            <w:vAlign w:val="center"/>
          </w:tcPr>
          <w:p w14:paraId="6C5E5F51">
            <w:pPr>
              <w:snapToGrid w:val="0"/>
              <w:ind w:right="-33"/>
              <w:jc w:val="center"/>
              <w:textAlignment w:val="baseline"/>
              <w:rPr>
                <w:rFonts w:ascii="宋体" w:hAnsi="宋体"/>
                <w:sz w:val="24"/>
                <w:szCs w:val="24"/>
              </w:rPr>
            </w:pPr>
          </w:p>
        </w:tc>
        <w:tc>
          <w:tcPr>
            <w:tcW w:w="2574" w:type="dxa"/>
            <w:noWrap/>
            <w:vAlign w:val="center"/>
          </w:tcPr>
          <w:p w14:paraId="4A9599FB">
            <w:pPr>
              <w:snapToGrid w:val="0"/>
              <w:ind w:right="-33"/>
              <w:jc w:val="center"/>
              <w:textAlignment w:val="baseline"/>
              <w:rPr>
                <w:rFonts w:ascii="宋体" w:hAnsi="宋体"/>
                <w:sz w:val="24"/>
                <w:szCs w:val="24"/>
              </w:rPr>
            </w:pPr>
          </w:p>
        </w:tc>
        <w:tc>
          <w:tcPr>
            <w:tcW w:w="1335" w:type="dxa"/>
            <w:noWrap/>
            <w:vAlign w:val="center"/>
          </w:tcPr>
          <w:p w14:paraId="38633864">
            <w:pPr>
              <w:snapToGrid w:val="0"/>
              <w:ind w:right="-33"/>
              <w:jc w:val="center"/>
              <w:textAlignment w:val="baseline"/>
              <w:rPr>
                <w:rFonts w:ascii="宋体" w:hAnsi="宋体"/>
                <w:sz w:val="24"/>
                <w:szCs w:val="24"/>
              </w:rPr>
            </w:pPr>
          </w:p>
        </w:tc>
        <w:tc>
          <w:tcPr>
            <w:tcW w:w="1515" w:type="dxa"/>
            <w:noWrap/>
            <w:vAlign w:val="center"/>
          </w:tcPr>
          <w:p w14:paraId="091EC749">
            <w:pPr>
              <w:snapToGrid w:val="0"/>
              <w:ind w:right="-33"/>
              <w:jc w:val="center"/>
              <w:textAlignment w:val="baseline"/>
              <w:rPr>
                <w:rFonts w:ascii="宋体" w:hAnsi="宋体"/>
                <w:sz w:val="24"/>
                <w:szCs w:val="24"/>
              </w:rPr>
            </w:pPr>
          </w:p>
        </w:tc>
        <w:tc>
          <w:tcPr>
            <w:tcW w:w="840" w:type="dxa"/>
            <w:noWrap/>
            <w:vAlign w:val="center"/>
          </w:tcPr>
          <w:p w14:paraId="34F00AF3">
            <w:pPr>
              <w:snapToGrid w:val="0"/>
              <w:ind w:right="-33"/>
              <w:jc w:val="center"/>
              <w:textAlignment w:val="baseline"/>
              <w:rPr>
                <w:rFonts w:ascii="宋体" w:hAnsi="宋体"/>
                <w:sz w:val="24"/>
                <w:szCs w:val="24"/>
              </w:rPr>
            </w:pPr>
          </w:p>
        </w:tc>
        <w:tc>
          <w:tcPr>
            <w:tcW w:w="1115" w:type="dxa"/>
            <w:noWrap/>
            <w:vAlign w:val="center"/>
          </w:tcPr>
          <w:p w14:paraId="229B2642">
            <w:pPr>
              <w:snapToGrid w:val="0"/>
              <w:ind w:right="-33"/>
              <w:jc w:val="center"/>
              <w:textAlignment w:val="baseline"/>
              <w:rPr>
                <w:rFonts w:ascii="宋体" w:hAnsi="宋体"/>
                <w:sz w:val="24"/>
                <w:szCs w:val="24"/>
              </w:rPr>
            </w:pPr>
          </w:p>
        </w:tc>
      </w:tr>
      <w:tr w14:paraId="6A60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noWrap/>
            <w:vAlign w:val="center"/>
          </w:tcPr>
          <w:p w14:paraId="475F6FD6">
            <w:pPr>
              <w:snapToGrid w:val="0"/>
              <w:ind w:right="-33"/>
              <w:jc w:val="center"/>
              <w:textAlignment w:val="baseline"/>
              <w:rPr>
                <w:rFonts w:ascii="宋体" w:hAnsi="宋体"/>
                <w:sz w:val="24"/>
                <w:szCs w:val="24"/>
              </w:rPr>
            </w:pPr>
          </w:p>
        </w:tc>
        <w:tc>
          <w:tcPr>
            <w:tcW w:w="1979" w:type="dxa"/>
            <w:noWrap/>
            <w:vAlign w:val="center"/>
          </w:tcPr>
          <w:p w14:paraId="4B1CA74A">
            <w:pPr>
              <w:snapToGrid w:val="0"/>
              <w:ind w:right="-33"/>
              <w:jc w:val="center"/>
              <w:textAlignment w:val="baseline"/>
              <w:rPr>
                <w:rFonts w:ascii="宋体" w:hAnsi="宋体"/>
                <w:sz w:val="24"/>
                <w:szCs w:val="24"/>
              </w:rPr>
            </w:pPr>
          </w:p>
        </w:tc>
        <w:tc>
          <w:tcPr>
            <w:tcW w:w="2574" w:type="dxa"/>
            <w:noWrap/>
            <w:vAlign w:val="center"/>
          </w:tcPr>
          <w:p w14:paraId="4EF99FED">
            <w:pPr>
              <w:snapToGrid w:val="0"/>
              <w:ind w:right="-33"/>
              <w:jc w:val="center"/>
              <w:textAlignment w:val="baseline"/>
              <w:rPr>
                <w:rFonts w:ascii="宋体" w:hAnsi="宋体"/>
                <w:sz w:val="24"/>
                <w:szCs w:val="24"/>
              </w:rPr>
            </w:pPr>
          </w:p>
        </w:tc>
        <w:tc>
          <w:tcPr>
            <w:tcW w:w="1335" w:type="dxa"/>
            <w:noWrap/>
            <w:vAlign w:val="center"/>
          </w:tcPr>
          <w:p w14:paraId="77E78E71">
            <w:pPr>
              <w:snapToGrid w:val="0"/>
              <w:ind w:right="-33"/>
              <w:jc w:val="center"/>
              <w:textAlignment w:val="baseline"/>
              <w:rPr>
                <w:rFonts w:ascii="宋体" w:hAnsi="宋体"/>
                <w:sz w:val="24"/>
                <w:szCs w:val="24"/>
              </w:rPr>
            </w:pPr>
          </w:p>
        </w:tc>
        <w:tc>
          <w:tcPr>
            <w:tcW w:w="1515" w:type="dxa"/>
            <w:noWrap/>
            <w:vAlign w:val="center"/>
          </w:tcPr>
          <w:p w14:paraId="64E31E83">
            <w:pPr>
              <w:snapToGrid w:val="0"/>
              <w:ind w:right="-33"/>
              <w:jc w:val="center"/>
              <w:textAlignment w:val="baseline"/>
              <w:rPr>
                <w:rFonts w:ascii="宋体" w:hAnsi="宋体"/>
                <w:sz w:val="24"/>
                <w:szCs w:val="24"/>
              </w:rPr>
            </w:pPr>
          </w:p>
        </w:tc>
        <w:tc>
          <w:tcPr>
            <w:tcW w:w="840" w:type="dxa"/>
            <w:noWrap/>
            <w:vAlign w:val="center"/>
          </w:tcPr>
          <w:p w14:paraId="00A4B483">
            <w:pPr>
              <w:snapToGrid w:val="0"/>
              <w:ind w:right="-33"/>
              <w:jc w:val="center"/>
              <w:textAlignment w:val="baseline"/>
              <w:rPr>
                <w:rFonts w:ascii="宋体" w:hAnsi="宋体"/>
                <w:sz w:val="24"/>
                <w:szCs w:val="24"/>
              </w:rPr>
            </w:pPr>
          </w:p>
        </w:tc>
        <w:tc>
          <w:tcPr>
            <w:tcW w:w="1115" w:type="dxa"/>
            <w:noWrap/>
            <w:vAlign w:val="center"/>
          </w:tcPr>
          <w:p w14:paraId="5B0FAF17">
            <w:pPr>
              <w:snapToGrid w:val="0"/>
              <w:ind w:right="-33"/>
              <w:jc w:val="center"/>
              <w:textAlignment w:val="baseline"/>
              <w:rPr>
                <w:rFonts w:ascii="宋体" w:hAnsi="宋体"/>
                <w:sz w:val="24"/>
                <w:szCs w:val="24"/>
              </w:rPr>
            </w:pPr>
          </w:p>
        </w:tc>
      </w:tr>
      <w:tr w14:paraId="13D4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noWrap/>
            <w:vAlign w:val="center"/>
          </w:tcPr>
          <w:p w14:paraId="135EE9D2">
            <w:pPr>
              <w:snapToGrid w:val="0"/>
              <w:ind w:right="-33"/>
              <w:jc w:val="center"/>
              <w:textAlignment w:val="baseline"/>
              <w:rPr>
                <w:rFonts w:ascii="宋体" w:hAnsi="宋体"/>
                <w:sz w:val="24"/>
                <w:szCs w:val="24"/>
              </w:rPr>
            </w:pPr>
          </w:p>
        </w:tc>
        <w:tc>
          <w:tcPr>
            <w:tcW w:w="1979" w:type="dxa"/>
            <w:noWrap/>
            <w:vAlign w:val="center"/>
          </w:tcPr>
          <w:p w14:paraId="6B93F6B9">
            <w:pPr>
              <w:snapToGrid w:val="0"/>
              <w:ind w:right="-33"/>
              <w:jc w:val="center"/>
              <w:textAlignment w:val="baseline"/>
              <w:rPr>
                <w:rFonts w:ascii="宋体" w:hAnsi="宋体"/>
                <w:sz w:val="24"/>
                <w:szCs w:val="24"/>
              </w:rPr>
            </w:pPr>
          </w:p>
        </w:tc>
        <w:tc>
          <w:tcPr>
            <w:tcW w:w="2574" w:type="dxa"/>
            <w:noWrap/>
            <w:vAlign w:val="center"/>
          </w:tcPr>
          <w:p w14:paraId="6213FDC6">
            <w:pPr>
              <w:snapToGrid w:val="0"/>
              <w:ind w:right="-33"/>
              <w:jc w:val="center"/>
              <w:textAlignment w:val="baseline"/>
              <w:rPr>
                <w:rFonts w:ascii="宋体" w:hAnsi="宋体"/>
                <w:sz w:val="24"/>
                <w:szCs w:val="24"/>
              </w:rPr>
            </w:pPr>
          </w:p>
        </w:tc>
        <w:tc>
          <w:tcPr>
            <w:tcW w:w="1335" w:type="dxa"/>
            <w:noWrap/>
            <w:vAlign w:val="center"/>
          </w:tcPr>
          <w:p w14:paraId="4810A6E6">
            <w:pPr>
              <w:snapToGrid w:val="0"/>
              <w:ind w:right="-33"/>
              <w:jc w:val="center"/>
              <w:textAlignment w:val="baseline"/>
              <w:rPr>
                <w:rFonts w:ascii="宋体" w:hAnsi="宋体"/>
                <w:sz w:val="24"/>
                <w:szCs w:val="24"/>
              </w:rPr>
            </w:pPr>
          </w:p>
        </w:tc>
        <w:tc>
          <w:tcPr>
            <w:tcW w:w="1515" w:type="dxa"/>
            <w:noWrap/>
            <w:vAlign w:val="center"/>
          </w:tcPr>
          <w:p w14:paraId="0EE86C62">
            <w:pPr>
              <w:snapToGrid w:val="0"/>
              <w:ind w:right="-33"/>
              <w:jc w:val="center"/>
              <w:textAlignment w:val="baseline"/>
              <w:rPr>
                <w:rFonts w:ascii="宋体" w:hAnsi="宋体"/>
                <w:sz w:val="24"/>
                <w:szCs w:val="24"/>
              </w:rPr>
            </w:pPr>
          </w:p>
        </w:tc>
        <w:tc>
          <w:tcPr>
            <w:tcW w:w="840" w:type="dxa"/>
            <w:noWrap/>
            <w:vAlign w:val="center"/>
          </w:tcPr>
          <w:p w14:paraId="53A895AA">
            <w:pPr>
              <w:snapToGrid w:val="0"/>
              <w:ind w:right="-33"/>
              <w:jc w:val="center"/>
              <w:textAlignment w:val="baseline"/>
              <w:rPr>
                <w:rFonts w:ascii="宋体" w:hAnsi="宋体"/>
                <w:sz w:val="24"/>
                <w:szCs w:val="24"/>
              </w:rPr>
            </w:pPr>
          </w:p>
        </w:tc>
        <w:tc>
          <w:tcPr>
            <w:tcW w:w="1115" w:type="dxa"/>
            <w:noWrap/>
            <w:vAlign w:val="center"/>
          </w:tcPr>
          <w:p w14:paraId="65B8F33A">
            <w:pPr>
              <w:snapToGrid w:val="0"/>
              <w:ind w:right="-33"/>
              <w:jc w:val="center"/>
              <w:textAlignment w:val="baseline"/>
              <w:rPr>
                <w:rFonts w:ascii="宋体" w:hAnsi="宋体"/>
                <w:sz w:val="24"/>
                <w:szCs w:val="24"/>
              </w:rPr>
            </w:pPr>
          </w:p>
        </w:tc>
      </w:tr>
      <w:tr w14:paraId="2E31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noWrap/>
            <w:vAlign w:val="center"/>
          </w:tcPr>
          <w:p w14:paraId="4F336E6E">
            <w:pPr>
              <w:snapToGrid w:val="0"/>
              <w:ind w:right="-33"/>
              <w:jc w:val="center"/>
              <w:textAlignment w:val="baseline"/>
              <w:rPr>
                <w:rFonts w:ascii="宋体" w:hAnsi="宋体"/>
                <w:sz w:val="24"/>
                <w:szCs w:val="24"/>
              </w:rPr>
            </w:pPr>
          </w:p>
        </w:tc>
        <w:tc>
          <w:tcPr>
            <w:tcW w:w="1979" w:type="dxa"/>
            <w:noWrap/>
            <w:vAlign w:val="center"/>
          </w:tcPr>
          <w:p w14:paraId="6E4FA71B">
            <w:pPr>
              <w:snapToGrid w:val="0"/>
              <w:ind w:right="-33"/>
              <w:jc w:val="center"/>
              <w:textAlignment w:val="baseline"/>
              <w:rPr>
                <w:rFonts w:ascii="宋体" w:hAnsi="宋体"/>
                <w:sz w:val="24"/>
                <w:szCs w:val="24"/>
              </w:rPr>
            </w:pPr>
          </w:p>
        </w:tc>
        <w:tc>
          <w:tcPr>
            <w:tcW w:w="2574" w:type="dxa"/>
            <w:noWrap/>
            <w:vAlign w:val="center"/>
          </w:tcPr>
          <w:p w14:paraId="7C421E3E">
            <w:pPr>
              <w:snapToGrid w:val="0"/>
              <w:ind w:right="-33"/>
              <w:jc w:val="center"/>
              <w:textAlignment w:val="baseline"/>
              <w:rPr>
                <w:rFonts w:ascii="宋体" w:hAnsi="宋体"/>
                <w:sz w:val="24"/>
                <w:szCs w:val="24"/>
              </w:rPr>
            </w:pPr>
          </w:p>
        </w:tc>
        <w:tc>
          <w:tcPr>
            <w:tcW w:w="1335" w:type="dxa"/>
            <w:noWrap/>
            <w:vAlign w:val="center"/>
          </w:tcPr>
          <w:p w14:paraId="088A2F8D">
            <w:pPr>
              <w:snapToGrid w:val="0"/>
              <w:ind w:right="-33"/>
              <w:jc w:val="center"/>
              <w:textAlignment w:val="baseline"/>
              <w:rPr>
                <w:rFonts w:ascii="宋体" w:hAnsi="宋体"/>
                <w:sz w:val="24"/>
                <w:szCs w:val="24"/>
              </w:rPr>
            </w:pPr>
          </w:p>
        </w:tc>
        <w:tc>
          <w:tcPr>
            <w:tcW w:w="1515" w:type="dxa"/>
            <w:noWrap/>
            <w:vAlign w:val="center"/>
          </w:tcPr>
          <w:p w14:paraId="35F3ADE7">
            <w:pPr>
              <w:snapToGrid w:val="0"/>
              <w:ind w:right="-33"/>
              <w:jc w:val="center"/>
              <w:textAlignment w:val="baseline"/>
              <w:rPr>
                <w:rFonts w:ascii="宋体" w:hAnsi="宋体"/>
                <w:sz w:val="24"/>
                <w:szCs w:val="24"/>
              </w:rPr>
            </w:pPr>
          </w:p>
        </w:tc>
        <w:tc>
          <w:tcPr>
            <w:tcW w:w="840" w:type="dxa"/>
            <w:noWrap/>
            <w:vAlign w:val="center"/>
          </w:tcPr>
          <w:p w14:paraId="3A77C28C">
            <w:pPr>
              <w:snapToGrid w:val="0"/>
              <w:ind w:right="-33"/>
              <w:jc w:val="center"/>
              <w:textAlignment w:val="baseline"/>
              <w:rPr>
                <w:rFonts w:ascii="宋体" w:hAnsi="宋体"/>
                <w:sz w:val="24"/>
                <w:szCs w:val="24"/>
              </w:rPr>
            </w:pPr>
          </w:p>
        </w:tc>
        <w:tc>
          <w:tcPr>
            <w:tcW w:w="1115" w:type="dxa"/>
            <w:noWrap/>
            <w:vAlign w:val="center"/>
          </w:tcPr>
          <w:p w14:paraId="5723EDC5">
            <w:pPr>
              <w:snapToGrid w:val="0"/>
              <w:ind w:right="-33"/>
              <w:jc w:val="center"/>
              <w:textAlignment w:val="baseline"/>
              <w:rPr>
                <w:rFonts w:ascii="宋体" w:hAnsi="宋体"/>
                <w:sz w:val="24"/>
                <w:szCs w:val="24"/>
              </w:rPr>
            </w:pPr>
          </w:p>
        </w:tc>
      </w:tr>
    </w:tbl>
    <w:p w14:paraId="0CDF79F3">
      <w:pPr>
        <w:snapToGrid w:val="0"/>
        <w:ind w:right="-33"/>
        <w:jc w:val="left"/>
        <w:textAlignment w:val="baseline"/>
        <w:rPr>
          <w:rFonts w:hint="eastAsia" w:ascii="宋体" w:hAnsi="宋体"/>
          <w:sz w:val="24"/>
          <w:szCs w:val="24"/>
        </w:rPr>
      </w:pPr>
    </w:p>
    <w:p w14:paraId="51F5E5B4">
      <w:pPr>
        <w:snapToGrid w:val="0"/>
        <w:ind w:right="-33"/>
        <w:jc w:val="left"/>
        <w:textAlignment w:val="baseline"/>
        <w:rPr>
          <w:rFonts w:hint="eastAsia" w:ascii="宋体" w:hAnsi="宋体"/>
          <w:sz w:val="24"/>
          <w:szCs w:val="24"/>
        </w:rPr>
      </w:pPr>
      <w:r>
        <w:rPr>
          <w:rFonts w:hint="eastAsia" w:ascii="宋体" w:hAnsi="宋体"/>
          <w:sz w:val="24"/>
          <w:szCs w:val="24"/>
        </w:rPr>
        <w:t>附：证明材料</w:t>
      </w:r>
    </w:p>
    <w:p w14:paraId="0142A662">
      <w:pPr>
        <w:snapToGrid w:val="0"/>
        <w:ind w:right="-33"/>
        <w:jc w:val="right"/>
        <w:textAlignment w:val="baseline"/>
        <w:rPr>
          <w:rFonts w:ascii="宋体" w:hAnsi="宋体"/>
          <w:sz w:val="24"/>
          <w:szCs w:val="24"/>
        </w:rPr>
      </w:pPr>
      <w:r>
        <w:rPr>
          <w:rFonts w:hint="eastAsia" w:ascii="宋体" w:hAnsi="宋体"/>
          <w:sz w:val="24"/>
          <w:szCs w:val="24"/>
        </w:rPr>
        <w:t>供应商名称：（公章）</w:t>
      </w:r>
    </w:p>
    <w:p w14:paraId="71E9E8E3">
      <w:pPr>
        <w:snapToGrid w:val="0"/>
        <w:ind w:right="-33"/>
        <w:jc w:val="right"/>
        <w:textAlignment w:val="baseline"/>
        <w:rPr>
          <w:rFonts w:ascii="宋体" w:hAnsi="宋体"/>
          <w:sz w:val="24"/>
          <w:szCs w:val="24"/>
        </w:rPr>
      </w:pPr>
    </w:p>
    <w:p w14:paraId="13FAD0C4">
      <w:pPr>
        <w:snapToGrid w:val="0"/>
        <w:ind w:right="-33"/>
        <w:jc w:val="right"/>
        <w:textAlignment w:val="baseline"/>
        <w:rPr>
          <w:rFonts w:ascii="宋体" w:hAnsi="宋体"/>
          <w:sz w:val="24"/>
          <w:szCs w:val="24"/>
        </w:rPr>
      </w:pPr>
      <w:r>
        <w:rPr>
          <w:rFonts w:hint="eastAsia" w:ascii="宋体" w:hAnsi="宋体"/>
          <w:sz w:val="24"/>
          <w:szCs w:val="24"/>
        </w:rPr>
        <w:t>法定代表人或授权委托代理人：（签字或盖章）</w:t>
      </w:r>
    </w:p>
    <w:p w14:paraId="4BF073F8">
      <w:pPr>
        <w:snapToGrid w:val="0"/>
        <w:spacing w:line="360" w:lineRule="auto"/>
        <w:ind w:right="-33"/>
        <w:jc w:val="center"/>
        <w:textAlignment w:val="baseline"/>
        <w:rPr>
          <w:rFonts w:ascii="宋体" w:hAnsi="宋体"/>
          <w:b/>
          <w:bCs/>
          <w:sz w:val="24"/>
          <w:szCs w:val="24"/>
        </w:rPr>
      </w:pPr>
    </w:p>
    <w:p w14:paraId="38422700">
      <w:pPr>
        <w:spacing w:line="360" w:lineRule="auto"/>
        <w:jc w:val="center"/>
        <w:rPr>
          <w:rFonts w:hint="eastAsia" w:ascii="宋体" w:hAnsi="宋体" w:cs="Times New Roman"/>
          <w:b/>
          <w:bCs/>
          <w:sz w:val="24"/>
          <w:szCs w:val="24"/>
          <w:highlight w:val="white"/>
        </w:rPr>
      </w:pPr>
    </w:p>
    <w:p w14:paraId="46ACD89A">
      <w:pPr>
        <w:pStyle w:val="2"/>
        <w:ind w:firstLine="3132" w:firstLineChars="1300"/>
        <w:rPr>
          <w:rFonts w:hint="eastAsia" w:hAnsi="宋体"/>
          <w:b/>
          <w:bCs/>
          <w:sz w:val="24"/>
          <w:szCs w:val="24"/>
          <w:highlight w:val="white"/>
        </w:rPr>
      </w:pPr>
    </w:p>
    <w:p w14:paraId="24A01C7B">
      <w:pPr>
        <w:pStyle w:val="2"/>
        <w:ind w:firstLine="3132" w:firstLineChars="1300"/>
        <w:rPr>
          <w:rFonts w:hint="eastAsia" w:hAnsi="宋体"/>
          <w:b/>
          <w:bCs/>
          <w:sz w:val="24"/>
          <w:szCs w:val="24"/>
          <w:highlight w:val="white"/>
        </w:rPr>
      </w:pPr>
    </w:p>
    <w:p w14:paraId="14246C19">
      <w:pPr>
        <w:pStyle w:val="3"/>
        <w:rPr>
          <w:rFonts w:hint="eastAsia" w:hAnsi="宋体" w:cs="Times New Roman"/>
          <w:b/>
          <w:bCs/>
          <w:sz w:val="24"/>
          <w:highlight w:val="white"/>
        </w:rPr>
      </w:pPr>
    </w:p>
    <w:p w14:paraId="0BF832CE">
      <w:pPr>
        <w:rPr>
          <w:rFonts w:hint="eastAsia" w:hAnsi="宋体" w:cs="Times New Roman"/>
          <w:b/>
          <w:bCs/>
          <w:sz w:val="24"/>
          <w:szCs w:val="24"/>
          <w:highlight w:val="white"/>
        </w:rPr>
      </w:pPr>
    </w:p>
    <w:p w14:paraId="525BBE4A">
      <w:pPr>
        <w:pStyle w:val="2"/>
        <w:rPr>
          <w:rFonts w:hint="eastAsia"/>
        </w:rPr>
      </w:pPr>
    </w:p>
    <w:p w14:paraId="7336F189">
      <w:pPr>
        <w:pStyle w:val="2"/>
        <w:ind w:firstLine="3132" w:firstLineChars="1300"/>
        <w:rPr>
          <w:rFonts w:hint="eastAsia" w:hAnsi="宋体"/>
          <w:b/>
          <w:bCs/>
          <w:sz w:val="24"/>
          <w:szCs w:val="24"/>
          <w:highlight w:val="white"/>
        </w:rPr>
      </w:pPr>
    </w:p>
    <w:p w14:paraId="375BB34D">
      <w:pPr>
        <w:pStyle w:val="2"/>
        <w:ind w:firstLine="3132" w:firstLineChars="1300"/>
        <w:rPr>
          <w:rFonts w:hint="eastAsia" w:hAnsi="宋体"/>
          <w:b/>
          <w:bCs/>
          <w:sz w:val="24"/>
          <w:szCs w:val="24"/>
          <w:highlight w:val="white"/>
        </w:rPr>
      </w:pPr>
    </w:p>
    <w:p w14:paraId="53FB8028">
      <w:pPr>
        <w:rPr>
          <w:rFonts w:hint="eastAsia" w:cs="Times New Roman"/>
          <w:highlight w:val="white"/>
        </w:rPr>
      </w:pPr>
    </w:p>
    <w:p w14:paraId="6D28A261">
      <w:pPr>
        <w:spacing w:line="360" w:lineRule="auto"/>
        <w:jc w:val="center"/>
        <w:rPr>
          <w:rFonts w:hint="eastAsia" w:ascii="宋体" w:hAnsi="宋体" w:cs="Times New Roman"/>
          <w:b/>
          <w:bCs/>
          <w:sz w:val="24"/>
          <w:szCs w:val="24"/>
          <w:highlight w:val="white"/>
        </w:rPr>
      </w:pPr>
    </w:p>
    <w:p w14:paraId="0A94FE28">
      <w:pPr>
        <w:pStyle w:val="2"/>
        <w:rPr>
          <w:rFonts w:hint="eastAsia" w:hAnsi="宋体"/>
          <w:b/>
          <w:bCs/>
          <w:sz w:val="24"/>
          <w:szCs w:val="24"/>
          <w:highlight w:val="white"/>
        </w:rPr>
      </w:pPr>
    </w:p>
    <w:p w14:paraId="4E8A0E77">
      <w:pPr>
        <w:pStyle w:val="3"/>
        <w:rPr>
          <w:rFonts w:hint="eastAsia"/>
        </w:rPr>
      </w:pPr>
    </w:p>
    <w:p w14:paraId="5D9AB641">
      <w:pPr>
        <w:pStyle w:val="5"/>
        <w:snapToGrid w:val="0"/>
        <w:ind w:right="-33"/>
        <w:textAlignment w:val="baseline"/>
      </w:pPr>
      <w:r>
        <w:rPr>
          <w:rFonts w:hint="eastAsia" w:ascii="宋体" w:hAnsi="宋体" w:eastAsia="宋体" w:cs="宋体"/>
          <w:bCs w:val="0"/>
          <w:kern w:val="2"/>
          <w:sz w:val="24"/>
          <w:szCs w:val="24"/>
          <w:lang w:bidi="ar"/>
        </w:rPr>
        <w:t>格式7、</w:t>
      </w:r>
      <w:bookmarkStart w:id="145" w:name="_Toc8610"/>
      <w:r>
        <w:rPr>
          <w:rFonts w:hint="eastAsia" w:ascii="宋体" w:hAnsi="宋体" w:eastAsia="宋体"/>
          <w:sz w:val="24"/>
          <w:szCs w:val="24"/>
          <w:highlight w:val="white"/>
        </w:rPr>
        <w:t>服务本项目人员一览表</w:t>
      </w:r>
      <w:bookmarkEnd w:id="145"/>
    </w:p>
    <w:tbl>
      <w:tblPr>
        <w:tblStyle w:val="1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7"/>
        <w:gridCol w:w="1052"/>
        <w:gridCol w:w="1055"/>
        <w:gridCol w:w="1483"/>
        <w:gridCol w:w="901"/>
        <w:gridCol w:w="1141"/>
        <w:gridCol w:w="841"/>
        <w:gridCol w:w="1003"/>
        <w:gridCol w:w="1491"/>
      </w:tblGrid>
      <w:tr w14:paraId="2BC8E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07" w:type="dxa"/>
            <w:vMerge w:val="restart"/>
            <w:noWrap/>
            <w:vAlign w:val="center"/>
          </w:tcPr>
          <w:p w14:paraId="631B6DC0">
            <w:pPr>
              <w:pStyle w:val="24"/>
              <w:snapToGrid w:val="0"/>
              <w:spacing w:line="360" w:lineRule="auto"/>
              <w:ind w:right="-33"/>
              <w:jc w:val="center"/>
              <w:textAlignment w:val="baseline"/>
              <w:rPr>
                <w:sz w:val="24"/>
                <w:szCs w:val="24"/>
              </w:rPr>
            </w:pPr>
            <w:r>
              <w:rPr>
                <w:rFonts w:hint="eastAsia"/>
                <w:sz w:val="24"/>
                <w:szCs w:val="24"/>
              </w:rPr>
              <w:t>职务</w:t>
            </w:r>
          </w:p>
        </w:tc>
        <w:tc>
          <w:tcPr>
            <w:tcW w:w="1052" w:type="dxa"/>
            <w:vMerge w:val="restart"/>
            <w:noWrap/>
            <w:vAlign w:val="center"/>
          </w:tcPr>
          <w:p w14:paraId="583449D6">
            <w:pPr>
              <w:pStyle w:val="24"/>
              <w:snapToGrid w:val="0"/>
              <w:spacing w:line="360" w:lineRule="auto"/>
              <w:ind w:right="-33"/>
              <w:jc w:val="center"/>
              <w:textAlignment w:val="baseline"/>
              <w:rPr>
                <w:sz w:val="24"/>
                <w:szCs w:val="24"/>
              </w:rPr>
            </w:pPr>
            <w:r>
              <w:rPr>
                <w:rFonts w:hint="eastAsia"/>
                <w:sz w:val="24"/>
                <w:szCs w:val="24"/>
              </w:rPr>
              <w:t>姓名</w:t>
            </w:r>
          </w:p>
        </w:tc>
        <w:tc>
          <w:tcPr>
            <w:tcW w:w="1055" w:type="dxa"/>
            <w:vMerge w:val="restart"/>
            <w:noWrap/>
            <w:vAlign w:val="center"/>
          </w:tcPr>
          <w:p w14:paraId="0EB30FA9">
            <w:pPr>
              <w:pStyle w:val="24"/>
              <w:snapToGrid w:val="0"/>
              <w:spacing w:line="360" w:lineRule="auto"/>
              <w:ind w:right="-33"/>
              <w:jc w:val="center"/>
              <w:textAlignment w:val="baseline"/>
              <w:rPr>
                <w:sz w:val="24"/>
                <w:szCs w:val="24"/>
              </w:rPr>
            </w:pPr>
            <w:r>
              <w:rPr>
                <w:rFonts w:hint="eastAsia"/>
                <w:sz w:val="24"/>
                <w:szCs w:val="24"/>
              </w:rPr>
              <w:t>职称</w:t>
            </w:r>
          </w:p>
        </w:tc>
        <w:tc>
          <w:tcPr>
            <w:tcW w:w="5369" w:type="dxa"/>
            <w:gridSpan w:val="5"/>
            <w:noWrap/>
            <w:vAlign w:val="center"/>
          </w:tcPr>
          <w:p w14:paraId="153EF724">
            <w:pPr>
              <w:pStyle w:val="24"/>
              <w:snapToGrid w:val="0"/>
              <w:spacing w:line="360" w:lineRule="auto"/>
              <w:ind w:right="-33"/>
              <w:jc w:val="center"/>
              <w:textAlignment w:val="baseline"/>
              <w:rPr>
                <w:sz w:val="24"/>
                <w:szCs w:val="24"/>
              </w:rPr>
            </w:pPr>
            <w:r>
              <w:rPr>
                <w:rFonts w:hint="eastAsia"/>
                <w:sz w:val="24"/>
                <w:szCs w:val="24"/>
              </w:rPr>
              <w:t>执业或职业资格证明</w:t>
            </w:r>
          </w:p>
        </w:tc>
        <w:tc>
          <w:tcPr>
            <w:tcW w:w="1491" w:type="dxa"/>
            <w:vMerge w:val="restart"/>
            <w:noWrap/>
            <w:vAlign w:val="center"/>
          </w:tcPr>
          <w:p w14:paraId="0E5549EE">
            <w:pPr>
              <w:pStyle w:val="24"/>
              <w:snapToGrid w:val="0"/>
              <w:spacing w:line="360" w:lineRule="auto"/>
              <w:ind w:right="-33"/>
              <w:jc w:val="center"/>
              <w:textAlignment w:val="baseline"/>
              <w:rPr>
                <w:sz w:val="24"/>
                <w:szCs w:val="24"/>
              </w:rPr>
            </w:pPr>
            <w:r>
              <w:rPr>
                <w:rFonts w:hint="eastAsia"/>
                <w:sz w:val="24"/>
                <w:szCs w:val="24"/>
              </w:rPr>
              <w:t>备注</w:t>
            </w:r>
          </w:p>
        </w:tc>
      </w:tr>
      <w:tr w14:paraId="338EC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007" w:type="dxa"/>
            <w:vMerge w:val="continue"/>
            <w:tcBorders>
              <w:top w:val="nil"/>
            </w:tcBorders>
            <w:noWrap/>
            <w:vAlign w:val="center"/>
          </w:tcPr>
          <w:p w14:paraId="42D158C9">
            <w:pPr>
              <w:snapToGrid w:val="0"/>
              <w:spacing w:line="360" w:lineRule="auto"/>
              <w:ind w:right="-33"/>
              <w:jc w:val="center"/>
              <w:textAlignment w:val="baseline"/>
              <w:rPr>
                <w:rFonts w:ascii="宋体" w:hAnsi="宋体"/>
                <w:sz w:val="24"/>
                <w:szCs w:val="24"/>
              </w:rPr>
            </w:pPr>
          </w:p>
        </w:tc>
        <w:tc>
          <w:tcPr>
            <w:tcW w:w="1052" w:type="dxa"/>
            <w:vMerge w:val="continue"/>
            <w:tcBorders>
              <w:top w:val="nil"/>
            </w:tcBorders>
            <w:noWrap/>
            <w:vAlign w:val="center"/>
          </w:tcPr>
          <w:p w14:paraId="70EC9B80">
            <w:pPr>
              <w:snapToGrid w:val="0"/>
              <w:spacing w:line="360" w:lineRule="auto"/>
              <w:ind w:right="-33"/>
              <w:jc w:val="center"/>
              <w:textAlignment w:val="baseline"/>
              <w:rPr>
                <w:rFonts w:ascii="宋体" w:hAnsi="宋体"/>
                <w:sz w:val="24"/>
                <w:szCs w:val="24"/>
              </w:rPr>
            </w:pPr>
          </w:p>
        </w:tc>
        <w:tc>
          <w:tcPr>
            <w:tcW w:w="1055" w:type="dxa"/>
            <w:vMerge w:val="continue"/>
            <w:tcBorders>
              <w:top w:val="nil"/>
            </w:tcBorders>
            <w:noWrap/>
            <w:vAlign w:val="center"/>
          </w:tcPr>
          <w:p w14:paraId="6314CB96">
            <w:pPr>
              <w:snapToGrid w:val="0"/>
              <w:spacing w:line="360" w:lineRule="auto"/>
              <w:ind w:right="-33"/>
              <w:jc w:val="center"/>
              <w:textAlignment w:val="baseline"/>
              <w:rPr>
                <w:rFonts w:ascii="宋体" w:hAnsi="宋体"/>
                <w:sz w:val="24"/>
                <w:szCs w:val="24"/>
              </w:rPr>
            </w:pPr>
          </w:p>
        </w:tc>
        <w:tc>
          <w:tcPr>
            <w:tcW w:w="1483" w:type="dxa"/>
            <w:noWrap/>
            <w:vAlign w:val="center"/>
          </w:tcPr>
          <w:p w14:paraId="32C1909B">
            <w:pPr>
              <w:pStyle w:val="24"/>
              <w:snapToGrid w:val="0"/>
              <w:spacing w:line="360" w:lineRule="auto"/>
              <w:ind w:right="-33"/>
              <w:jc w:val="center"/>
              <w:textAlignment w:val="baseline"/>
              <w:rPr>
                <w:sz w:val="24"/>
                <w:szCs w:val="24"/>
              </w:rPr>
            </w:pPr>
            <w:r>
              <w:rPr>
                <w:rFonts w:hint="eastAsia"/>
                <w:sz w:val="24"/>
                <w:szCs w:val="24"/>
              </w:rPr>
              <w:t>证书名称</w:t>
            </w:r>
          </w:p>
        </w:tc>
        <w:tc>
          <w:tcPr>
            <w:tcW w:w="901" w:type="dxa"/>
            <w:noWrap/>
            <w:vAlign w:val="center"/>
          </w:tcPr>
          <w:p w14:paraId="58FB2220">
            <w:pPr>
              <w:pStyle w:val="24"/>
              <w:snapToGrid w:val="0"/>
              <w:spacing w:line="360" w:lineRule="auto"/>
              <w:ind w:right="-33"/>
              <w:jc w:val="center"/>
              <w:textAlignment w:val="baseline"/>
              <w:rPr>
                <w:sz w:val="24"/>
                <w:szCs w:val="24"/>
              </w:rPr>
            </w:pPr>
            <w:r>
              <w:rPr>
                <w:rFonts w:hint="eastAsia"/>
                <w:sz w:val="24"/>
                <w:szCs w:val="24"/>
              </w:rPr>
              <w:t>级别</w:t>
            </w:r>
          </w:p>
        </w:tc>
        <w:tc>
          <w:tcPr>
            <w:tcW w:w="1141" w:type="dxa"/>
            <w:noWrap/>
            <w:vAlign w:val="center"/>
          </w:tcPr>
          <w:p w14:paraId="0EAA0A5B">
            <w:pPr>
              <w:pStyle w:val="24"/>
              <w:snapToGrid w:val="0"/>
              <w:spacing w:line="360" w:lineRule="auto"/>
              <w:ind w:right="-33"/>
              <w:jc w:val="center"/>
              <w:textAlignment w:val="baseline"/>
              <w:rPr>
                <w:sz w:val="24"/>
                <w:szCs w:val="24"/>
              </w:rPr>
            </w:pPr>
            <w:r>
              <w:rPr>
                <w:rFonts w:hint="eastAsia"/>
                <w:sz w:val="24"/>
                <w:szCs w:val="24"/>
              </w:rPr>
              <w:t>证号</w:t>
            </w:r>
          </w:p>
        </w:tc>
        <w:tc>
          <w:tcPr>
            <w:tcW w:w="841" w:type="dxa"/>
            <w:noWrap/>
            <w:vAlign w:val="center"/>
          </w:tcPr>
          <w:p w14:paraId="0723E7EF">
            <w:pPr>
              <w:pStyle w:val="24"/>
              <w:snapToGrid w:val="0"/>
              <w:spacing w:line="360" w:lineRule="auto"/>
              <w:ind w:right="-33"/>
              <w:jc w:val="center"/>
              <w:textAlignment w:val="baseline"/>
              <w:rPr>
                <w:sz w:val="24"/>
                <w:szCs w:val="24"/>
              </w:rPr>
            </w:pPr>
            <w:r>
              <w:rPr>
                <w:rFonts w:hint="eastAsia"/>
                <w:sz w:val="24"/>
                <w:szCs w:val="24"/>
              </w:rPr>
              <w:t>专业</w:t>
            </w:r>
          </w:p>
        </w:tc>
        <w:tc>
          <w:tcPr>
            <w:tcW w:w="1003" w:type="dxa"/>
            <w:noWrap/>
            <w:vAlign w:val="center"/>
          </w:tcPr>
          <w:p w14:paraId="3064D466">
            <w:pPr>
              <w:pStyle w:val="24"/>
              <w:snapToGrid w:val="0"/>
              <w:spacing w:line="360" w:lineRule="auto"/>
              <w:ind w:right="-33"/>
              <w:jc w:val="center"/>
              <w:textAlignment w:val="baseline"/>
              <w:rPr>
                <w:sz w:val="24"/>
                <w:szCs w:val="24"/>
              </w:rPr>
            </w:pPr>
          </w:p>
        </w:tc>
        <w:tc>
          <w:tcPr>
            <w:tcW w:w="1491" w:type="dxa"/>
            <w:vMerge w:val="continue"/>
            <w:tcBorders>
              <w:top w:val="nil"/>
            </w:tcBorders>
            <w:noWrap/>
            <w:vAlign w:val="center"/>
          </w:tcPr>
          <w:p w14:paraId="0B1A3796">
            <w:pPr>
              <w:snapToGrid w:val="0"/>
              <w:spacing w:line="360" w:lineRule="auto"/>
              <w:ind w:right="-33"/>
              <w:jc w:val="center"/>
              <w:textAlignment w:val="baseline"/>
              <w:rPr>
                <w:rFonts w:ascii="宋体" w:hAnsi="宋体"/>
                <w:sz w:val="24"/>
                <w:szCs w:val="24"/>
              </w:rPr>
            </w:pPr>
          </w:p>
        </w:tc>
      </w:tr>
      <w:tr w14:paraId="20F4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jc w:val="center"/>
        </w:trPr>
        <w:tc>
          <w:tcPr>
            <w:tcW w:w="1007" w:type="dxa"/>
            <w:tcBorders>
              <w:bottom w:val="single" w:color="000000" w:sz="8" w:space="0"/>
            </w:tcBorders>
            <w:noWrap/>
            <w:vAlign w:val="center"/>
          </w:tcPr>
          <w:p w14:paraId="36C27345">
            <w:pPr>
              <w:pStyle w:val="24"/>
              <w:snapToGrid w:val="0"/>
              <w:spacing w:line="360" w:lineRule="auto"/>
              <w:ind w:right="-33"/>
              <w:jc w:val="center"/>
              <w:textAlignment w:val="baseline"/>
              <w:rPr>
                <w:sz w:val="24"/>
                <w:szCs w:val="24"/>
              </w:rPr>
            </w:pPr>
          </w:p>
        </w:tc>
        <w:tc>
          <w:tcPr>
            <w:tcW w:w="1052" w:type="dxa"/>
            <w:tcBorders>
              <w:bottom w:val="single" w:color="000000" w:sz="8" w:space="0"/>
            </w:tcBorders>
            <w:noWrap/>
            <w:vAlign w:val="center"/>
          </w:tcPr>
          <w:p w14:paraId="66E2F48A">
            <w:pPr>
              <w:pStyle w:val="24"/>
              <w:snapToGrid w:val="0"/>
              <w:spacing w:line="360" w:lineRule="auto"/>
              <w:ind w:right="-33"/>
              <w:jc w:val="center"/>
              <w:textAlignment w:val="baseline"/>
              <w:rPr>
                <w:sz w:val="24"/>
                <w:szCs w:val="24"/>
              </w:rPr>
            </w:pPr>
          </w:p>
        </w:tc>
        <w:tc>
          <w:tcPr>
            <w:tcW w:w="1055" w:type="dxa"/>
            <w:tcBorders>
              <w:bottom w:val="single" w:color="000000" w:sz="8" w:space="0"/>
            </w:tcBorders>
            <w:noWrap/>
            <w:vAlign w:val="center"/>
          </w:tcPr>
          <w:p w14:paraId="3509D348">
            <w:pPr>
              <w:pStyle w:val="24"/>
              <w:snapToGrid w:val="0"/>
              <w:spacing w:line="360" w:lineRule="auto"/>
              <w:ind w:right="-33"/>
              <w:jc w:val="center"/>
              <w:textAlignment w:val="baseline"/>
              <w:rPr>
                <w:sz w:val="24"/>
                <w:szCs w:val="24"/>
              </w:rPr>
            </w:pPr>
          </w:p>
        </w:tc>
        <w:tc>
          <w:tcPr>
            <w:tcW w:w="1483" w:type="dxa"/>
            <w:tcBorders>
              <w:bottom w:val="single" w:color="000000" w:sz="8" w:space="0"/>
            </w:tcBorders>
            <w:noWrap/>
            <w:vAlign w:val="center"/>
          </w:tcPr>
          <w:p w14:paraId="3DAC628A">
            <w:pPr>
              <w:pStyle w:val="24"/>
              <w:snapToGrid w:val="0"/>
              <w:spacing w:line="360" w:lineRule="auto"/>
              <w:ind w:right="-33"/>
              <w:jc w:val="center"/>
              <w:textAlignment w:val="baseline"/>
              <w:rPr>
                <w:sz w:val="24"/>
                <w:szCs w:val="24"/>
              </w:rPr>
            </w:pPr>
          </w:p>
        </w:tc>
        <w:tc>
          <w:tcPr>
            <w:tcW w:w="901" w:type="dxa"/>
            <w:tcBorders>
              <w:bottom w:val="single" w:color="000000" w:sz="8" w:space="0"/>
            </w:tcBorders>
            <w:noWrap/>
            <w:vAlign w:val="center"/>
          </w:tcPr>
          <w:p w14:paraId="3DE2E8F5">
            <w:pPr>
              <w:pStyle w:val="24"/>
              <w:snapToGrid w:val="0"/>
              <w:spacing w:line="360" w:lineRule="auto"/>
              <w:ind w:right="-33"/>
              <w:jc w:val="center"/>
              <w:textAlignment w:val="baseline"/>
              <w:rPr>
                <w:sz w:val="24"/>
                <w:szCs w:val="24"/>
              </w:rPr>
            </w:pPr>
          </w:p>
        </w:tc>
        <w:tc>
          <w:tcPr>
            <w:tcW w:w="1141" w:type="dxa"/>
            <w:tcBorders>
              <w:bottom w:val="single" w:color="000000" w:sz="8" w:space="0"/>
            </w:tcBorders>
            <w:noWrap/>
            <w:vAlign w:val="center"/>
          </w:tcPr>
          <w:p w14:paraId="63903CFF">
            <w:pPr>
              <w:pStyle w:val="24"/>
              <w:snapToGrid w:val="0"/>
              <w:spacing w:line="360" w:lineRule="auto"/>
              <w:ind w:right="-33"/>
              <w:jc w:val="center"/>
              <w:textAlignment w:val="baseline"/>
              <w:rPr>
                <w:sz w:val="24"/>
                <w:szCs w:val="24"/>
              </w:rPr>
            </w:pPr>
          </w:p>
        </w:tc>
        <w:tc>
          <w:tcPr>
            <w:tcW w:w="841" w:type="dxa"/>
            <w:tcBorders>
              <w:bottom w:val="single" w:color="000000" w:sz="8" w:space="0"/>
            </w:tcBorders>
            <w:noWrap/>
            <w:vAlign w:val="center"/>
          </w:tcPr>
          <w:p w14:paraId="223234EF">
            <w:pPr>
              <w:pStyle w:val="24"/>
              <w:snapToGrid w:val="0"/>
              <w:spacing w:line="360" w:lineRule="auto"/>
              <w:ind w:right="-33"/>
              <w:jc w:val="center"/>
              <w:textAlignment w:val="baseline"/>
              <w:rPr>
                <w:sz w:val="24"/>
                <w:szCs w:val="24"/>
              </w:rPr>
            </w:pPr>
          </w:p>
        </w:tc>
        <w:tc>
          <w:tcPr>
            <w:tcW w:w="1003" w:type="dxa"/>
            <w:tcBorders>
              <w:bottom w:val="single" w:color="000000" w:sz="8" w:space="0"/>
            </w:tcBorders>
            <w:noWrap/>
            <w:vAlign w:val="center"/>
          </w:tcPr>
          <w:p w14:paraId="2D7FDFBE">
            <w:pPr>
              <w:pStyle w:val="24"/>
              <w:snapToGrid w:val="0"/>
              <w:spacing w:line="360" w:lineRule="auto"/>
              <w:ind w:right="-33"/>
              <w:jc w:val="center"/>
              <w:textAlignment w:val="baseline"/>
              <w:rPr>
                <w:sz w:val="24"/>
                <w:szCs w:val="24"/>
              </w:rPr>
            </w:pPr>
          </w:p>
        </w:tc>
        <w:tc>
          <w:tcPr>
            <w:tcW w:w="1491" w:type="dxa"/>
            <w:tcBorders>
              <w:bottom w:val="single" w:color="000000" w:sz="8" w:space="0"/>
            </w:tcBorders>
            <w:noWrap/>
            <w:vAlign w:val="center"/>
          </w:tcPr>
          <w:p w14:paraId="272036BD">
            <w:pPr>
              <w:pStyle w:val="24"/>
              <w:snapToGrid w:val="0"/>
              <w:spacing w:line="360" w:lineRule="auto"/>
              <w:ind w:right="-33"/>
              <w:jc w:val="center"/>
              <w:textAlignment w:val="baseline"/>
              <w:rPr>
                <w:sz w:val="24"/>
                <w:szCs w:val="24"/>
              </w:rPr>
            </w:pPr>
          </w:p>
        </w:tc>
      </w:tr>
      <w:tr w14:paraId="1D280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jc w:val="center"/>
        </w:trPr>
        <w:tc>
          <w:tcPr>
            <w:tcW w:w="1007" w:type="dxa"/>
            <w:tcBorders>
              <w:top w:val="single" w:color="000000" w:sz="8" w:space="0"/>
            </w:tcBorders>
            <w:noWrap/>
            <w:vAlign w:val="center"/>
          </w:tcPr>
          <w:p w14:paraId="1847E052">
            <w:pPr>
              <w:pStyle w:val="24"/>
              <w:snapToGrid w:val="0"/>
              <w:spacing w:line="360" w:lineRule="auto"/>
              <w:ind w:right="-33"/>
              <w:jc w:val="center"/>
              <w:textAlignment w:val="baseline"/>
              <w:rPr>
                <w:sz w:val="24"/>
                <w:szCs w:val="24"/>
              </w:rPr>
            </w:pPr>
          </w:p>
        </w:tc>
        <w:tc>
          <w:tcPr>
            <w:tcW w:w="1052" w:type="dxa"/>
            <w:tcBorders>
              <w:top w:val="single" w:color="000000" w:sz="8" w:space="0"/>
            </w:tcBorders>
            <w:noWrap/>
            <w:vAlign w:val="center"/>
          </w:tcPr>
          <w:p w14:paraId="0E25D50E">
            <w:pPr>
              <w:pStyle w:val="24"/>
              <w:snapToGrid w:val="0"/>
              <w:spacing w:line="360" w:lineRule="auto"/>
              <w:ind w:right="-33"/>
              <w:jc w:val="center"/>
              <w:textAlignment w:val="baseline"/>
              <w:rPr>
                <w:sz w:val="24"/>
                <w:szCs w:val="24"/>
              </w:rPr>
            </w:pPr>
          </w:p>
        </w:tc>
        <w:tc>
          <w:tcPr>
            <w:tcW w:w="1055" w:type="dxa"/>
            <w:tcBorders>
              <w:top w:val="single" w:color="000000" w:sz="8" w:space="0"/>
            </w:tcBorders>
            <w:noWrap/>
            <w:vAlign w:val="center"/>
          </w:tcPr>
          <w:p w14:paraId="74DB5E8D">
            <w:pPr>
              <w:pStyle w:val="24"/>
              <w:snapToGrid w:val="0"/>
              <w:spacing w:line="360" w:lineRule="auto"/>
              <w:ind w:right="-33"/>
              <w:jc w:val="center"/>
              <w:textAlignment w:val="baseline"/>
              <w:rPr>
                <w:sz w:val="24"/>
                <w:szCs w:val="24"/>
              </w:rPr>
            </w:pPr>
          </w:p>
        </w:tc>
        <w:tc>
          <w:tcPr>
            <w:tcW w:w="1483" w:type="dxa"/>
            <w:tcBorders>
              <w:top w:val="single" w:color="000000" w:sz="8" w:space="0"/>
            </w:tcBorders>
            <w:noWrap/>
            <w:vAlign w:val="center"/>
          </w:tcPr>
          <w:p w14:paraId="1767FD71">
            <w:pPr>
              <w:pStyle w:val="24"/>
              <w:snapToGrid w:val="0"/>
              <w:spacing w:line="360" w:lineRule="auto"/>
              <w:ind w:right="-33"/>
              <w:jc w:val="center"/>
              <w:textAlignment w:val="baseline"/>
              <w:rPr>
                <w:sz w:val="24"/>
                <w:szCs w:val="24"/>
              </w:rPr>
            </w:pPr>
          </w:p>
        </w:tc>
        <w:tc>
          <w:tcPr>
            <w:tcW w:w="901" w:type="dxa"/>
            <w:tcBorders>
              <w:top w:val="single" w:color="000000" w:sz="8" w:space="0"/>
            </w:tcBorders>
            <w:noWrap/>
            <w:vAlign w:val="center"/>
          </w:tcPr>
          <w:p w14:paraId="4051C9D8">
            <w:pPr>
              <w:pStyle w:val="24"/>
              <w:snapToGrid w:val="0"/>
              <w:spacing w:line="360" w:lineRule="auto"/>
              <w:ind w:right="-33"/>
              <w:jc w:val="center"/>
              <w:textAlignment w:val="baseline"/>
              <w:rPr>
                <w:sz w:val="24"/>
                <w:szCs w:val="24"/>
              </w:rPr>
            </w:pPr>
          </w:p>
        </w:tc>
        <w:tc>
          <w:tcPr>
            <w:tcW w:w="1141" w:type="dxa"/>
            <w:tcBorders>
              <w:top w:val="single" w:color="000000" w:sz="8" w:space="0"/>
            </w:tcBorders>
            <w:noWrap/>
            <w:vAlign w:val="center"/>
          </w:tcPr>
          <w:p w14:paraId="41F58166">
            <w:pPr>
              <w:pStyle w:val="24"/>
              <w:snapToGrid w:val="0"/>
              <w:spacing w:line="360" w:lineRule="auto"/>
              <w:ind w:right="-33"/>
              <w:jc w:val="center"/>
              <w:textAlignment w:val="baseline"/>
              <w:rPr>
                <w:sz w:val="24"/>
                <w:szCs w:val="24"/>
              </w:rPr>
            </w:pPr>
          </w:p>
        </w:tc>
        <w:tc>
          <w:tcPr>
            <w:tcW w:w="841" w:type="dxa"/>
            <w:tcBorders>
              <w:top w:val="single" w:color="000000" w:sz="8" w:space="0"/>
            </w:tcBorders>
            <w:noWrap/>
            <w:vAlign w:val="center"/>
          </w:tcPr>
          <w:p w14:paraId="098C7B68">
            <w:pPr>
              <w:pStyle w:val="24"/>
              <w:snapToGrid w:val="0"/>
              <w:spacing w:line="360" w:lineRule="auto"/>
              <w:ind w:right="-33"/>
              <w:jc w:val="center"/>
              <w:textAlignment w:val="baseline"/>
              <w:rPr>
                <w:sz w:val="24"/>
                <w:szCs w:val="24"/>
              </w:rPr>
            </w:pPr>
          </w:p>
        </w:tc>
        <w:tc>
          <w:tcPr>
            <w:tcW w:w="1003" w:type="dxa"/>
            <w:tcBorders>
              <w:top w:val="single" w:color="000000" w:sz="8" w:space="0"/>
            </w:tcBorders>
            <w:noWrap/>
            <w:vAlign w:val="center"/>
          </w:tcPr>
          <w:p w14:paraId="0F2CBAF9">
            <w:pPr>
              <w:pStyle w:val="24"/>
              <w:snapToGrid w:val="0"/>
              <w:spacing w:line="360" w:lineRule="auto"/>
              <w:ind w:right="-33"/>
              <w:jc w:val="center"/>
              <w:textAlignment w:val="baseline"/>
              <w:rPr>
                <w:sz w:val="24"/>
                <w:szCs w:val="24"/>
              </w:rPr>
            </w:pPr>
          </w:p>
        </w:tc>
        <w:tc>
          <w:tcPr>
            <w:tcW w:w="1491" w:type="dxa"/>
            <w:tcBorders>
              <w:top w:val="single" w:color="000000" w:sz="8" w:space="0"/>
            </w:tcBorders>
            <w:noWrap/>
            <w:vAlign w:val="center"/>
          </w:tcPr>
          <w:p w14:paraId="3DCEA862">
            <w:pPr>
              <w:pStyle w:val="24"/>
              <w:snapToGrid w:val="0"/>
              <w:spacing w:line="360" w:lineRule="auto"/>
              <w:ind w:right="-33"/>
              <w:jc w:val="center"/>
              <w:textAlignment w:val="baseline"/>
              <w:rPr>
                <w:sz w:val="24"/>
                <w:szCs w:val="24"/>
              </w:rPr>
            </w:pPr>
          </w:p>
        </w:tc>
      </w:tr>
      <w:tr w14:paraId="2A303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1007" w:type="dxa"/>
            <w:noWrap/>
            <w:vAlign w:val="center"/>
          </w:tcPr>
          <w:p w14:paraId="7058EC32">
            <w:pPr>
              <w:pStyle w:val="24"/>
              <w:snapToGrid w:val="0"/>
              <w:spacing w:line="360" w:lineRule="auto"/>
              <w:ind w:right="-33"/>
              <w:jc w:val="center"/>
              <w:textAlignment w:val="baseline"/>
              <w:rPr>
                <w:sz w:val="24"/>
                <w:szCs w:val="24"/>
              </w:rPr>
            </w:pPr>
          </w:p>
        </w:tc>
        <w:tc>
          <w:tcPr>
            <w:tcW w:w="1052" w:type="dxa"/>
            <w:noWrap/>
            <w:vAlign w:val="center"/>
          </w:tcPr>
          <w:p w14:paraId="5858E0B4">
            <w:pPr>
              <w:pStyle w:val="24"/>
              <w:snapToGrid w:val="0"/>
              <w:spacing w:line="360" w:lineRule="auto"/>
              <w:ind w:right="-33"/>
              <w:jc w:val="center"/>
              <w:textAlignment w:val="baseline"/>
              <w:rPr>
                <w:sz w:val="24"/>
                <w:szCs w:val="24"/>
              </w:rPr>
            </w:pPr>
          </w:p>
        </w:tc>
        <w:tc>
          <w:tcPr>
            <w:tcW w:w="1055" w:type="dxa"/>
            <w:noWrap/>
            <w:vAlign w:val="center"/>
          </w:tcPr>
          <w:p w14:paraId="2A88EEAA">
            <w:pPr>
              <w:pStyle w:val="24"/>
              <w:snapToGrid w:val="0"/>
              <w:spacing w:line="360" w:lineRule="auto"/>
              <w:ind w:right="-33"/>
              <w:jc w:val="center"/>
              <w:textAlignment w:val="baseline"/>
              <w:rPr>
                <w:sz w:val="24"/>
                <w:szCs w:val="24"/>
              </w:rPr>
            </w:pPr>
          </w:p>
        </w:tc>
        <w:tc>
          <w:tcPr>
            <w:tcW w:w="1483" w:type="dxa"/>
            <w:noWrap/>
            <w:vAlign w:val="center"/>
          </w:tcPr>
          <w:p w14:paraId="181BD6E9">
            <w:pPr>
              <w:pStyle w:val="24"/>
              <w:snapToGrid w:val="0"/>
              <w:spacing w:line="360" w:lineRule="auto"/>
              <w:ind w:right="-33"/>
              <w:jc w:val="center"/>
              <w:textAlignment w:val="baseline"/>
              <w:rPr>
                <w:sz w:val="24"/>
                <w:szCs w:val="24"/>
              </w:rPr>
            </w:pPr>
          </w:p>
        </w:tc>
        <w:tc>
          <w:tcPr>
            <w:tcW w:w="901" w:type="dxa"/>
            <w:noWrap/>
            <w:vAlign w:val="center"/>
          </w:tcPr>
          <w:p w14:paraId="426478D6">
            <w:pPr>
              <w:pStyle w:val="24"/>
              <w:snapToGrid w:val="0"/>
              <w:spacing w:line="360" w:lineRule="auto"/>
              <w:ind w:right="-33"/>
              <w:jc w:val="center"/>
              <w:textAlignment w:val="baseline"/>
              <w:rPr>
                <w:sz w:val="24"/>
                <w:szCs w:val="24"/>
              </w:rPr>
            </w:pPr>
          </w:p>
        </w:tc>
        <w:tc>
          <w:tcPr>
            <w:tcW w:w="1141" w:type="dxa"/>
            <w:noWrap/>
            <w:vAlign w:val="center"/>
          </w:tcPr>
          <w:p w14:paraId="0E5C481E">
            <w:pPr>
              <w:pStyle w:val="24"/>
              <w:snapToGrid w:val="0"/>
              <w:spacing w:line="360" w:lineRule="auto"/>
              <w:ind w:right="-33"/>
              <w:jc w:val="center"/>
              <w:textAlignment w:val="baseline"/>
              <w:rPr>
                <w:sz w:val="24"/>
                <w:szCs w:val="24"/>
              </w:rPr>
            </w:pPr>
          </w:p>
        </w:tc>
        <w:tc>
          <w:tcPr>
            <w:tcW w:w="841" w:type="dxa"/>
            <w:noWrap/>
            <w:vAlign w:val="center"/>
          </w:tcPr>
          <w:p w14:paraId="76E0A33D">
            <w:pPr>
              <w:pStyle w:val="24"/>
              <w:snapToGrid w:val="0"/>
              <w:spacing w:line="360" w:lineRule="auto"/>
              <w:ind w:right="-33"/>
              <w:jc w:val="center"/>
              <w:textAlignment w:val="baseline"/>
              <w:rPr>
                <w:sz w:val="24"/>
                <w:szCs w:val="24"/>
              </w:rPr>
            </w:pPr>
          </w:p>
        </w:tc>
        <w:tc>
          <w:tcPr>
            <w:tcW w:w="1003" w:type="dxa"/>
            <w:noWrap/>
            <w:vAlign w:val="center"/>
          </w:tcPr>
          <w:p w14:paraId="6674799F">
            <w:pPr>
              <w:pStyle w:val="24"/>
              <w:snapToGrid w:val="0"/>
              <w:spacing w:line="360" w:lineRule="auto"/>
              <w:ind w:right="-33"/>
              <w:jc w:val="center"/>
              <w:textAlignment w:val="baseline"/>
              <w:rPr>
                <w:sz w:val="24"/>
                <w:szCs w:val="24"/>
              </w:rPr>
            </w:pPr>
          </w:p>
        </w:tc>
        <w:tc>
          <w:tcPr>
            <w:tcW w:w="1491" w:type="dxa"/>
            <w:noWrap/>
            <w:vAlign w:val="center"/>
          </w:tcPr>
          <w:p w14:paraId="2770F1A8">
            <w:pPr>
              <w:pStyle w:val="24"/>
              <w:snapToGrid w:val="0"/>
              <w:spacing w:line="360" w:lineRule="auto"/>
              <w:ind w:right="-33"/>
              <w:jc w:val="center"/>
              <w:textAlignment w:val="baseline"/>
              <w:rPr>
                <w:sz w:val="24"/>
                <w:szCs w:val="24"/>
              </w:rPr>
            </w:pPr>
          </w:p>
        </w:tc>
      </w:tr>
      <w:tr w14:paraId="57619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1007" w:type="dxa"/>
            <w:noWrap/>
            <w:vAlign w:val="center"/>
          </w:tcPr>
          <w:p w14:paraId="6F4EDABB">
            <w:pPr>
              <w:pStyle w:val="24"/>
              <w:snapToGrid w:val="0"/>
              <w:spacing w:line="360" w:lineRule="auto"/>
              <w:ind w:right="-33"/>
              <w:jc w:val="center"/>
              <w:textAlignment w:val="baseline"/>
              <w:rPr>
                <w:sz w:val="24"/>
                <w:szCs w:val="24"/>
              </w:rPr>
            </w:pPr>
          </w:p>
        </w:tc>
        <w:tc>
          <w:tcPr>
            <w:tcW w:w="1052" w:type="dxa"/>
            <w:noWrap/>
            <w:vAlign w:val="center"/>
          </w:tcPr>
          <w:p w14:paraId="2E76E778">
            <w:pPr>
              <w:pStyle w:val="24"/>
              <w:snapToGrid w:val="0"/>
              <w:spacing w:line="360" w:lineRule="auto"/>
              <w:ind w:right="-33"/>
              <w:jc w:val="center"/>
              <w:textAlignment w:val="baseline"/>
              <w:rPr>
                <w:sz w:val="24"/>
                <w:szCs w:val="24"/>
              </w:rPr>
            </w:pPr>
          </w:p>
        </w:tc>
        <w:tc>
          <w:tcPr>
            <w:tcW w:w="1055" w:type="dxa"/>
            <w:noWrap/>
            <w:vAlign w:val="center"/>
          </w:tcPr>
          <w:p w14:paraId="3A10AF6F">
            <w:pPr>
              <w:pStyle w:val="24"/>
              <w:snapToGrid w:val="0"/>
              <w:spacing w:line="360" w:lineRule="auto"/>
              <w:ind w:right="-33"/>
              <w:jc w:val="center"/>
              <w:textAlignment w:val="baseline"/>
              <w:rPr>
                <w:sz w:val="24"/>
                <w:szCs w:val="24"/>
              </w:rPr>
            </w:pPr>
          </w:p>
        </w:tc>
        <w:tc>
          <w:tcPr>
            <w:tcW w:w="1483" w:type="dxa"/>
            <w:noWrap/>
            <w:vAlign w:val="center"/>
          </w:tcPr>
          <w:p w14:paraId="070F97CE">
            <w:pPr>
              <w:pStyle w:val="24"/>
              <w:snapToGrid w:val="0"/>
              <w:spacing w:line="360" w:lineRule="auto"/>
              <w:ind w:right="-33"/>
              <w:jc w:val="center"/>
              <w:textAlignment w:val="baseline"/>
              <w:rPr>
                <w:sz w:val="24"/>
                <w:szCs w:val="24"/>
              </w:rPr>
            </w:pPr>
          </w:p>
        </w:tc>
        <w:tc>
          <w:tcPr>
            <w:tcW w:w="901" w:type="dxa"/>
            <w:noWrap/>
            <w:vAlign w:val="center"/>
          </w:tcPr>
          <w:p w14:paraId="0BC52FCB">
            <w:pPr>
              <w:pStyle w:val="24"/>
              <w:snapToGrid w:val="0"/>
              <w:spacing w:line="360" w:lineRule="auto"/>
              <w:ind w:right="-33"/>
              <w:jc w:val="center"/>
              <w:textAlignment w:val="baseline"/>
              <w:rPr>
                <w:sz w:val="24"/>
                <w:szCs w:val="24"/>
              </w:rPr>
            </w:pPr>
          </w:p>
        </w:tc>
        <w:tc>
          <w:tcPr>
            <w:tcW w:w="1141" w:type="dxa"/>
            <w:noWrap/>
            <w:vAlign w:val="center"/>
          </w:tcPr>
          <w:p w14:paraId="7EBB551D">
            <w:pPr>
              <w:pStyle w:val="24"/>
              <w:snapToGrid w:val="0"/>
              <w:spacing w:line="360" w:lineRule="auto"/>
              <w:ind w:right="-33"/>
              <w:jc w:val="center"/>
              <w:textAlignment w:val="baseline"/>
              <w:rPr>
                <w:sz w:val="24"/>
                <w:szCs w:val="24"/>
              </w:rPr>
            </w:pPr>
          </w:p>
        </w:tc>
        <w:tc>
          <w:tcPr>
            <w:tcW w:w="841" w:type="dxa"/>
            <w:noWrap/>
            <w:vAlign w:val="center"/>
          </w:tcPr>
          <w:p w14:paraId="3EED2B2D">
            <w:pPr>
              <w:pStyle w:val="24"/>
              <w:snapToGrid w:val="0"/>
              <w:spacing w:line="360" w:lineRule="auto"/>
              <w:ind w:right="-33"/>
              <w:jc w:val="center"/>
              <w:textAlignment w:val="baseline"/>
              <w:rPr>
                <w:sz w:val="24"/>
                <w:szCs w:val="24"/>
              </w:rPr>
            </w:pPr>
          </w:p>
        </w:tc>
        <w:tc>
          <w:tcPr>
            <w:tcW w:w="1003" w:type="dxa"/>
            <w:noWrap/>
            <w:vAlign w:val="center"/>
          </w:tcPr>
          <w:p w14:paraId="3A81DE6A">
            <w:pPr>
              <w:pStyle w:val="24"/>
              <w:snapToGrid w:val="0"/>
              <w:spacing w:line="360" w:lineRule="auto"/>
              <w:ind w:right="-33"/>
              <w:jc w:val="center"/>
              <w:textAlignment w:val="baseline"/>
              <w:rPr>
                <w:sz w:val="24"/>
                <w:szCs w:val="24"/>
              </w:rPr>
            </w:pPr>
          </w:p>
        </w:tc>
        <w:tc>
          <w:tcPr>
            <w:tcW w:w="1491" w:type="dxa"/>
            <w:noWrap/>
            <w:vAlign w:val="center"/>
          </w:tcPr>
          <w:p w14:paraId="33B5A111">
            <w:pPr>
              <w:pStyle w:val="24"/>
              <w:snapToGrid w:val="0"/>
              <w:spacing w:line="360" w:lineRule="auto"/>
              <w:ind w:right="-33"/>
              <w:jc w:val="center"/>
              <w:textAlignment w:val="baseline"/>
              <w:rPr>
                <w:sz w:val="24"/>
                <w:szCs w:val="24"/>
              </w:rPr>
            </w:pPr>
          </w:p>
        </w:tc>
      </w:tr>
      <w:tr w14:paraId="1FA84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1007" w:type="dxa"/>
            <w:noWrap/>
            <w:vAlign w:val="center"/>
          </w:tcPr>
          <w:p w14:paraId="4B48704C">
            <w:pPr>
              <w:pStyle w:val="24"/>
              <w:snapToGrid w:val="0"/>
              <w:spacing w:line="360" w:lineRule="auto"/>
              <w:ind w:right="-33"/>
              <w:jc w:val="center"/>
              <w:textAlignment w:val="baseline"/>
              <w:rPr>
                <w:sz w:val="24"/>
                <w:szCs w:val="24"/>
              </w:rPr>
            </w:pPr>
          </w:p>
        </w:tc>
        <w:tc>
          <w:tcPr>
            <w:tcW w:w="1052" w:type="dxa"/>
            <w:noWrap/>
            <w:vAlign w:val="center"/>
          </w:tcPr>
          <w:p w14:paraId="7D5C3E31">
            <w:pPr>
              <w:pStyle w:val="24"/>
              <w:snapToGrid w:val="0"/>
              <w:spacing w:line="360" w:lineRule="auto"/>
              <w:ind w:right="-33"/>
              <w:jc w:val="center"/>
              <w:textAlignment w:val="baseline"/>
              <w:rPr>
                <w:sz w:val="24"/>
                <w:szCs w:val="24"/>
              </w:rPr>
            </w:pPr>
          </w:p>
        </w:tc>
        <w:tc>
          <w:tcPr>
            <w:tcW w:w="1055" w:type="dxa"/>
            <w:noWrap/>
            <w:vAlign w:val="center"/>
          </w:tcPr>
          <w:p w14:paraId="45EC9239">
            <w:pPr>
              <w:pStyle w:val="24"/>
              <w:snapToGrid w:val="0"/>
              <w:spacing w:line="360" w:lineRule="auto"/>
              <w:ind w:right="-33"/>
              <w:jc w:val="center"/>
              <w:textAlignment w:val="baseline"/>
              <w:rPr>
                <w:sz w:val="24"/>
                <w:szCs w:val="24"/>
              </w:rPr>
            </w:pPr>
          </w:p>
        </w:tc>
        <w:tc>
          <w:tcPr>
            <w:tcW w:w="1483" w:type="dxa"/>
            <w:noWrap/>
            <w:vAlign w:val="center"/>
          </w:tcPr>
          <w:p w14:paraId="533BC0B1">
            <w:pPr>
              <w:pStyle w:val="24"/>
              <w:snapToGrid w:val="0"/>
              <w:spacing w:line="360" w:lineRule="auto"/>
              <w:ind w:right="-33"/>
              <w:jc w:val="center"/>
              <w:textAlignment w:val="baseline"/>
              <w:rPr>
                <w:sz w:val="24"/>
                <w:szCs w:val="24"/>
              </w:rPr>
            </w:pPr>
          </w:p>
        </w:tc>
        <w:tc>
          <w:tcPr>
            <w:tcW w:w="901" w:type="dxa"/>
            <w:noWrap/>
            <w:vAlign w:val="center"/>
          </w:tcPr>
          <w:p w14:paraId="5C9A2F16">
            <w:pPr>
              <w:pStyle w:val="24"/>
              <w:snapToGrid w:val="0"/>
              <w:spacing w:line="360" w:lineRule="auto"/>
              <w:ind w:right="-33"/>
              <w:jc w:val="center"/>
              <w:textAlignment w:val="baseline"/>
              <w:rPr>
                <w:sz w:val="24"/>
                <w:szCs w:val="24"/>
              </w:rPr>
            </w:pPr>
          </w:p>
        </w:tc>
        <w:tc>
          <w:tcPr>
            <w:tcW w:w="1141" w:type="dxa"/>
            <w:noWrap/>
            <w:vAlign w:val="center"/>
          </w:tcPr>
          <w:p w14:paraId="1721306F">
            <w:pPr>
              <w:pStyle w:val="24"/>
              <w:snapToGrid w:val="0"/>
              <w:spacing w:line="360" w:lineRule="auto"/>
              <w:ind w:right="-33"/>
              <w:jc w:val="center"/>
              <w:textAlignment w:val="baseline"/>
              <w:rPr>
                <w:sz w:val="24"/>
                <w:szCs w:val="24"/>
              </w:rPr>
            </w:pPr>
          </w:p>
        </w:tc>
        <w:tc>
          <w:tcPr>
            <w:tcW w:w="841" w:type="dxa"/>
            <w:noWrap/>
            <w:vAlign w:val="center"/>
          </w:tcPr>
          <w:p w14:paraId="3D310CE8">
            <w:pPr>
              <w:pStyle w:val="24"/>
              <w:snapToGrid w:val="0"/>
              <w:spacing w:line="360" w:lineRule="auto"/>
              <w:ind w:right="-33"/>
              <w:jc w:val="center"/>
              <w:textAlignment w:val="baseline"/>
              <w:rPr>
                <w:sz w:val="24"/>
                <w:szCs w:val="24"/>
              </w:rPr>
            </w:pPr>
          </w:p>
        </w:tc>
        <w:tc>
          <w:tcPr>
            <w:tcW w:w="1003" w:type="dxa"/>
            <w:noWrap/>
            <w:vAlign w:val="center"/>
          </w:tcPr>
          <w:p w14:paraId="4997D800">
            <w:pPr>
              <w:pStyle w:val="24"/>
              <w:snapToGrid w:val="0"/>
              <w:spacing w:line="360" w:lineRule="auto"/>
              <w:ind w:right="-33"/>
              <w:jc w:val="center"/>
              <w:textAlignment w:val="baseline"/>
              <w:rPr>
                <w:sz w:val="24"/>
                <w:szCs w:val="24"/>
              </w:rPr>
            </w:pPr>
          </w:p>
        </w:tc>
        <w:tc>
          <w:tcPr>
            <w:tcW w:w="1491" w:type="dxa"/>
            <w:noWrap/>
            <w:vAlign w:val="center"/>
          </w:tcPr>
          <w:p w14:paraId="51BAB0CF">
            <w:pPr>
              <w:pStyle w:val="24"/>
              <w:snapToGrid w:val="0"/>
              <w:spacing w:line="360" w:lineRule="auto"/>
              <w:ind w:right="-33"/>
              <w:jc w:val="center"/>
              <w:textAlignment w:val="baseline"/>
              <w:rPr>
                <w:sz w:val="24"/>
                <w:szCs w:val="24"/>
              </w:rPr>
            </w:pPr>
          </w:p>
        </w:tc>
      </w:tr>
    </w:tbl>
    <w:p w14:paraId="46CE5313">
      <w:pPr>
        <w:snapToGrid w:val="0"/>
        <w:ind w:right="-33"/>
        <w:textAlignment w:val="baseline"/>
        <w:rPr>
          <w:rFonts w:ascii="宋体" w:hAnsi="宋体"/>
          <w:sz w:val="24"/>
          <w:szCs w:val="24"/>
        </w:rPr>
      </w:pPr>
    </w:p>
    <w:p w14:paraId="761E6DC1">
      <w:pPr>
        <w:snapToGrid w:val="0"/>
        <w:ind w:right="-33"/>
        <w:textAlignment w:val="baseline"/>
        <w:rPr>
          <w:rFonts w:hint="eastAsia" w:ascii="宋体" w:hAnsi="宋体"/>
          <w:sz w:val="24"/>
          <w:szCs w:val="24"/>
        </w:rPr>
      </w:pPr>
      <w:r>
        <w:rPr>
          <w:rFonts w:hint="eastAsia" w:ascii="宋体" w:hAnsi="宋体"/>
          <w:sz w:val="24"/>
          <w:szCs w:val="24"/>
        </w:rPr>
        <w:t>附：人员证书扫描件</w:t>
      </w:r>
    </w:p>
    <w:p w14:paraId="7EC25589">
      <w:pPr>
        <w:snapToGrid w:val="0"/>
        <w:ind w:right="-33"/>
        <w:jc w:val="right"/>
        <w:textAlignment w:val="baseline"/>
        <w:rPr>
          <w:rFonts w:ascii="宋体" w:hAnsi="宋体"/>
          <w:sz w:val="24"/>
          <w:szCs w:val="24"/>
        </w:rPr>
      </w:pPr>
      <w:r>
        <w:rPr>
          <w:rFonts w:hint="eastAsia" w:ascii="宋体" w:hAnsi="宋体"/>
          <w:sz w:val="24"/>
          <w:szCs w:val="24"/>
        </w:rPr>
        <w:t>供应商名称：（公章）</w:t>
      </w:r>
    </w:p>
    <w:p w14:paraId="5E544373">
      <w:pPr>
        <w:snapToGrid w:val="0"/>
        <w:ind w:right="-33"/>
        <w:jc w:val="right"/>
        <w:textAlignment w:val="baseline"/>
        <w:rPr>
          <w:rFonts w:ascii="宋体" w:hAnsi="宋体"/>
          <w:sz w:val="24"/>
          <w:szCs w:val="24"/>
        </w:rPr>
      </w:pPr>
    </w:p>
    <w:p w14:paraId="4BDC80EF">
      <w:pPr>
        <w:snapToGrid w:val="0"/>
        <w:ind w:right="-33"/>
        <w:jc w:val="right"/>
        <w:textAlignment w:val="baseline"/>
        <w:rPr>
          <w:rFonts w:ascii="宋体" w:hAnsi="宋体"/>
          <w:sz w:val="24"/>
          <w:szCs w:val="24"/>
        </w:rPr>
      </w:pPr>
      <w:r>
        <w:rPr>
          <w:rFonts w:hint="eastAsia" w:ascii="宋体" w:hAnsi="宋体"/>
          <w:sz w:val="24"/>
          <w:szCs w:val="24"/>
        </w:rPr>
        <w:t>法定代表人或授权委托代理人：（签字或盖章）</w:t>
      </w:r>
    </w:p>
    <w:p w14:paraId="73C9A3B7">
      <w:pPr>
        <w:snapToGrid w:val="0"/>
        <w:ind w:right="-33"/>
        <w:textAlignment w:val="baseline"/>
        <w:rPr>
          <w:rFonts w:ascii="宋体" w:hAnsi="宋体"/>
          <w:spacing w:val="-4"/>
          <w:sz w:val="24"/>
          <w:szCs w:val="24"/>
        </w:rPr>
      </w:pPr>
    </w:p>
    <w:p w14:paraId="72922FB5">
      <w:pPr>
        <w:spacing w:line="360" w:lineRule="auto"/>
        <w:jc w:val="center"/>
        <w:rPr>
          <w:rFonts w:hint="eastAsia" w:ascii="宋体" w:hAnsi="宋体" w:cs="Times New Roman"/>
          <w:b/>
          <w:bCs/>
          <w:sz w:val="24"/>
          <w:szCs w:val="24"/>
          <w:highlight w:val="white"/>
        </w:rPr>
      </w:pPr>
    </w:p>
    <w:p w14:paraId="1F7CD90A">
      <w:pPr>
        <w:pStyle w:val="2"/>
        <w:rPr>
          <w:rFonts w:hint="eastAsia"/>
        </w:rPr>
      </w:pPr>
    </w:p>
    <w:p w14:paraId="2D5094A2">
      <w:pPr>
        <w:pStyle w:val="2"/>
        <w:tabs>
          <w:tab w:val="left" w:pos="574"/>
        </w:tabs>
        <w:autoSpaceDE w:val="0"/>
        <w:spacing w:line="360" w:lineRule="auto"/>
        <w:jc w:val="left"/>
        <w:rPr>
          <w:rFonts w:hint="eastAsia" w:hAnsi="宋体" w:cs="宋体"/>
          <w:b/>
          <w:kern w:val="2"/>
          <w:sz w:val="24"/>
          <w:szCs w:val="24"/>
          <w:lang w:bidi="ar"/>
        </w:rPr>
      </w:pPr>
    </w:p>
    <w:p w14:paraId="35FC05B1">
      <w:pPr>
        <w:pStyle w:val="2"/>
        <w:tabs>
          <w:tab w:val="left" w:pos="574"/>
        </w:tabs>
        <w:autoSpaceDE w:val="0"/>
        <w:spacing w:line="360" w:lineRule="auto"/>
        <w:jc w:val="center"/>
        <w:rPr>
          <w:rFonts w:hint="eastAsia" w:hAnsi="宋体" w:cs="宋体"/>
          <w:b/>
          <w:kern w:val="2"/>
          <w:sz w:val="24"/>
          <w:szCs w:val="24"/>
          <w:lang w:bidi="ar"/>
        </w:rPr>
      </w:pPr>
    </w:p>
    <w:p w14:paraId="6F8CA6E3">
      <w:pPr>
        <w:pStyle w:val="2"/>
        <w:tabs>
          <w:tab w:val="left" w:pos="574"/>
        </w:tabs>
        <w:autoSpaceDE w:val="0"/>
        <w:spacing w:line="360" w:lineRule="auto"/>
        <w:jc w:val="center"/>
        <w:rPr>
          <w:rFonts w:hint="eastAsia" w:hAnsi="宋体" w:cs="宋体"/>
          <w:b/>
          <w:kern w:val="2"/>
          <w:sz w:val="24"/>
          <w:szCs w:val="24"/>
          <w:lang w:bidi="ar"/>
        </w:rPr>
      </w:pPr>
    </w:p>
    <w:p w14:paraId="7608B5DE">
      <w:pPr>
        <w:pStyle w:val="2"/>
        <w:tabs>
          <w:tab w:val="left" w:pos="574"/>
        </w:tabs>
        <w:autoSpaceDE w:val="0"/>
        <w:spacing w:line="360" w:lineRule="auto"/>
        <w:jc w:val="center"/>
        <w:rPr>
          <w:rFonts w:hint="eastAsia" w:hAnsi="宋体" w:cs="宋体"/>
          <w:color w:val="000000"/>
          <w:sz w:val="24"/>
          <w:szCs w:val="24"/>
          <w:u w:val="single"/>
        </w:rPr>
      </w:pPr>
      <w:r>
        <w:rPr>
          <w:rFonts w:hint="eastAsia" w:hAnsi="宋体" w:cs="宋体"/>
          <w:b/>
          <w:kern w:val="2"/>
          <w:sz w:val="24"/>
          <w:szCs w:val="24"/>
          <w:lang w:bidi="ar"/>
        </w:rPr>
        <w:t>格式8、设计方案</w:t>
      </w:r>
    </w:p>
    <w:p w14:paraId="60EB8580">
      <w:pPr>
        <w:spacing w:line="360" w:lineRule="auto"/>
        <w:jc w:val="center"/>
        <w:rPr>
          <w:rFonts w:hint="eastAsia" w:ascii="宋体" w:hAnsi="宋体" w:cs="Times New Roman"/>
          <w:b/>
          <w:bCs/>
          <w:sz w:val="24"/>
          <w:szCs w:val="24"/>
          <w:highlight w:val="white"/>
          <w:lang w:val="zh-CN"/>
        </w:rPr>
      </w:pPr>
      <w:r>
        <w:rPr>
          <w:rFonts w:hint="eastAsia" w:ascii="宋体" w:hAnsi="宋体" w:cs="Times New Roman"/>
          <w:b/>
          <w:bCs/>
          <w:sz w:val="24"/>
          <w:szCs w:val="24"/>
          <w:highlight w:val="white"/>
          <w:lang w:val="zh-CN"/>
        </w:rPr>
        <w:t>（格式自拟）</w:t>
      </w:r>
    </w:p>
    <w:p w14:paraId="0B0B39CB">
      <w:pPr>
        <w:tabs>
          <w:tab w:val="center" w:pos="5713"/>
          <w:tab w:val="right" w:pos="8306"/>
        </w:tabs>
        <w:spacing w:line="360" w:lineRule="auto"/>
        <w:ind w:firstLine="3120" w:firstLineChars="1300"/>
        <w:jc w:val="left"/>
        <w:rPr>
          <w:rFonts w:hint="eastAsia" w:ascii="宋体" w:hAnsi="宋体"/>
          <w:sz w:val="24"/>
          <w:szCs w:val="24"/>
        </w:rPr>
      </w:pPr>
      <w:r>
        <w:rPr>
          <w:rFonts w:ascii="宋体" w:hAnsi="宋体"/>
          <w:sz w:val="24"/>
          <w:szCs w:val="24"/>
        </w:rPr>
        <w:tab/>
      </w:r>
    </w:p>
    <w:p w14:paraId="4A803D7C">
      <w:pPr>
        <w:snapToGrid w:val="0"/>
        <w:spacing w:after="156" w:afterLines="50"/>
        <w:jc w:val="center"/>
        <w:outlineLvl w:val="0"/>
        <w:rPr>
          <w:rFonts w:hint="eastAsia" w:ascii="宋体" w:hAnsi="宋体"/>
          <w:b/>
          <w:sz w:val="24"/>
          <w:szCs w:val="24"/>
          <w:lang w:bidi="ar"/>
        </w:rPr>
      </w:pPr>
    </w:p>
    <w:p w14:paraId="34FD1153">
      <w:pPr>
        <w:snapToGrid w:val="0"/>
        <w:spacing w:after="156" w:afterLines="50"/>
        <w:jc w:val="center"/>
        <w:outlineLvl w:val="0"/>
        <w:rPr>
          <w:rFonts w:hint="eastAsia" w:ascii="宋体" w:hAnsi="宋体"/>
          <w:b/>
          <w:sz w:val="24"/>
          <w:szCs w:val="24"/>
          <w:lang w:bidi="ar"/>
        </w:rPr>
      </w:pPr>
    </w:p>
    <w:p w14:paraId="4F90D87C">
      <w:pPr>
        <w:snapToGrid w:val="0"/>
        <w:spacing w:after="156" w:afterLines="50"/>
        <w:jc w:val="center"/>
        <w:outlineLvl w:val="0"/>
        <w:rPr>
          <w:rFonts w:hint="eastAsia" w:ascii="宋体" w:hAnsi="宋体"/>
          <w:b/>
          <w:sz w:val="24"/>
          <w:szCs w:val="24"/>
          <w:lang w:bidi="ar"/>
        </w:rPr>
      </w:pPr>
    </w:p>
    <w:p w14:paraId="58162794">
      <w:pPr>
        <w:pStyle w:val="2"/>
        <w:rPr>
          <w:rFonts w:hint="eastAsia"/>
        </w:rPr>
      </w:pPr>
    </w:p>
    <w:p w14:paraId="05D8CA70">
      <w:pPr>
        <w:snapToGrid w:val="0"/>
        <w:spacing w:after="156" w:afterLines="50"/>
        <w:jc w:val="center"/>
        <w:outlineLvl w:val="0"/>
        <w:rPr>
          <w:rFonts w:hint="eastAsia" w:ascii="宋体" w:hAnsi="宋体"/>
          <w:b/>
          <w:sz w:val="24"/>
          <w:szCs w:val="24"/>
          <w:lang w:bidi="ar"/>
        </w:rPr>
      </w:pPr>
    </w:p>
    <w:p w14:paraId="21C1374A">
      <w:pPr>
        <w:snapToGrid w:val="0"/>
        <w:spacing w:after="156" w:afterLines="50"/>
        <w:jc w:val="center"/>
        <w:outlineLvl w:val="0"/>
        <w:rPr>
          <w:rFonts w:hint="eastAsia" w:ascii="宋体" w:hAnsi="宋体"/>
          <w:b/>
          <w:sz w:val="24"/>
          <w:szCs w:val="24"/>
          <w:lang w:bidi="ar"/>
        </w:rPr>
      </w:pPr>
    </w:p>
    <w:p w14:paraId="670EB2AD">
      <w:pPr>
        <w:snapToGrid w:val="0"/>
        <w:spacing w:after="156" w:afterLines="50"/>
        <w:jc w:val="center"/>
        <w:outlineLvl w:val="0"/>
        <w:rPr>
          <w:rFonts w:hint="eastAsia" w:ascii="宋体" w:hAnsi="宋体"/>
          <w:b/>
          <w:sz w:val="24"/>
          <w:szCs w:val="24"/>
          <w:lang w:bidi="ar"/>
        </w:rPr>
      </w:pPr>
      <w:r>
        <w:rPr>
          <w:rFonts w:hint="eastAsia" w:ascii="宋体" w:hAnsi="宋体"/>
          <w:b/>
          <w:sz w:val="24"/>
          <w:szCs w:val="24"/>
          <w:lang w:bidi="ar"/>
        </w:rPr>
        <w:t>格式9、承诺函</w:t>
      </w:r>
    </w:p>
    <w:p w14:paraId="1B7D18D1">
      <w:pPr>
        <w:spacing w:line="440" w:lineRule="exact"/>
        <w:jc w:val="center"/>
        <w:rPr>
          <w:rFonts w:hint="eastAsia" w:ascii="宋体" w:hAnsi="宋体"/>
          <w:sz w:val="24"/>
          <w:szCs w:val="24"/>
        </w:rPr>
      </w:pPr>
    </w:p>
    <w:p w14:paraId="3DE104FF">
      <w:pPr>
        <w:spacing w:line="360" w:lineRule="auto"/>
        <w:jc w:val="center"/>
        <w:rPr>
          <w:rFonts w:hint="eastAsia" w:ascii="宋体" w:hAnsi="宋体"/>
          <w:b/>
          <w:bCs/>
          <w:sz w:val="24"/>
          <w:szCs w:val="24"/>
        </w:rPr>
      </w:pPr>
      <w:r>
        <w:rPr>
          <w:rFonts w:hint="eastAsia" w:ascii="宋体" w:hAnsi="宋体"/>
          <w:b/>
          <w:bCs/>
          <w:sz w:val="24"/>
          <w:szCs w:val="24"/>
        </w:rPr>
        <w:t>信誉承诺</w:t>
      </w:r>
    </w:p>
    <w:p w14:paraId="048A0F4B">
      <w:pPr>
        <w:spacing w:line="360" w:lineRule="auto"/>
        <w:ind w:firstLine="480" w:firstLineChars="200"/>
        <w:rPr>
          <w:rFonts w:hint="eastAsia" w:ascii="宋体" w:hAnsi="宋体"/>
          <w:sz w:val="24"/>
          <w:szCs w:val="24"/>
        </w:rPr>
      </w:pPr>
      <w:r>
        <w:rPr>
          <w:rFonts w:hint="eastAsia" w:ascii="宋体" w:hAnsi="宋体"/>
          <w:sz w:val="24"/>
          <w:szCs w:val="24"/>
        </w:rPr>
        <w:t>本公司郑重声明，我公司无以下不良信用记录情形：</w:t>
      </w:r>
    </w:p>
    <w:p w14:paraId="34A70A4C">
      <w:pPr>
        <w:spacing w:line="360" w:lineRule="auto"/>
        <w:ind w:firstLine="480" w:firstLineChars="200"/>
        <w:rPr>
          <w:rFonts w:hint="eastAsia" w:ascii="宋体" w:hAnsi="宋体"/>
          <w:bCs/>
          <w:sz w:val="24"/>
          <w:szCs w:val="24"/>
        </w:rPr>
      </w:pPr>
      <w:r>
        <w:rPr>
          <w:rFonts w:hint="eastAsia" w:ascii="宋体" w:hAnsi="宋体"/>
          <w:bCs/>
          <w:sz w:val="24"/>
          <w:szCs w:val="24"/>
        </w:rPr>
        <w:fldChar w:fldCharType="begin"/>
      </w:r>
      <w:r>
        <w:rPr>
          <w:rFonts w:hint="eastAsia" w:ascii="宋体" w:hAnsi="宋体"/>
          <w:bCs/>
          <w:sz w:val="24"/>
          <w:szCs w:val="24"/>
        </w:rPr>
        <w:instrText xml:space="preserve">= 1 \* GB3</w:instrText>
      </w:r>
      <w:r>
        <w:rPr>
          <w:rFonts w:hint="eastAsia" w:ascii="宋体" w:hAnsi="宋体"/>
          <w:bCs/>
          <w:sz w:val="24"/>
          <w:szCs w:val="24"/>
        </w:rPr>
        <w:fldChar w:fldCharType="separate"/>
      </w:r>
      <w:r>
        <w:rPr>
          <w:rFonts w:hint="eastAsia" w:ascii="宋体" w:hAnsi="宋体"/>
          <w:bCs/>
          <w:sz w:val="24"/>
          <w:szCs w:val="24"/>
        </w:rPr>
        <w:t>①</w:t>
      </w:r>
      <w:r>
        <w:rPr>
          <w:rFonts w:hint="eastAsia" w:ascii="宋体" w:hAnsi="宋体"/>
          <w:bCs/>
          <w:sz w:val="24"/>
          <w:szCs w:val="24"/>
        </w:rPr>
        <w:fldChar w:fldCharType="end"/>
      </w:r>
      <w:r>
        <w:rPr>
          <w:rFonts w:hint="eastAsia" w:ascii="宋体" w:hAnsi="宋体"/>
          <w:bCs/>
          <w:sz w:val="24"/>
          <w:szCs w:val="24"/>
        </w:rPr>
        <w:t>被最高人民法院在“信用中国”网站（www.creditchina.gov.cn）列入失信被执行人受惩黑名单；</w:t>
      </w:r>
    </w:p>
    <w:p w14:paraId="150020F8">
      <w:pPr>
        <w:spacing w:line="360" w:lineRule="auto"/>
        <w:ind w:firstLine="480" w:firstLineChars="200"/>
        <w:rPr>
          <w:rFonts w:hint="eastAsia" w:ascii="宋体" w:hAnsi="宋体"/>
          <w:bCs/>
          <w:sz w:val="24"/>
          <w:szCs w:val="24"/>
        </w:rPr>
      </w:pPr>
      <w:r>
        <w:rPr>
          <w:rFonts w:hint="eastAsia" w:ascii="宋体" w:hAnsi="宋体"/>
          <w:bCs/>
          <w:sz w:val="24"/>
          <w:szCs w:val="24"/>
        </w:rPr>
        <w:fldChar w:fldCharType="begin"/>
      </w:r>
      <w:r>
        <w:rPr>
          <w:rFonts w:hint="eastAsia" w:ascii="宋体" w:hAnsi="宋体"/>
          <w:bCs/>
          <w:sz w:val="24"/>
          <w:szCs w:val="24"/>
        </w:rPr>
        <w:instrText xml:space="preserve">= 2 \* GB3</w:instrText>
      </w:r>
      <w:r>
        <w:rPr>
          <w:rFonts w:hint="eastAsia" w:ascii="宋体" w:hAnsi="宋体"/>
          <w:bCs/>
          <w:sz w:val="24"/>
          <w:szCs w:val="24"/>
        </w:rPr>
        <w:fldChar w:fldCharType="separate"/>
      </w:r>
      <w:r>
        <w:rPr>
          <w:rFonts w:hint="eastAsia" w:ascii="宋体" w:hAnsi="宋体"/>
          <w:bCs/>
          <w:sz w:val="24"/>
          <w:szCs w:val="24"/>
        </w:rPr>
        <w:t>②</w:t>
      </w:r>
      <w:r>
        <w:rPr>
          <w:rFonts w:hint="eastAsia" w:ascii="宋体" w:hAnsi="宋体"/>
          <w:bCs/>
          <w:sz w:val="24"/>
          <w:szCs w:val="24"/>
        </w:rPr>
        <w:fldChar w:fldCharType="end"/>
      </w:r>
      <w:r>
        <w:rPr>
          <w:rFonts w:hint="eastAsia" w:ascii="宋体" w:hAnsi="宋体"/>
          <w:bCs/>
          <w:sz w:val="24"/>
          <w:szCs w:val="24"/>
        </w:rPr>
        <w:t>被国家税务总局列入“重大税收违法案件当事人”名单。</w:t>
      </w:r>
    </w:p>
    <w:p w14:paraId="770D0B3F">
      <w:pPr>
        <w:spacing w:line="360" w:lineRule="auto"/>
        <w:ind w:firstLine="480" w:firstLineChars="200"/>
        <w:rPr>
          <w:rFonts w:hint="eastAsia" w:ascii="宋体" w:hAnsi="宋体"/>
          <w:bCs/>
          <w:sz w:val="24"/>
          <w:szCs w:val="24"/>
        </w:rPr>
      </w:pPr>
      <w:r>
        <w:rPr>
          <w:rFonts w:hint="eastAsia" w:ascii="宋体" w:hAnsi="宋体"/>
          <w:bCs/>
          <w:sz w:val="24"/>
          <w:szCs w:val="24"/>
        </w:rPr>
        <w:fldChar w:fldCharType="begin"/>
      </w:r>
      <w:r>
        <w:rPr>
          <w:rFonts w:hint="eastAsia" w:ascii="宋体" w:hAnsi="宋体"/>
          <w:bCs/>
          <w:sz w:val="24"/>
          <w:szCs w:val="24"/>
        </w:rPr>
        <w:instrText xml:space="preserve">= 3 \* GB3</w:instrText>
      </w:r>
      <w:r>
        <w:rPr>
          <w:rFonts w:hint="eastAsia" w:ascii="宋体" w:hAnsi="宋体"/>
          <w:bCs/>
          <w:sz w:val="24"/>
          <w:szCs w:val="24"/>
        </w:rPr>
        <w:fldChar w:fldCharType="separate"/>
      </w:r>
      <w:r>
        <w:rPr>
          <w:rFonts w:hint="eastAsia" w:ascii="宋体" w:hAnsi="宋体"/>
          <w:bCs/>
          <w:sz w:val="24"/>
          <w:szCs w:val="24"/>
        </w:rPr>
        <w:t>③</w:t>
      </w:r>
      <w:r>
        <w:rPr>
          <w:rFonts w:hint="eastAsia" w:ascii="宋体" w:hAnsi="宋体"/>
          <w:bCs/>
          <w:sz w:val="24"/>
          <w:szCs w:val="24"/>
        </w:rPr>
        <w:fldChar w:fldCharType="end"/>
      </w:r>
      <w:r>
        <w:rPr>
          <w:rFonts w:hint="eastAsia" w:ascii="宋体" w:hAnsi="宋体"/>
          <w:bCs/>
          <w:sz w:val="24"/>
          <w:szCs w:val="24"/>
        </w:rPr>
        <w:t>被中国政府采购网（www.ccgp.gov.cn）列入“政府采购严重违法失信行为记录名单</w:t>
      </w:r>
    </w:p>
    <w:p w14:paraId="045D6694">
      <w:pPr>
        <w:spacing w:line="360" w:lineRule="auto"/>
        <w:ind w:firstLine="480" w:firstLineChars="200"/>
        <w:rPr>
          <w:rFonts w:hint="eastAsia" w:ascii="宋体" w:hAnsi="宋体"/>
          <w:bCs/>
          <w:sz w:val="24"/>
          <w:szCs w:val="24"/>
        </w:rPr>
      </w:pPr>
      <w:r>
        <w:rPr>
          <w:rFonts w:hint="eastAsia" w:ascii="宋体" w:hAnsi="宋体"/>
          <w:bCs/>
          <w:sz w:val="24"/>
          <w:szCs w:val="24"/>
        </w:rPr>
        <w:t>④被工商行政管理机关在国家企业信用信息公示系统（www.gsxt.gov.cn）中列入严重违法失信企业名单。</w:t>
      </w:r>
    </w:p>
    <w:p w14:paraId="0FB42593">
      <w:pPr>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fldChar w:fldCharType="begin"/>
      </w:r>
      <w:r>
        <w:rPr>
          <w:rFonts w:hint="eastAsia" w:ascii="宋体" w:hAnsi="宋体"/>
          <w:bCs/>
          <w:sz w:val="24"/>
          <w:szCs w:val="24"/>
          <w:lang w:val="en-US" w:eastAsia="zh-CN"/>
        </w:rPr>
        <w:instrText xml:space="preserve"> = 5 \* GB3 \* MERGEFORMAT </w:instrText>
      </w:r>
      <w:r>
        <w:rPr>
          <w:rFonts w:hint="eastAsia" w:ascii="宋体" w:hAnsi="宋体"/>
          <w:bCs/>
          <w:sz w:val="24"/>
          <w:szCs w:val="24"/>
          <w:lang w:val="en-US" w:eastAsia="zh-CN"/>
        </w:rPr>
        <w:fldChar w:fldCharType="separate"/>
      </w:r>
      <w:r>
        <w:rPr>
          <w:rFonts w:hint="eastAsia" w:ascii="宋体" w:hAnsi="宋体"/>
          <w:bCs/>
          <w:sz w:val="24"/>
          <w:szCs w:val="24"/>
          <w:lang w:val="en-US" w:eastAsia="zh-CN"/>
        </w:rPr>
        <w:t>⑤</w:t>
      </w:r>
      <w:r>
        <w:rPr>
          <w:rFonts w:hint="eastAsia" w:ascii="宋体" w:hAnsi="宋体"/>
          <w:bCs/>
          <w:sz w:val="24"/>
          <w:szCs w:val="24"/>
          <w:lang w:val="en-US" w:eastAsia="zh-CN"/>
        </w:rPr>
        <w:fldChar w:fldCharType="end"/>
      </w:r>
      <w:r>
        <w:rPr>
          <w:rFonts w:hint="eastAsia" w:ascii="宋体" w:hAnsi="宋体"/>
          <w:bCs/>
          <w:sz w:val="24"/>
          <w:szCs w:val="24"/>
          <w:lang w:val="en-US" w:eastAsia="zh-CN"/>
        </w:rPr>
        <w:t>投标人及其法定代表人、拟任本项目负责人被列入全国法院失信被执行人名单。</w:t>
      </w:r>
    </w:p>
    <w:p w14:paraId="6CB48AC4">
      <w:pPr>
        <w:spacing w:line="360" w:lineRule="auto"/>
        <w:ind w:firstLine="480" w:firstLineChars="200"/>
        <w:rPr>
          <w:rFonts w:hint="eastAsia" w:ascii="宋体" w:hAnsi="宋体"/>
          <w:sz w:val="24"/>
          <w:szCs w:val="24"/>
        </w:rPr>
      </w:pPr>
      <w:r>
        <w:rPr>
          <w:rFonts w:hint="eastAsia" w:ascii="宋体" w:hAnsi="宋体"/>
          <w:sz w:val="24"/>
          <w:szCs w:val="24"/>
        </w:rPr>
        <w:t>我公司已就上述不良信用行为按照招标文件中投标人须知前附表规定进行了查询。</w:t>
      </w:r>
    </w:p>
    <w:p w14:paraId="163913DF">
      <w:pPr>
        <w:spacing w:line="360" w:lineRule="auto"/>
        <w:ind w:firstLine="480" w:firstLineChars="200"/>
        <w:rPr>
          <w:rFonts w:hint="eastAsia" w:ascii="宋体" w:hAnsi="宋体"/>
          <w:color w:val="000000"/>
          <w:kern w:val="0"/>
          <w:sz w:val="24"/>
          <w:szCs w:val="24"/>
        </w:rPr>
      </w:pPr>
      <w:r>
        <w:rPr>
          <w:rFonts w:hint="eastAsia" w:ascii="宋体" w:hAnsi="宋体"/>
          <w:sz w:val="24"/>
          <w:szCs w:val="24"/>
        </w:rPr>
        <w:t>我公司承诺：合同签订前，若我公司具有不良信用记录情形，贵方可取消我公司中标资格或者不授予合同，所有责任由我公司自行承担。同时，我公司愿意无条件接受监管部门的调查处理。 我方承诺不存在本项目招标公告中所列</w:t>
      </w:r>
      <w:r>
        <w:rPr>
          <w:rFonts w:hint="eastAsia" w:ascii="宋体" w:hAnsi="宋体"/>
          <w:bCs/>
          <w:color w:val="000000"/>
          <w:kern w:val="0"/>
          <w:sz w:val="24"/>
          <w:szCs w:val="24"/>
        </w:rPr>
        <w:t>不良信用记录</w:t>
      </w:r>
      <w:r>
        <w:rPr>
          <w:rFonts w:hint="eastAsia" w:ascii="宋体" w:hAnsi="宋体"/>
          <w:color w:val="000000"/>
          <w:kern w:val="0"/>
          <w:sz w:val="24"/>
          <w:szCs w:val="24"/>
        </w:rPr>
        <w:t>。</w:t>
      </w:r>
      <w:r>
        <w:rPr>
          <w:rFonts w:hint="eastAsia" w:ascii="宋体" w:hAnsi="宋体"/>
          <w:sz w:val="24"/>
          <w:szCs w:val="24"/>
        </w:rPr>
        <w:t>若我方中标后查询不符</w:t>
      </w:r>
      <w:r>
        <w:rPr>
          <w:rFonts w:hint="eastAsia" w:ascii="宋体" w:hAnsi="宋体"/>
          <w:color w:val="000000"/>
          <w:kern w:val="0"/>
          <w:sz w:val="24"/>
          <w:szCs w:val="24"/>
        </w:rPr>
        <w:t>，视为我方虚假投标，可取消中标资格并承担相应责任。</w:t>
      </w:r>
      <w:r>
        <w:rPr>
          <w:rFonts w:hint="eastAsia" w:ascii="宋体" w:hAnsi="宋体"/>
          <w:sz w:val="24"/>
          <w:szCs w:val="24"/>
        </w:rPr>
        <w:t>若我方（乙方）中标后，我方承诺严格按照招标文件规定的供货方式（期限）供货及严格履行售后服务承诺。</w:t>
      </w:r>
    </w:p>
    <w:p w14:paraId="6D4703A8">
      <w:pPr>
        <w:spacing w:line="360" w:lineRule="auto"/>
        <w:rPr>
          <w:rFonts w:hint="eastAsia" w:ascii="宋体" w:hAnsi="宋体"/>
          <w:sz w:val="24"/>
          <w:szCs w:val="24"/>
        </w:rPr>
      </w:pPr>
    </w:p>
    <w:p w14:paraId="06A5DA5E">
      <w:pPr>
        <w:spacing w:line="360" w:lineRule="auto"/>
        <w:ind w:left="4200" w:leftChars="2000"/>
        <w:rPr>
          <w:rFonts w:hint="eastAsia" w:ascii="宋体" w:hAnsi="宋体"/>
          <w:sz w:val="24"/>
          <w:szCs w:val="24"/>
        </w:rPr>
      </w:pPr>
      <w:r>
        <w:rPr>
          <w:rFonts w:hint="eastAsia" w:ascii="宋体" w:hAnsi="宋体"/>
          <w:sz w:val="24"/>
          <w:szCs w:val="24"/>
        </w:rPr>
        <w:t>投标供应商公章：</w:t>
      </w:r>
    </w:p>
    <w:p w14:paraId="0A927463">
      <w:pPr>
        <w:spacing w:line="360" w:lineRule="auto"/>
        <w:ind w:left="4200" w:leftChars="2000"/>
        <w:rPr>
          <w:rFonts w:ascii="宋体" w:hAnsi="宋体"/>
          <w:sz w:val="24"/>
          <w:szCs w:val="24"/>
        </w:rPr>
      </w:pPr>
      <w:r>
        <w:rPr>
          <w:rFonts w:hint="eastAsia" w:ascii="宋体" w:hAnsi="宋体"/>
          <w:sz w:val="24"/>
          <w:szCs w:val="24"/>
        </w:rPr>
        <w:t>日期：</w:t>
      </w:r>
    </w:p>
    <w:p w14:paraId="49EBC93D">
      <w:pPr>
        <w:spacing w:line="360" w:lineRule="auto"/>
        <w:jc w:val="center"/>
        <w:rPr>
          <w:rFonts w:hint="eastAsia" w:ascii="宋体" w:hAnsi="宋体" w:cs="Times New Roman"/>
          <w:b/>
          <w:bCs/>
          <w:sz w:val="24"/>
          <w:szCs w:val="24"/>
          <w:highlight w:val="white"/>
          <w:lang w:val="zh-CN"/>
        </w:rPr>
      </w:pPr>
      <w:bookmarkStart w:id="146" w:name="_Toc243946214"/>
      <w:bookmarkEnd w:id="146"/>
      <w:bookmarkStart w:id="147" w:name="_Toc243680621"/>
      <w:bookmarkEnd w:id="147"/>
      <w:bookmarkStart w:id="148" w:name="_Toc245740663"/>
    </w:p>
    <w:p w14:paraId="25C431A9">
      <w:pPr>
        <w:spacing w:line="360" w:lineRule="auto"/>
        <w:jc w:val="center"/>
        <w:rPr>
          <w:rFonts w:hint="eastAsia" w:ascii="宋体" w:hAnsi="宋体" w:cs="Times New Roman"/>
          <w:b/>
          <w:bCs/>
          <w:sz w:val="24"/>
          <w:szCs w:val="24"/>
          <w:highlight w:val="white"/>
          <w:lang w:val="zh-CN"/>
        </w:rPr>
      </w:pPr>
    </w:p>
    <w:p w14:paraId="384C283B">
      <w:pPr>
        <w:spacing w:line="360" w:lineRule="auto"/>
        <w:jc w:val="center"/>
        <w:rPr>
          <w:rFonts w:hint="eastAsia" w:ascii="宋体" w:hAnsi="宋体" w:cs="Times New Roman"/>
          <w:b/>
          <w:bCs/>
          <w:sz w:val="24"/>
          <w:szCs w:val="24"/>
          <w:highlight w:val="white"/>
          <w:lang w:val="zh-CN"/>
        </w:rPr>
      </w:pPr>
    </w:p>
    <w:p w14:paraId="04E03FB1">
      <w:pPr>
        <w:spacing w:line="360" w:lineRule="auto"/>
        <w:jc w:val="center"/>
        <w:rPr>
          <w:rFonts w:hint="eastAsia" w:ascii="宋体" w:hAnsi="宋体" w:cs="Times New Roman"/>
          <w:b/>
          <w:bCs/>
          <w:sz w:val="24"/>
          <w:szCs w:val="24"/>
          <w:highlight w:val="white"/>
          <w:lang w:val="zh-CN"/>
        </w:rPr>
      </w:pPr>
    </w:p>
    <w:p w14:paraId="4F9717EF">
      <w:pPr>
        <w:pStyle w:val="2"/>
        <w:rPr>
          <w:rFonts w:hint="eastAsia" w:hAnsi="宋体"/>
          <w:b/>
          <w:bCs/>
          <w:sz w:val="24"/>
          <w:szCs w:val="24"/>
          <w:highlight w:val="white"/>
          <w:lang w:val="zh-CN"/>
        </w:rPr>
      </w:pPr>
    </w:p>
    <w:p w14:paraId="25DB1B86">
      <w:pPr>
        <w:pStyle w:val="3"/>
        <w:rPr>
          <w:rFonts w:hint="eastAsia" w:ascii="宋体" w:hAnsi="宋体" w:cs="Times New Roman"/>
          <w:b/>
          <w:bCs/>
          <w:sz w:val="24"/>
          <w:highlight w:val="white"/>
          <w:lang w:val="zh-CN"/>
        </w:rPr>
      </w:pPr>
    </w:p>
    <w:bookmarkEnd w:id="148"/>
    <w:p w14:paraId="4F8B5047">
      <w:pPr>
        <w:pStyle w:val="3"/>
        <w:ind w:left="0" w:leftChars="0" w:firstLine="0" w:firstLineChars="0"/>
        <w:rPr>
          <w:rFonts w:hint="eastAsia"/>
          <w:lang w:val="zh-CN"/>
        </w:rPr>
      </w:pPr>
    </w:p>
    <w:p w14:paraId="6F57C4F4">
      <w:pPr>
        <w:spacing w:line="360" w:lineRule="auto"/>
        <w:jc w:val="center"/>
        <w:rPr>
          <w:rFonts w:ascii="宋体" w:hAnsi="宋体" w:cs="Times New Roman"/>
          <w:b/>
          <w:bCs/>
          <w:sz w:val="24"/>
          <w:szCs w:val="24"/>
          <w:highlight w:val="white"/>
          <w:lang w:val="zh-CN"/>
        </w:rPr>
      </w:pPr>
      <w:r>
        <w:rPr>
          <w:rFonts w:hint="eastAsia" w:ascii="宋体" w:hAnsi="宋体" w:cs="Times New Roman"/>
          <w:b/>
          <w:bCs/>
          <w:sz w:val="24"/>
          <w:szCs w:val="24"/>
          <w:highlight w:val="white"/>
          <w:lang w:val="zh-CN"/>
        </w:rPr>
        <w:t>格式</w:t>
      </w:r>
      <w:r>
        <w:rPr>
          <w:rFonts w:hint="eastAsia" w:ascii="宋体" w:hAnsi="宋体" w:cs="Times New Roman"/>
          <w:b/>
          <w:bCs/>
          <w:sz w:val="24"/>
          <w:szCs w:val="24"/>
          <w:highlight w:val="white"/>
        </w:rPr>
        <w:t>10</w:t>
      </w:r>
      <w:r>
        <w:rPr>
          <w:rFonts w:hint="eastAsia" w:ascii="宋体" w:hAnsi="宋体" w:cs="Times New Roman"/>
          <w:b/>
          <w:bCs/>
          <w:sz w:val="24"/>
          <w:szCs w:val="24"/>
          <w:highlight w:val="white"/>
          <w:lang w:val="zh-CN"/>
        </w:rPr>
        <w:t>、</w:t>
      </w:r>
      <w:r>
        <w:rPr>
          <w:rFonts w:hint="eastAsia" w:ascii="宋体" w:hAnsi="宋体"/>
          <w:b/>
          <w:bCs/>
          <w:sz w:val="24"/>
          <w:szCs w:val="24"/>
          <w:lang w:bidi="zh-CN"/>
        </w:rPr>
        <w:t>中小企业声明函(服务)</w:t>
      </w:r>
    </w:p>
    <w:p w14:paraId="6D22E069">
      <w:pPr>
        <w:pStyle w:val="2"/>
        <w:spacing w:line="360" w:lineRule="auto"/>
        <w:ind w:firstLine="480" w:firstLineChars="200"/>
        <w:jc w:val="left"/>
        <w:rPr>
          <w:rFonts w:hAnsi="宋体" w:cs="宋体"/>
          <w:sz w:val="24"/>
          <w:szCs w:val="24"/>
        </w:rPr>
      </w:pPr>
      <w:r>
        <w:rPr>
          <w:rFonts w:hint="eastAsia" w:hAnsi="宋体" w:cs="宋体"/>
          <w:sz w:val="24"/>
          <w:szCs w:val="24"/>
        </w:rPr>
        <w:t>本公司(联合体)郑重声明，根据《政府采购促进中小企业发展管理办法》(财库( 2020 )46号)的规定，本公司(联合体)参加</w:t>
      </w:r>
      <w:r>
        <w:rPr>
          <w:rFonts w:hint="eastAsia" w:hAnsi="宋体" w:cs="宋体"/>
          <w:sz w:val="24"/>
          <w:szCs w:val="24"/>
          <w:u w:val="single"/>
        </w:rPr>
        <w:t xml:space="preserve">  (单位名称)  </w:t>
      </w:r>
      <w:r>
        <w:rPr>
          <w:rFonts w:hint="eastAsia" w:hAnsi="宋体" w:cs="宋体"/>
          <w:sz w:val="24"/>
          <w:szCs w:val="24"/>
        </w:rPr>
        <w:t>的</w:t>
      </w:r>
      <w:r>
        <w:rPr>
          <w:rFonts w:hint="eastAsia" w:hAnsi="宋体" w:cs="宋体"/>
          <w:sz w:val="24"/>
          <w:szCs w:val="24"/>
          <w:u w:val="single"/>
        </w:rPr>
        <w:t xml:space="preserve"> (项目名称) </w:t>
      </w:r>
      <w:r>
        <w:rPr>
          <w:rFonts w:hint="eastAsia"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760743C">
      <w:pPr>
        <w:pStyle w:val="2"/>
        <w:numPr>
          <w:ilvl w:val="0"/>
          <w:numId w:val="4"/>
        </w:numPr>
        <w:spacing w:line="360" w:lineRule="auto"/>
        <w:jc w:val="left"/>
        <w:rPr>
          <w:rFonts w:hAnsi="宋体" w:cs="宋体"/>
          <w:sz w:val="24"/>
          <w:szCs w:val="24"/>
        </w:rPr>
      </w:pPr>
      <w:r>
        <w:rPr>
          <w:rFonts w:hint="eastAsia" w:hAnsi="宋体" w:cs="宋体"/>
          <w:sz w:val="24"/>
          <w:szCs w:val="24"/>
          <w:u w:val="single"/>
        </w:rPr>
        <w:t xml:space="preserve"> (标的名称)</w:t>
      </w:r>
      <w:r>
        <w:rPr>
          <w:rFonts w:hint="eastAsia" w:hAnsi="宋体" w:cs="宋体"/>
          <w:sz w:val="24"/>
          <w:szCs w:val="24"/>
        </w:rPr>
        <w:t>，属于</w:t>
      </w:r>
      <w:r>
        <w:rPr>
          <w:rFonts w:hint="eastAsia" w:hAnsi="宋体" w:cs="宋体"/>
          <w:sz w:val="24"/>
          <w:szCs w:val="24"/>
          <w:u w:val="single"/>
        </w:rPr>
        <w:t xml:space="preserve"> (采购文件中明确的所属行业)</w:t>
      </w:r>
      <w:r>
        <w:rPr>
          <w:rFonts w:hint="eastAsia" w:hAnsi="宋体" w:cs="宋体"/>
          <w:sz w:val="24"/>
          <w:szCs w:val="24"/>
        </w:rPr>
        <w:t xml:space="preserve"> ；承建(承接)企业为</w:t>
      </w:r>
      <w:r>
        <w:rPr>
          <w:rFonts w:hint="eastAsia" w:hAnsi="宋体" w:cs="宋体"/>
          <w:sz w:val="24"/>
          <w:szCs w:val="24"/>
          <w:u w:val="single"/>
        </w:rPr>
        <w:t xml:space="preserve"> (企业名称)</w:t>
      </w:r>
      <w:r>
        <w:rPr>
          <w:rFonts w:hint="eastAsia" w:hAnsi="宋体" w:cs="宋体"/>
          <w:sz w:val="24"/>
          <w:szCs w:val="24"/>
        </w:rPr>
        <w:t>，从业人员人， 营业收入为万元，资产总额为万元，属于</w:t>
      </w:r>
      <w:r>
        <w:rPr>
          <w:rFonts w:hint="eastAsia" w:hAnsi="宋体" w:cs="宋体"/>
          <w:sz w:val="24"/>
          <w:szCs w:val="24"/>
          <w:u w:val="single"/>
        </w:rPr>
        <w:t>(中型企业、小型企业、微型企业)</w:t>
      </w:r>
      <w:r>
        <w:rPr>
          <w:rFonts w:hint="eastAsia" w:hAnsi="宋体" w:cs="宋体"/>
          <w:sz w:val="24"/>
          <w:szCs w:val="24"/>
        </w:rPr>
        <w:t xml:space="preserve"> ；</w:t>
      </w:r>
    </w:p>
    <w:p w14:paraId="24EC47B8">
      <w:pPr>
        <w:pStyle w:val="2"/>
        <w:numPr>
          <w:ilvl w:val="0"/>
          <w:numId w:val="4"/>
        </w:numPr>
        <w:spacing w:line="360" w:lineRule="auto"/>
        <w:jc w:val="left"/>
        <w:rPr>
          <w:rFonts w:hAnsi="宋体" w:cs="宋体"/>
          <w:sz w:val="24"/>
          <w:szCs w:val="24"/>
        </w:rPr>
      </w:pPr>
      <w:r>
        <w:rPr>
          <w:rFonts w:hint="eastAsia" w:hAnsi="宋体" w:cs="宋体"/>
          <w:sz w:val="24"/>
          <w:szCs w:val="24"/>
          <w:u w:val="single"/>
        </w:rPr>
        <w:t xml:space="preserve"> (标的名称)</w:t>
      </w:r>
      <w:r>
        <w:rPr>
          <w:rFonts w:hint="eastAsia" w:hAnsi="宋体" w:cs="宋体"/>
          <w:sz w:val="24"/>
          <w:szCs w:val="24"/>
        </w:rPr>
        <w:t>，属于</w:t>
      </w:r>
      <w:r>
        <w:rPr>
          <w:rFonts w:hint="eastAsia" w:hAnsi="宋体" w:cs="宋体"/>
          <w:sz w:val="24"/>
          <w:szCs w:val="24"/>
          <w:u w:val="single"/>
        </w:rPr>
        <w:t xml:space="preserve"> (采购文件中明确的所属行业)</w:t>
      </w:r>
      <w:r>
        <w:rPr>
          <w:rFonts w:hint="eastAsia" w:hAnsi="宋体" w:cs="宋体"/>
          <w:sz w:val="24"/>
          <w:szCs w:val="24"/>
        </w:rPr>
        <w:t xml:space="preserve"> ；承建(承接)企业为</w:t>
      </w:r>
      <w:r>
        <w:rPr>
          <w:rFonts w:hint="eastAsia" w:hAnsi="宋体" w:cs="宋体"/>
          <w:sz w:val="24"/>
          <w:szCs w:val="24"/>
          <w:u w:val="single"/>
        </w:rPr>
        <w:t xml:space="preserve"> (企业名称)</w:t>
      </w:r>
      <w:r>
        <w:rPr>
          <w:rFonts w:hint="eastAsia" w:hAnsi="宋体" w:cs="宋体"/>
          <w:sz w:val="24"/>
          <w:szCs w:val="24"/>
        </w:rPr>
        <w:t>，从业人员人， 营业收入为万元，资产总额为万元，属于</w:t>
      </w:r>
      <w:r>
        <w:rPr>
          <w:rFonts w:hint="eastAsia" w:hAnsi="宋体" w:cs="宋体"/>
          <w:sz w:val="24"/>
          <w:szCs w:val="24"/>
          <w:u w:val="single"/>
        </w:rPr>
        <w:t>(中型企业、小型企业、微型企业)</w:t>
      </w:r>
      <w:r>
        <w:rPr>
          <w:rFonts w:hint="eastAsia" w:hAnsi="宋体" w:cs="宋体"/>
          <w:sz w:val="24"/>
          <w:szCs w:val="24"/>
        </w:rPr>
        <w:t xml:space="preserve"> ；</w:t>
      </w:r>
    </w:p>
    <w:p w14:paraId="03FE7137">
      <w:pPr>
        <w:pStyle w:val="3"/>
        <w:spacing w:line="360" w:lineRule="auto"/>
        <w:rPr>
          <w:rFonts w:ascii="宋体" w:hAnsi="宋体"/>
          <w:sz w:val="24"/>
        </w:rPr>
      </w:pPr>
      <w:r>
        <w:rPr>
          <w:rFonts w:hint="eastAsia" w:ascii="宋体" w:hAnsi="宋体"/>
          <w:sz w:val="24"/>
        </w:rPr>
        <w:t>......</w:t>
      </w:r>
    </w:p>
    <w:p w14:paraId="171850DD">
      <w:pPr>
        <w:pStyle w:val="2"/>
        <w:spacing w:line="360" w:lineRule="auto"/>
        <w:ind w:firstLine="480" w:firstLineChars="200"/>
        <w:jc w:val="left"/>
        <w:rPr>
          <w:rFonts w:hAnsi="宋体" w:cs="宋体"/>
          <w:sz w:val="24"/>
          <w:szCs w:val="24"/>
        </w:rPr>
      </w:pPr>
      <w:r>
        <w:rPr>
          <w:rFonts w:hint="eastAsia" w:hAnsi="宋体" w:cs="宋体"/>
          <w:sz w:val="24"/>
          <w:szCs w:val="24"/>
        </w:rPr>
        <w:t>以上企业，不属于大企业的分支机构，不存在控股股东为大企业的情形，也不存在与大企业的负责人为同一人的情形。</w:t>
      </w:r>
    </w:p>
    <w:p w14:paraId="341EA95D">
      <w:pPr>
        <w:pStyle w:val="2"/>
        <w:spacing w:line="360" w:lineRule="auto"/>
        <w:ind w:firstLine="480" w:firstLineChars="200"/>
        <w:jc w:val="left"/>
        <w:rPr>
          <w:rFonts w:hAnsi="宋体" w:cs="宋体"/>
          <w:sz w:val="24"/>
          <w:szCs w:val="24"/>
        </w:rPr>
      </w:pPr>
      <w:r>
        <w:rPr>
          <w:rFonts w:hint="eastAsia" w:hAnsi="宋体" w:cs="宋体"/>
          <w:sz w:val="24"/>
          <w:szCs w:val="24"/>
        </w:rPr>
        <w:t>本企业对，上述声明内容的真实性负责。如有虛假，将依法承担相应责任。</w:t>
      </w:r>
    </w:p>
    <w:p w14:paraId="6AADAA94">
      <w:pPr>
        <w:pStyle w:val="2"/>
        <w:jc w:val="right"/>
        <w:rPr>
          <w:rFonts w:hAnsi="宋体" w:cs="宋体"/>
          <w:sz w:val="24"/>
          <w:szCs w:val="24"/>
        </w:rPr>
      </w:pPr>
    </w:p>
    <w:p w14:paraId="01A99EDB">
      <w:pPr>
        <w:pStyle w:val="2"/>
        <w:jc w:val="right"/>
        <w:rPr>
          <w:rFonts w:hAnsi="宋体" w:cs="宋体"/>
          <w:sz w:val="24"/>
          <w:szCs w:val="24"/>
        </w:rPr>
      </w:pPr>
    </w:p>
    <w:p w14:paraId="541F9078">
      <w:pPr>
        <w:pStyle w:val="2"/>
        <w:spacing w:line="360" w:lineRule="auto"/>
        <w:jc w:val="left"/>
        <w:rPr>
          <w:rFonts w:hAnsi="宋体" w:cs="宋体"/>
          <w:sz w:val="24"/>
          <w:szCs w:val="24"/>
        </w:rPr>
      </w:pPr>
      <w:r>
        <w:rPr>
          <w:rFonts w:hint="eastAsia" w:hAnsi="宋体" w:cs="宋体"/>
          <w:sz w:val="24"/>
          <w:szCs w:val="24"/>
        </w:rPr>
        <w:t>企业名称(盖章) :</w:t>
      </w:r>
    </w:p>
    <w:p w14:paraId="5A122C2E">
      <w:pPr>
        <w:pStyle w:val="2"/>
        <w:spacing w:line="360" w:lineRule="auto"/>
        <w:jc w:val="left"/>
        <w:rPr>
          <w:rFonts w:hint="eastAsia" w:hAnsi="宋体"/>
          <w:sz w:val="24"/>
          <w:szCs w:val="24"/>
        </w:rPr>
      </w:pPr>
      <w:r>
        <w:rPr>
          <w:rFonts w:hint="eastAsia" w:hAnsi="宋体" w:cs="宋体"/>
          <w:sz w:val="24"/>
          <w:szCs w:val="24"/>
        </w:rPr>
        <w:t>日期</w:t>
      </w:r>
      <w:r>
        <w:rPr>
          <w:rFonts w:hint="eastAsia" w:hAnsi="宋体"/>
          <w:sz w:val="24"/>
          <w:szCs w:val="24"/>
        </w:rPr>
        <w:t>:</w:t>
      </w:r>
    </w:p>
    <w:p w14:paraId="376ADC6B">
      <w:pPr>
        <w:pStyle w:val="12"/>
        <w:rPr>
          <w:rFonts w:hint="eastAsia" w:ascii="宋体" w:hAnsi="宋体"/>
          <w:sz w:val="24"/>
          <w:szCs w:val="24"/>
        </w:rPr>
      </w:pPr>
    </w:p>
    <w:p w14:paraId="5DAAAA11">
      <w:pPr>
        <w:rPr>
          <w:rFonts w:hint="eastAsia" w:ascii="宋体" w:hAnsi="宋体" w:cs="Times New Roman"/>
          <w:sz w:val="24"/>
          <w:szCs w:val="24"/>
        </w:rPr>
      </w:pPr>
    </w:p>
    <w:p w14:paraId="04FA7327">
      <w:pPr>
        <w:jc w:val="center"/>
        <w:rPr>
          <w:rFonts w:hint="eastAsia" w:ascii="宋体" w:hAnsi="宋体"/>
          <w:b/>
          <w:bCs/>
          <w:sz w:val="24"/>
          <w:szCs w:val="24"/>
        </w:rPr>
      </w:pPr>
    </w:p>
    <w:p w14:paraId="5722D32E">
      <w:pPr>
        <w:jc w:val="center"/>
        <w:rPr>
          <w:rFonts w:hint="eastAsia" w:ascii="宋体" w:hAnsi="宋体"/>
          <w:b/>
          <w:bCs/>
          <w:sz w:val="24"/>
          <w:szCs w:val="24"/>
        </w:rPr>
      </w:pPr>
    </w:p>
    <w:p w14:paraId="227A1701">
      <w:pPr>
        <w:jc w:val="center"/>
        <w:rPr>
          <w:rFonts w:hint="eastAsia" w:ascii="宋体" w:hAnsi="宋体"/>
          <w:b/>
          <w:bCs/>
          <w:sz w:val="24"/>
          <w:szCs w:val="24"/>
        </w:rPr>
      </w:pPr>
    </w:p>
    <w:p w14:paraId="2FE2EAE3">
      <w:pPr>
        <w:jc w:val="center"/>
        <w:rPr>
          <w:rFonts w:hint="eastAsia" w:ascii="宋体" w:hAnsi="宋体"/>
          <w:b/>
          <w:bCs/>
          <w:sz w:val="24"/>
          <w:szCs w:val="24"/>
        </w:rPr>
      </w:pPr>
    </w:p>
    <w:p w14:paraId="3D7F94D5">
      <w:pPr>
        <w:jc w:val="center"/>
        <w:rPr>
          <w:rFonts w:hint="eastAsia" w:ascii="宋体" w:hAnsi="宋体"/>
          <w:b/>
          <w:bCs/>
          <w:sz w:val="24"/>
          <w:szCs w:val="24"/>
        </w:rPr>
      </w:pPr>
    </w:p>
    <w:p w14:paraId="36739273">
      <w:pPr>
        <w:rPr>
          <w:rFonts w:hint="eastAsia" w:cs="Times New Roman"/>
        </w:rPr>
      </w:pPr>
    </w:p>
    <w:p w14:paraId="436EEA74">
      <w:pPr>
        <w:jc w:val="center"/>
        <w:rPr>
          <w:rFonts w:hint="eastAsia" w:ascii="宋体" w:hAnsi="宋体"/>
          <w:b/>
          <w:bCs/>
          <w:sz w:val="24"/>
          <w:szCs w:val="24"/>
        </w:rPr>
      </w:pPr>
    </w:p>
    <w:p w14:paraId="6E525B35">
      <w:pPr>
        <w:jc w:val="center"/>
        <w:rPr>
          <w:rFonts w:hint="eastAsia" w:ascii="宋体" w:hAnsi="宋体"/>
          <w:b/>
          <w:bCs/>
          <w:sz w:val="24"/>
          <w:szCs w:val="24"/>
        </w:rPr>
      </w:pPr>
    </w:p>
    <w:p w14:paraId="59781F19">
      <w:pPr>
        <w:pStyle w:val="2"/>
        <w:rPr>
          <w:rFonts w:hint="eastAsia"/>
        </w:rPr>
      </w:pPr>
    </w:p>
    <w:p w14:paraId="136F2787">
      <w:pPr>
        <w:jc w:val="both"/>
        <w:rPr>
          <w:rFonts w:hint="eastAsia" w:ascii="宋体" w:hAnsi="宋体"/>
          <w:b/>
          <w:bCs/>
          <w:sz w:val="24"/>
          <w:szCs w:val="24"/>
        </w:rPr>
      </w:pPr>
    </w:p>
    <w:p w14:paraId="57237384">
      <w:pPr>
        <w:jc w:val="center"/>
        <w:rPr>
          <w:rFonts w:hint="eastAsia" w:ascii="宋体" w:hAnsi="宋体"/>
          <w:b/>
          <w:bCs/>
          <w:sz w:val="24"/>
          <w:szCs w:val="24"/>
        </w:rPr>
      </w:pPr>
    </w:p>
    <w:p w14:paraId="725DED61">
      <w:pPr>
        <w:jc w:val="center"/>
        <w:rPr>
          <w:rFonts w:ascii="宋体" w:hAnsi="宋体"/>
          <w:b/>
          <w:bCs/>
          <w:sz w:val="24"/>
          <w:szCs w:val="24"/>
        </w:rPr>
      </w:pPr>
      <w:r>
        <w:rPr>
          <w:rFonts w:hint="eastAsia" w:ascii="宋体" w:hAnsi="宋体"/>
          <w:b/>
          <w:bCs/>
          <w:sz w:val="24"/>
          <w:szCs w:val="24"/>
        </w:rPr>
        <w:t>最终报价或第</w:t>
      </w:r>
      <w:r>
        <w:rPr>
          <w:rFonts w:hint="eastAsia" w:ascii="宋体" w:hAnsi="宋体"/>
          <w:b/>
          <w:bCs/>
          <w:sz w:val="24"/>
          <w:szCs w:val="24"/>
          <w:u w:val="single"/>
        </w:rPr>
        <w:t xml:space="preserve">    </w:t>
      </w:r>
      <w:r>
        <w:rPr>
          <w:rFonts w:hint="eastAsia" w:ascii="宋体" w:hAnsi="宋体"/>
          <w:b/>
          <w:bCs/>
          <w:sz w:val="24"/>
          <w:szCs w:val="24"/>
        </w:rPr>
        <w:t>次报价表</w:t>
      </w:r>
    </w:p>
    <w:p w14:paraId="4F8F5ADF">
      <w:pPr>
        <w:jc w:val="center"/>
        <w:rPr>
          <w:rFonts w:ascii="宋体" w:hAnsi="宋体"/>
          <w:b/>
          <w:bCs/>
          <w:sz w:val="24"/>
          <w:szCs w:val="24"/>
        </w:rPr>
      </w:pPr>
    </w:p>
    <w:p w14:paraId="23C5172D">
      <w:pPr>
        <w:spacing w:line="360" w:lineRule="auto"/>
        <w:ind w:firstLine="240" w:firstLineChars="100"/>
        <w:rPr>
          <w:rFonts w:ascii="宋体" w:hAnsi="宋体"/>
          <w:sz w:val="24"/>
          <w:szCs w:val="24"/>
        </w:rPr>
      </w:pPr>
      <w:r>
        <w:rPr>
          <w:rFonts w:hint="eastAsia" w:ascii="宋体" w:hAnsi="宋体"/>
          <w:sz w:val="24"/>
          <w:szCs w:val="24"/>
        </w:rPr>
        <w:t xml:space="preserve">项目编号：                                              货币单位： 元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6497"/>
      </w:tblGrid>
      <w:tr w14:paraId="14BB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2543" w:type="dxa"/>
            <w:tcBorders>
              <w:top w:val="single" w:color="auto" w:sz="4" w:space="0"/>
              <w:bottom w:val="single" w:color="auto" w:sz="4" w:space="0"/>
              <w:right w:val="single" w:color="auto" w:sz="4" w:space="0"/>
            </w:tcBorders>
            <w:noWrap w:val="0"/>
            <w:vAlign w:val="center"/>
          </w:tcPr>
          <w:p w14:paraId="26AF19CC">
            <w:pPr>
              <w:wordWrap w:val="0"/>
              <w:topLinePunct/>
              <w:spacing w:line="360" w:lineRule="auto"/>
              <w:jc w:val="center"/>
              <w:rPr>
                <w:rFonts w:ascii="宋体" w:hAnsi="宋体"/>
                <w:sz w:val="24"/>
                <w:szCs w:val="24"/>
              </w:rPr>
            </w:pPr>
            <w:r>
              <w:rPr>
                <w:rFonts w:hint="eastAsia" w:ascii="宋体" w:hAnsi="宋体"/>
                <w:sz w:val="24"/>
                <w:szCs w:val="24"/>
              </w:rPr>
              <w:t>项 目 名 称</w:t>
            </w:r>
          </w:p>
        </w:tc>
        <w:tc>
          <w:tcPr>
            <w:tcW w:w="6497" w:type="dxa"/>
            <w:tcBorders>
              <w:top w:val="single" w:color="auto" w:sz="4" w:space="0"/>
              <w:bottom w:val="single" w:color="auto" w:sz="4" w:space="0"/>
              <w:right w:val="single" w:color="auto" w:sz="4" w:space="0"/>
            </w:tcBorders>
            <w:noWrap w:val="0"/>
            <w:vAlign w:val="center"/>
          </w:tcPr>
          <w:p w14:paraId="03061617">
            <w:pPr>
              <w:wordWrap w:val="0"/>
              <w:topLinePunct/>
              <w:spacing w:line="360" w:lineRule="auto"/>
              <w:rPr>
                <w:rFonts w:ascii="宋体" w:hAnsi="宋体"/>
                <w:sz w:val="24"/>
                <w:szCs w:val="24"/>
              </w:rPr>
            </w:pPr>
          </w:p>
        </w:tc>
      </w:tr>
      <w:tr w14:paraId="74F8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43" w:type="dxa"/>
            <w:tcBorders>
              <w:top w:val="nil"/>
            </w:tcBorders>
            <w:noWrap w:val="0"/>
            <w:vAlign w:val="center"/>
          </w:tcPr>
          <w:p w14:paraId="38B192D3">
            <w:pPr>
              <w:wordWrap w:val="0"/>
              <w:topLinePunct/>
              <w:spacing w:line="360" w:lineRule="auto"/>
              <w:jc w:val="center"/>
              <w:rPr>
                <w:rFonts w:ascii="宋体" w:hAnsi="宋体"/>
                <w:sz w:val="24"/>
                <w:szCs w:val="24"/>
              </w:rPr>
            </w:pPr>
            <w:r>
              <w:rPr>
                <w:rFonts w:hint="eastAsia" w:ascii="宋体" w:hAnsi="宋体"/>
                <w:sz w:val="24"/>
                <w:szCs w:val="24"/>
              </w:rPr>
              <w:t>投标人名称</w:t>
            </w:r>
          </w:p>
        </w:tc>
        <w:tc>
          <w:tcPr>
            <w:tcW w:w="6497" w:type="dxa"/>
            <w:tcBorders>
              <w:top w:val="nil"/>
            </w:tcBorders>
            <w:noWrap w:val="0"/>
            <w:vAlign w:val="center"/>
          </w:tcPr>
          <w:p w14:paraId="34956181">
            <w:pPr>
              <w:wordWrap w:val="0"/>
              <w:topLinePunct/>
              <w:spacing w:line="360" w:lineRule="auto"/>
              <w:rPr>
                <w:rFonts w:ascii="宋体" w:hAnsi="宋体"/>
                <w:sz w:val="24"/>
                <w:szCs w:val="24"/>
              </w:rPr>
            </w:pPr>
          </w:p>
        </w:tc>
      </w:tr>
      <w:tr w14:paraId="632B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4" w:hRule="atLeast"/>
          <w:jc w:val="center"/>
        </w:trPr>
        <w:tc>
          <w:tcPr>
            <w:tcW w:w="2543" w:type="dxa"/>
            <w:tcBorders>
              <w:bottom w:val="single" w:color="auto" w:sz="4" w:space="0"/>
            </w:tcBorders>
            <w:noWrap w:val="0"/>
            <w:vAlign w:val="center"/>
          </w:tcPr>
          <w:p w14:paraId="2725414B">
            <w:pPr>
              <w:wordWrap w:val="0"/>
              <w:topLinePunct/>
              <w:spacing w:line="360" w:lineRule="auto"/>
              <w:jc w:val="center"/>
              <w:rPr>
                <w:rFonts w:ascii="宋体" w:hAnsi="宋体"/>
                <w:sz w:val="24"/>
                <w:szCs w:val="24"/>
              </w:rPr>
            </w:pPr>
            <w:r>
              <w:rPr>
                <w:rFonts w:hint="eastAsia" w:ascii="宋体" w:hAnsi="宋体"/>
                <w:sz w:val="24"/>
                <w:szCs w:val="24"/>
              </w:rPr>
              <w:t>投标报价</w:t>
            </w:r>
          </w:p>
          <w:p w14:paraId="484E4122">
            <w:pPr>
              <w:wordWrap w:val="0"/>
              <w:topLinePunct/>
              <w:spacing w:line="360" w:lineRule="auto"/>
              <w:jc w:val="center"/>
              <w:rPr>
                <w:rFonts w:ascii="宋体" w:hAnsi="宋体"/>
                <w:sz w:val="24"/>
                <w:szCs w:val="24"/>
              </w:rPr>
            </w:pPr>
            <w:r>
              <w:rPr>
                <w:rFonts w:hint="eastAsia" w:ascii="宋体" w:hAnsi="宋体"/>
                <w:sz w:val="24"/>
                <w:szCs w:val="24"/>
              </w:rPr>
              <w:t>（人民币）</w:t>
            </w:r>
          </w:p>
        </w:tc>
        <w:tc>
          <w:tcPr>
            <w:tcW w:w="6497" w:type="dxa"/>
            <w:tcBorders>
              <w:bottom w:val="single" w:color="auto" w:sz="4" w:space="0"/>
            </w:tcBorders>
            <w:noWrap w:val="0"/>
            <w:vAlign w:val="center"/>
          </w:tcPr>
          <w:p w14:paraId="6B7047FB">
            <w:pPr>
              <w:snapToGrid w:val="0"/>
              <w:rPr>
                <w:rFonts w:ascii="宋体" w:hAnsi="宋体"/>
                <w:sz w:val="24"/>
                <w:szCs w:val="24"/>
              </w:rPr>
            </w:pPr>
          </w:p>
          <w:p w14:paraId="5D7879A4">
            <w:pPr>
              <w:snapToGrid w:val="0"/>
              <w:rPr>
                <w:rFonts w:ascii="宋体" w:hAnsi="宋体"/>
                <w:sz w:val="24"/>
                <w:szCs w:val="24"/>
              </w:rPr>
            </w:pPr>
            <w:r>
              <w:rPr>
                <w:rFonts w:hint="eastAsia" w:ascii="宋体" w:hAnsi="宋体"/>
                <w:sz w:val="24"/>
                <w:szCs w:val="24"/>
              </w:rPr>
              <w:t>(大写）人民币</w:t>
            </w:r>
          </w:p>
          <w:p w14:paraId="4B71DC5A">
            <w:pPr>
              <w:wordWrap w:val="0"/>
              <w:topLinePunct/>
              <w:rPr>
                <w:rFonts w:ascii="宋体" w:hAnsi="宋体"/>
                <w:sz w:val="24"/>
                <w:szCs w:val="24"/>
              </w:rPr>
            </w:pPr>
          </w:p>
          <w:p w14:paraId="0E6E8C2B">
            <w:pPr>
              <w:wordWrap w:val="0"/>
              <w:topLinePunct/>
              <w:rPr>
                <w:rFonts w:ascii="宋体" w:hAnsi="宋体"/>
                <w:sz w:val="24"/>
                <w:szCs w:val="24"/>
              </w:rPr>
            </w:pPr>
            <w:r>
              <w:rPr>
                <w:rFonts w:hint="eastAsia" w:ascii="宋体" w:hAnsi="宋体"/>
                <w:sz w:val="24"/>
                <w:szCs w:val="24"/>
              </w:rPr>
              <w:t>（小写）￥：</w:t>
            </w:r>
          </w:p>
        </w:tc>
      </w:tr>
      <w:tr w14:paraId="446B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2543" w:type="dxa"/>
            <w:tcBorders>
              <w:bottom w:val="single" w:color="auto" w:sz="4" w:space="0"/>
            </w:tcBorders>
            <w:noWrap w:val="0"/>
            <w:vAlign w:val="center"/>
          </w:tcPr>
          <w:p w14:paraId="00360E25">
            <w:pPr>
              <w:wordWrap w:val="0"/>
              <w:topLinePunct/>
              <w:spacing w:line="360" w:lineRule="auto"/>
              <w:jc w:val="center"/>
              <w:rPr>
                <w:rFonts w:ascii="宋体" w:hAnsi="宋体"/>
                <w:sz w:val="24"/>
                <w:szCs w:val="24"/>
              </w:rPr>
            </w:pPr>
            <w:r>
              <w:rPr>
                <w:rFonts w:hint="eastAsia" w:ascii="宋体" w:hAnsi="宋体"/>
                <w:sz w:val="24"/>
                <w:szCs w:val="24"/>
              </w:rPr>
              <w:t>质量要求</w:t>
            </w:r>
          </w:p>
        </w:tc>
        <w:tc>
          <w:tcPr>
            <w:tcW w:w="6497" w:type="dxa"/>
            <w:tcBorders>
              <w:bottom w:val="single" w:color="auto" w:sz="4" w:space="0"/>
            </w:tcBorders>
            <w:noWrap w:val="0"/>
            <w:vAlign w:val="center"/>
          </w:tcPr>
          <w:p w14:paraId="180B8730">
            <w:pPr>
              <w:wordWrap w:val="0"/>
              <w:topLinePunct/>
              <w:spacing w:line="360" w:lineRule="auto"/>
              <w:rPr>
                <w:rFonts w:ascii="宋体" w:hAnsi="宋体"/>
                <w:sz w:val="24"/>
                <w:szCs w:val="24"/>
              </w:rPr>
            </w:pPr>
          </w:p>
        </w:tc>
      </w:tr>
      <w:tr w14:paraId="2B23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543" w:type="dxa"/>
            <w:noWrap w:val="0"/>
            <w:vAlign w:val="center"/>
          </w:tcPr>
          <w:p w14:paraId="02C106DF">
            <w:pPr>
              <w:wordWrap w:val="0"/>
              <w:topLinePunct/>
              <w:spacing w:line="360" w:lineRule="auto"/>
              <w:jc w:val="center"/>
              <w:rPr>
                <w:rFonts w:ascii="宋体" w:hAnsi="宋体"/>
                <w:sz w:val="24"/>
                <w:szCs w:val="24"/>
              </w:rPr>
            </w:pPr>
            <w:r>
              <w:rPr>
                <w:rFonts w:hint="eastAsia" w:ascii="宋体" w:hAnsi="宋体"/>
                <w:sz w:val="24"/>
                <w:szCs w:val="24"/>
              </w:rPr>
              <w:t>服务期</w:t>
            </w:r>
          </w:p>
        </w:tc>
        <w:tc>
          <w:tcPr>
            <w:tcW w:w="6497" w:type="dxa"/>
            <w:noWrap w:val="0"/>
            <w:vAlign w:val="center"/>
          </w:tcPr>
          <w:p w14:paraId="465244F0">
            <w:pPr>
              <w:wordWrap w:val="0"/>
              <w:topLinePunct/>
              <w:spacing w:line="360" w:lineRule="auto"/>
              <w:rPr>
                <w:rFonts w:ascii="宋体" w:hAnsi="宋体"/>
                <w:sz w:val="24"/>
                <w:szCs w:val="24"/>
              </w:rPr>
            </w:pPr>
          </w:p>
        </w:tc>
      </w:tr>
      <w:tr w14:paraId="2888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543" w:type="dxa"/>
            <w:noWrap w:val="0"/>
            <w:vAlign w:val="center"/>
          </w:tcPr>
          <w:p w14:paraId="73E3E3AD">
            <w:pPr>
              <w:wordWrap w:val="0"/>
              <w:topLinePunct/>
              <w:spacing w:line="360" w:lineRule="auto"/>
              <w:jc w:val="center"/>
              <w:rPr>
                <w:rFonts w:ascii="宋体" w:hAnsi="宋体"/>
                <w:sz w:val="24"/>
                <w:szCs w:val="24"/>
              </w:rPr>
            </w:pPr>
            <w:r>
              <w:rPr>
                <w:rFonts w:hint="eastAsia" w:ascii="宋体" w:hAnsi="宋体"/>
                <w:sz w:val="24"/>
                <w:szCs w:val="24"/>
              </w:rPr>
              <w:t>付款方式</w:t>
            </w:r>
          </w:p>
          <w:p w14:paraId="19142546">
            <w:pPr>
              <w:wordWrap w:val="0"/>
              <w:topLinePunct/>
              <w:spacing w:line="360" w:lineRule="auto"/>
              <w:jc w:val="center"/>
              <w:rPr>
                <w:rFonts w:ascii="宋体" w:hAnsi="宋体"/>
                <w:sz w:val="24"/>
                <w:szCs w:val="24"/>
              </w:rPr>
            </w:pPr>
            <w:r>
              <w:rPr>
                <w:rFonts w:hint="eastAsia" w:ascii="宋体" w:hAnsi="宋体"/>
                <w:sz w:val="24"/>
                <w:szCs w:val="24"/>
              </w:rPr>
              <w:t>是否响应</w:t>
            </w:r>
          </w:p>
        </w:tc>
        <w:tc>
          <w:tcPr>
            <w:tcW w:w="6497" w:type="dxa"/>
            <w:noWrap w:val="0"/>
            <w:vAlign w:val="center"/>
          </w:tcPr>
          <w:p w14:paraId="4906B494">
            <w:pPr>
              <w:wordWrap w:val="0"/>
              <w:topLinePunct/>
              <w:spacing w:line="360" w:lineRule="auto"/>
              <w:rPr>
                <w:rFonts w:ascii="宋体" w:hAnsi="宋体"/>
                <w:sz w:val="24"/>
                <w:szCs w:val="24"/>
              </w:rPr>
            </w:pPr>
            <w:r>
              <w:rPr>
                <w:rFonts w:hint="eastAsia" w:ascii="宋体" w:hAnsi="宋体"/>
                <w:sz w:val="24"/>
                <w:szCs w:val="24"/>
              </w:rPr>
              <w:t>是□    否□   （划√）</w:t>
            </w:r>
          </w:p>
        </w:tc>
      </w:tr>
      <w:tr w14:paraId="492B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543" w:type="dxa"/>
            <w:noWrap w:val="0"/>
            <w:vAlign w:val="center"/>
          </w:tcPr>
          <w:p w14:paraId="297F7CB6">
            <w:pPr>
              <w:wordWrap w:val="0"/>
              <w:topLinePunct/>
              <w:spacing w:line="360" w:lineRule="auto"/>
              <w:jc w:val="center"/>
              <w:rPr>
                <w:rFonts w:ascii="宋体" w:hAnsi="宋体"/>
                <w:sz w:val="24"/>
                <w:szCs w:val="24"/>
              </w:rPr>
            </w:pPr>
            <w:r>
              <w:rPr>
                <w:rFonts w:hint="eastAsia" w:ascii="宋体" w:hAnsi="宋体"/>
                <w:sz w:val="24"/>
                <w:szCs w:val="24"/>
              </w:rPr>
              <w:t>备注</w:t>
            </w:r>
          </w:p>
        </w:tc>
        <w:tc>
          <w:tcPr>
            <w:tcW w:w="6497" w:type="dxa"/>
            <w:noWrap w:val="0"/>
            <w:vAlign w:val="center"/>
          </w:tcPr>
          <w:p w14:paraId="676A1C2E">
            <w:pPr>
              <w:wordWrap w:val="0"/>
              <w:topLinePunct/>
              <w:spacing w:line="360" w:lineRule="auto"/>
              <w:rPr>
                <w:rFonts w:ascii="宋体" w:hAnsi="宋体"/>
                <w:sz w:val="24"/>
                <w:szCs w:val="24"/>
              </w:rPr>
            </w:pPr>
          </w:p>
        </w:tc>
      </w:tr>
    </w:tbl>
    <w:p w14:paraId="00306CF0">
      <w:pPr>
        <w:pStyle w:val="25"/>
        <w:spacing w:line="360" w:lineRule="auto"/>
        <w:rPr>
          <w:rFonts w:ascii="宋体" w:hAnsi="宋体"/>
          <w:sz w:val="24"/>
          <w:szCs w:val="24"/>
        </w:rPr>
      </w:pPr>
    </w:p>
    <w:p w14:paraId="7F590462">
      <w:pPr>
        <w:pStyle w:val="25"/>
        <w:spacing w:line="360" w:lineRule="auto"/>
        <w:ind w:firstLine="240" w:firstLineChars="100"/>
        <w:rPr>
          <w:rFonts w:ascii="宋体" w:hAnsi="宋体"/>
          <w:sz w:val="24"/>
          <w:szCs w:val="24"/>
        </w:rPr>
      </w:pPr>
      <w:r>
        <w:rPr>
          <w:rFonts w:hint="eastAsia" w:ascii="宋体" w:hAnsi="宋体"/>
          <w:sz w:val="24"/>
          <w:szCs w:val="24"/>
        </w:rPr>
        <w:t>投标人(公章)：                 授权代表（或法人代表）签字或盖章：</w:t>
      </w:r>
    </w:p>
    <w:p w14:paraId="78ABAF2E">
      <w:pPr>
        <w:spacing w:line="360" w:lineRule="auto"/>
        <w:jc w:val="left"/>
        <w:rPr>
          <w:rFonts w:ascii="宋体" w:hAnsi="宋体"/>
          <w:b/>
          <w:sz w:val="24"/>
          <w:szCs w:val="24"/>
          <w:lang w:val="zh-CN"/>
        </w:rPr>
      </w:pPr>
    </w:p>
    <w:p w14:paraId="1F0C96E1">
      <w:pPr>
        <w:spacing w:line="360" w:lineRule="auto"/>
        <w:jc w:val="left"/>
        <w:rPr>
          <w:rFonts w:hint="eastAsia" w:ascii="宋体" w:hAnsi="宋体"/>
          <w:sz w:val="24"/>
          <w:szCs w:val="24"/>
        </w:rPr>
      </w:pPr>
      <w:r>
        <w:rPr>
          <w:rFonts w:hint="eastAsia" w:ascii="宋体" w:hAnsi="宋体"/>
          <w:b/>
          <w:sz w:val="24"/>
          <w:szCs w:val="24"/>
          <w:lang w:val="zh-CN"/>
        </w:rPr>
        <w:t>注：本页&lt;最终报价书&gt;由投标人在磋商现场依磋商情况填写，请加盖公章后带至开标现场备填（不需要装订在磋商响应文件内，请准备不少于两张），</w:t>
      </w:r>
      <w:r>
        <w:rPr>
          <w:rFonts w:hint="eastAsia" w:ascii="宋体" w:hAnsi="宋体"/>
          <w:b/>
          <w:sz w:val="24"/>
          <w:szCs w:val="24"/>
          <w:u w:val="single"/>
          <w:lang w:val="zh-CN"/>
        </w:rPr>
        <w:t>该表供磋商现场报价使用，打印该空表用于现场最终报价</w:t>
      </w:r>
      <w:r>
        <w:rPr>
          <w:rFonts w:hint="eastAsia" w:ascii="宋体" w:hAnsi="宋体"/>
          <w:b/>
          <w:sz w:val="24"/>
          <w:szCs w:val="24"/>
          <w:lang w:val="zh-CN"/>
        </w:rPr>
        <w:t>。</w:t>
      </w:r>
      <w:r>
        <w:rPr>
          <w:rFonts w:hint="eastAsia" w:ascii="宋体" w:hAnsi="宋体"/>
          <w:sz w:val="24"/>
          <w:szCs w:val="24"/>
          <w:lang w:val="zh-CN"/>
        </w:rPr>
        <w:t>考虑投标报价的方便，</w:t>
      </w:r>
      <w:r>
        <w:rPr>
          <w:rFonts w:hint="eastAsia" w:ascii="宋体" w:hAnsi="宋体"/>
          <w:sz w:val="24"/>
          <w:szCs w:val="24"/>
        </w:rPr>
        <w:t>投标人</w:t>
      </w:r>
      <w:r>
        <w:rPr>
          <w:rFonts w:hint="eastAsia" w:ascii="宋体" w:hAnsi="宋体"/>
          <w:sz w:val="24"/>
          <w:szCs w:val="24"/>
          <w:lang w:val="zh-CN"/>
        </w:rPr>
        <w:t>在填写的最终承诺报价为合同总价，项目所需费用均包含在合同总价内。</w:t>
      </w:r>
    </w:p>
    <w:p w14:paraId="5A7B44C0"/>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E206">
    <w:pPr>
      <w:pStyle w:val="13"/>
      <w:jc w:val="center"/>
    </w:pPr>
    <w:r>
      <w:fldChar w:fldCharType="begin"/>
    </w:r>
    <w:r>
      <w:instrText xml:space="preserve">PAGE   \* MERGEFORMAT</w:instrText>
    </w:r>
    <w:r>
      <w:fldChar w:fldCharType="separate"/>
    </w:r>
    <w:r>
      <w:rPr>
        <w:lang w:val="zh-CN"/>
      </w:rPr>
      <w:t>5</w:t>
    </w:r>
    <w:r>
      <w:rPr>
        <w:lang w:val="zh-CN"/>
      </w:rPr>
      <w:fldChar w:fldCharType="end"/>
    </w:r>
  </w:p>
  <w:p w14:paraId="4B3B716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AAD9">
    <w:pPr>
      <w:pStyle w:val="13"/>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02C53B">
                          <w:pPr>
                            <w:pStyle w:val="13"/>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C02C53B">
                    <w:pPr>
                      <w:pStyle w:val="13"/>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99668"/>
    <w:multiLevelType w:val="singleLevel"/>
    <w:tmpl w:val="86199668"/>
    <w:lvl w:ilvl="0" w:tentative="0">
      <w:start w:val="7"/>
      <w:numFmt w:val="chineseCounting"/>
      <w:suff w:val="nothing"/>
      <w:lvlText w:val="%1、"/>
      <w:lvlJc w:val="left"/>
      <w:rPr>
        <w:rFonts w:hint="eastAsia"/>
      </w:rPr>
    </w:lvl>
  </w:abstractNum>
  <w:abstractNum w:abstractNumId="1">
    <w:nsid w:val="8A3FB28B"/>
    <w:multiLevelType w:val="singleLevel"/>
    <w:tmpl w:val="8A3FB28B"/>
    <w:lvl w:ilvl="0" w:tentative="0">
      <w:start w:val="1"/>
      <w:numFmt w:val="chineseCounting"/>
      <w:suff w:val="space"/>
      <w:lvlText w:val="第%1章"/>
      <w:lvlJc w:val="left"/>
      <w:rPr>
        <w:rFonts w:hint="eastAsia"/>
      </w:rPr>
    </w:lvl>
  </w:abstractNum>
  <w:abstractNum w:abstractNumId="2">
    <w:nsid w:val="1AC89A7E"/>
    <w:multiLevelType w:val="singleLevel"/>
    <w:tmpl w:val="1AC89A7E"/>
    <w:lvl w:ilvl="0" w:tentative="0">
      <w:start w:val="1"/>
      <w:numFmt w:val="decimal"/>
      <w:suff w:val="space"/>
      <w:lvlText w:val="%1."/>
      <w:lvlJc w:val="left"/>
    </w:lvl>
  </w:abstractNum>
  <w:abstractNum w:abstractNumId="3">
    <w:nsid w:val="67C46CFC"/>
    <w:multiLevelType w:val="singleLevel"/>
    <w:tmpl w:val="67C46CFC"/>
    <w:lvl w:ilvl="0" w:tentative="0">
      <w:start w:val="3"/>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OGYxNDE1Y2Q3MGFiNjU4MTNhY2FjYTIyYzZhZGIifQ=="/>
  </w:docVars>
  <w:rsids>
    <w:rsidRoot w:val="00000000"/>
    <w:rsid w:val="14D047CF"/>
    <w:rsid w:val="16733C17"/>
    <w:rsid w:val="17F7582F"/>
    <w:rsid w:val="1ABA2004"/>
    <w:rsid w:val="22587499"/>
    <w:rsid w:val="28FA3B55"/>
    <w:rsid w:val="2EF13250"/>
    <w:rsid w:val="345676CA"/>
    <w:rsid w:val="36B40F9D"/>
    <w:rsid w:val="3F216A02"/>
    <w:rsid w:val="3F28618C"/>
    <w:rsid w:val="43A83E9E"/>
    <w:rsid w:val="4D0704A0"/>
    <w:rsid w:val="4D64761A"/>
    <w:rsid w:val="64CA677A"/>
    <w:rsid w:val="70961C91"/>
    <w:rsid w:val="70EE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4">
    <w:name w:val="heading 1"/>
    <w:basedOn w:val="1"/>
    <w:next w:val="1"/>
    <w:qFormat/>
    <w:uiPriority w:val="0"/>
    <w:pPr>
      <w:keepNext/>
      <w:keepLines/>
      <w:spacing w:before="340" w:after="330" w:line="576" w:lineRule="auto"/>
      <w:outlineLvl w:val="0"/>
    </w:pPr>
    <w:rPr>
      <w:rFonts w:ascii="Calibri" w:hAnsi="Calibri" w:cs="Times New Roman"/>
      <w:b/>
      <w:bCs/>
      <w:kern w:val="44"/>
      <w:sz w:val="30"/>
      <w:szCs w:val="30"/>
    </w:rPr>
  </w:style>
  <w:style w:type="paragraph" w:styleId="5">
    <w:name w:val="heading 2"/>
    <w:basedOn w:val="1"/>
    <w:next w:val="1"/>
    <w:qFormat/>
    <w:uiPriority w:val="0"/>
    <w:pPr>
      <w:keepNext/>
      <w:keepLines/>
      <w:spacing w:before="260" w:after="260" w:line="415" w:lineRule="auto"/>
      <w:ind w:firstLine="628"/>
      <w:jc w:val="center"/>
      <w:outlineLvl w:val="1"/>
    </w:pPr>
    <w:rPr>
      <w:rFonts w:ascii="Arial" w:hAnsi="Arial" w:eastAsia="黑体" w:cs="Times New Roman"/>
      <w:b/>
      <w:bCs/>
      <w:kern w:val="0"/>
      <w:sz w:val="32"/>
      <w:szCs w:val="32"/>
    </w:rPr>
  </w:style>
  <w:style w:type="paragraph" w:styleId="6">
    <w:name w:val="heading 3"/>
    <w:basedOn w:val="1"/>
    <w:next w:val="1"/>
    <w:qFormat/>
    <w:uiPriority w:val="0"/>
    <w:pPr>
      <w:keepNext/>
      <w:keepLines/>
      <w:spacing w:before="260" w:after="260" w:line="415" w:lineRule="auto"/>
      <w:jc w:val="center"/>
      <w:outlineLvl w:val="2"/>
    </w:pPr>
    <w:rPr>
      <w:rFonts w:ascii="宋体" w:hAnsi="Calibri" w:cs="Times New Roman"/>
      <w:b/>
      <w:bCs/>
      <w:kern w:val="0"/>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Arial" w:cs="Times New Roman"/>
      <w:kern w:val="0"/>
      <w:sz w:val="28"/>
      <w:szCs w:val="28"/>
    </w:rPr>
  </w:style>
  <w:style w:type="paragraph" w:styleId="3">
    <w:name w:val="toc 2"/>
    <w:basedOn w:val="1"/>
    <w:next w:val="1"/>
    <w:qFormat/>
    <w:uiPriority w:val="0"/>
    <w:pPr>
      <w:ind w:left="210"/>
      <w:jc w:val="left"/>
    </w:pPr>
    <w:rPr>
      <w:smallCaps/>
      <w:kern w:val="1"/>
      <w:sz w:val="28"/>
      <w:szCs w:val="24"/>
    </w:rPr>
  </w:style>
  <w:style w:type="paragraph" w:styleId="7">
    <w:name w:val="Body Text 3"/>
    <w:basedOn w:val="1"/>
    <w:qFormat/>
    <w:uiPriority w:val="0"/>
    <w:rPr>
      <w:rFonts w:ascii="黑体" w:hAnsi="Arial" w:eastAsia="黑体" w:cs="Times New Roman"/>
      <w:b/>
      <w:bCs/>
      <w:kern w:val="0"/>
      <w:sz w:val="28"/>
      <w:szCs w:val="28"/>
    </w:rPr>
  </w:style>
  <w:style w:type="paragraph" w:styleId="8">
    <w:name w:val="Body Text Indent"/>
    <w:basedOn w:val="1"/>
    <w:next w:val="9"/>
    <w:qFormat/>
    <w:uiPriority w:val="0"/>
    <w:pPr>
      <w:ind w:firstLine="645"/>
    </w:pPr>
    <w:rPr>
      <w:rFonts w:ascii="楷体_GB2312" w:hAnsi="Calibri" w:eastAsia="楷体_GB2312" w:cs="Times New Roman"/>
      <w:kern w:val="0"/>
      <w:sz w:val="32"/>
      <w:szCs w:val="32"/>
    </w:rPr>
  </w:style>
  <w:style w:type="paragraph" w:styleId="9">
    <w:name w:val="envelope return"/>
    <w:basedOn w:val="1"/>
    <w:qFormat/>
    <w:uiPriority w:val="0"/>
    <w:pPr>
      <w:snapToGrid w:val="0"/>
    </w:pPr>
    <w:rPr>
      <w:rFonts w:ascii="Arial" w:hAnsi="Arial" w:eastAsia="宋体" w:cs="Arial"/>
      <w:sz w:val="21"/>
      <w:szCs w:val="24"/>
    </w:rPr>
  </w:style>
  <w:style w:type="paragraph" w:styleId="10">
    <w:name w:val="List 2"/>
    <w:basedOn w:val="1"/>
    <w:qFormat/>
    <w:uiPriority w:val="0"/>
    <w:pPr>
      <w:spacing w:before="100" w:beforeAutospacing="1" w:after="100" w:afterAutospacing="1"/>
      <w:ind w:left="100" w:leftChars="200" w:hanging="200" w:hangingChars="200"/>
    </w:pPr>
    <w:rPr>
      <w:rFonts w:ascii="Times New Roman" w:hAnsi="Times New Roman" w:eastAsia="宋体" w:cs="Times New Roman"/>
    </w:rPr>
  </w:style>
  <w:style w:type="paragraph" w:styleId="11">
    <w:name w:val="Plain Text"/>
    <w:basedOn w:val="1"/>
    <w:qFormat/>
    <w:uiPriority w:val="0"/>
    <w:rPr>
      <w:rFonts w:ascii="宋体" w:hAnsi="Courier New" w:cs="Times New Roman"/>
      <w:kern w:val="0"/>
      <w:sz w:val="20"/>
    </w:rPr>
  </w:style>
  <w:style w:type="paragraph" w:styleId="12">
    <w:name w:val="Date"/>
    <w:basedOn w:val="1"/>
    <w:next w:val="1"/>
    <w:qFormat/>
    <w:uiPriority w:val="0"/>
    <w:rPr>
      <w:rFonts w:ascii="Calibri" w:hAnsi="Calibri" w:cs="Times New Roman"/>
      <w:b/>
      <w:bCs/>
      <w:kern w:val="0"/>
      <w:sz w:val="28"/>
      <w:szCs w:val="28"/>
    </w:rPr>
  </w:style>
  <w:style w:type="paragraph" w:styleId="13">
    <w:name w:val="footer"/>
    <w:basedOn w:val="1"/>
    <w:qFormat/>
    <w:uiPriority w:val="0"/>
    <w:pPr>
      <w:snapToGrid w:val="0"/>
      <w:jc w:val="left"/>
    </w:pPr>
    <w:rPr>
      <w:rFonts w:ascii="Calibri" w:hAnsi="Calibri" w:cs="Times New Roman"/>
      <w:kern w:val="0"/>
      <w:sz w:val="18"/>
      <w:szCs w:val="18"/>
    </w:rPr>
  </w:style>
  <w:style w:type="paragraph" w:styleId="14">
    <w:name w:val="header"/>
    <w:basedOn w:val="1"/>
    <w:next w:val="1"/>
    <w:qFormat/>
    <w:uiPriority w:val="0"/>
    <w:pPr>
      <w:pBdr>
        <w:bottom w:val="single" w:color="auto" w:sz="6" w:space="1"/>
      </w:pBdr>
      <w:snapToGrid w:val="0"/>
      <w:jc w:val="center"/>
    </w:pPr>
    <w:rPr>
      <w:rFonts w:ascii="Calibri" w:hAnsi="Calibri" w:cs="Times New Roman"/>
      <w:kern w:val="0"/>
      <w:sz w:val="18"/>
      <w:szCs w:val="18"/>
    </w:rPr>
  </w:style>
  <w:style w:type="paragraph" w:styleId="15">
    <w:name w:val="toc 1"/>
    <w:basedOn w:val="1"/>
    <w:next w:val="1"/>
    <w:qFormat/>
    <w:uiPriority w:val="0"/>
    <w:pPr>
      <w:spacing w:before="120" w:after="120"/>
      <w:jc w:val="left"/>
    </w:pPr>
    <w:rPr>
      <w:rFonts w:ascii="宋体" w:hAnsi="Times New Roman" w:eastAsia="宋体" w:cs="Times New Roman"/>
      <w:caps/>
      <w:sz w:val="28"/>
      <w:szCs w:val="28"/>
    </w:rPr>
  </w:style>
  <w:style w:type="paragraph" w:styleId="1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7">
    <w:name w:val="Body Text First Indent"/>
    <w:basedOn w:val="2"/>
    <w:next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8">
    <w:name w:val="Body Text First Indent 2"/>
    <w:basedOn w:val="8"/>
    <w:next w:val="17"/>
    <w:qFormat/>
    <w:uiPriority w:val="0"/>
    <w:pPr>
      <w:spacing w:after="120"/>
      <w:ind w:left="420" w:leftChars="200" w:firstLine="420" w:firstLineChars="200"/>
    </w:pPr>
    <w:rPr>
      <w:rFonts w:ascii="Times New Roman" w:hAnsi="Times New Roman" w:eastAsia="宋体" w:cs="Times New Roman"/>
      <w:sz w:val="21"/>
      <w:szCs w:val="21"/>
    </w:rPr>
  </w:style>
  <w:style w:type="character" w:styleId="21">
    <w:name w:val="Hyperlink"/>
    <w:qFormat/>
    <w:uiPriority w:val="0"/>
    <w:rPr>
      <w:rFonts w:ascii="Times New Roman" w:hAnsi="Times New Roman" w:eastAsia="宋体" w:cs="Times New Roman"/>
      <w:color w:val="0000FF"/>
      <w:u w:val="none"/>
    </w:rPr>
  </w:style>
  <w:style w:type="character" w:customStyle="1" w:styleId="22">
    <w:name w:val="16"/>
    <w:qFormat/>
    <w:uiPriority w:val="0"/>
    <w:rPr>
      <w:rFonts w:hint="default" w:ascii="Times New Roman" w:hAnsi="Times New Roman" w:eastAsia="宋体" w:cs="Times New Roman"/>
      <w:color w:val="0000FF"/>
      <w:u w:val="single"/>
    </w:rPr>
  </w:style>
  <w:style w:type="paragraph" w:customStyle="1" w:styleId="23">
    <w:name w:val="样式3"/>
    <w:basedOn w:val="11"/>
    <w:qFormat/>
    <w:uiPriority w:val="99"/>
    <w:pPr>
      <w:spacing w:line="0" w:lineRule="atLeast"/>
      <w:outlineLvl w:val="0"/>
    </w:pPr>
    <w:rPr>
      <w:rFonts w:ascii="Times New Roman" w:hAnsi="Times New Roman" w:eastAsia="宋体" w:cs="Times New Roman"/>
      <w:sz w:val="28"/>
      <w:szCs w:val="28"/>
    </w:rPr>
  </w:style>
  <w:style w:type="paragraph" w:customStyle="1" w:styleId="24">
    <w:name w:val="Table Paragraph"/>
    <w:basedOn w:val="1"/>
    <w:next w:val="1"/>
    <w:qFormat/>
    <w:uiPriority w:val="1"/>
    <w:rPr>
      <w:rFonts w:ascii="宋体" w:hAnsi="宋体" w:eastAsia="宋体" w:cs="宋体"/>
      <w:lang w:val="zh-CN" w:eastAsia="zh-CN" w:bidi="zh-CN"/>
    </w:rPr>
  </w:style>
  <w:style w:type="paragraph" w:customStyle="1" w:styleId="25">
    <w:name w:val="国内正文"/>
    <w:basedOn w:val="1"/>
    <w:qFormat/>
    <w:uiPriority w:val="0"/>
    <w:rPr>
      <w:rFonts w:ascii="Times New Roman" w:hAnsi="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20704</Words>
  <Characters>21961</Characters>
  <Lines>0</Lines>
  <Paragraphs>0</Paragraphs>
  <TotalTime>9</TotalTime>
  <ScaleCrop>false</ScaleCrop>
  <LinksUpToDate>false</LinksUpToDate>
  <CharactersWithSpaces>24131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There</cp:lastModifiedBy>
  <dcterms:modified xsi:type="dcterms:W3CDTF">2025-01-22T00:54:45Z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7606F2673F81403C9F4D43AFCB5BD511</vt:lpwstr>
  </property>
  <property fmtid="{D5CDD505-2E9C-101B-9397-08002B2CF9AE}" pid="4" name="KSOTemplateDocerSaveRecord">
    <vt:lpwstr>eyJoZGlkIjoiNTJhMWQ5MmFjNWJhZGNjZjQxNTdlMjQzYjkzMjcwMTIiLCJ1c2VySWQiOiIxMTc5NDc1NTkwIn0=</vt:lpwstr>
  </property>
</Properties>
</file>