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0"/>
        <w:jc w:val="left"/>
        <w:rPr>
          <w:rFonts w:hint="eastAsia" w:ascii="宋体" w:hAnsi="宋体"/>
          <w:b/>
          <w:bCs/>
          <w:sz w:val="36"/>
          <w:szCs w:val="36"/>
          <w:u w:val="single"/>
        </w:rPr>
      </w:pPr>
      <w:r>
        <w:rPr>
          <w:rFonts w:hint="eastAsia" w:ascii="宋体" w:hAnsi="宋体"/>
          <w:sz w:val="28"/>
          <w:szCs w:val="28"/>
        </w:rPr>
        <w:t>项目编号：XTYCG2022-0604</w:t>
      </w:r>
      <w:r>
        <w:rPr>
          <w:rFonts w:hint="eastAsia" w:ascii="宋体" w:hAnsi="宋体"/>
          <w:sz w:val="24"/>
          <w:szCs w:val="24"/>
        </w:rPr>
        <w:t xml:space="preserve">                                                     </w:t>
      </w:r>
    </w:p>
    <w:p>
      <w:pPr>
        <w:spacing w:after="265" w:afterLines="50" w:line="600" w:lineRule="exact"/>
        <w:ind w:right="-153" w:rightChars="-73"/>
        <w:jc w:val="center"/>
        <w:rPr>
          <w:rFonts w:hint="eastAsia" w:ascii="宋体" w:hAnsi="宋体"/>
          <w:b/>
          <w:color w:val="000000"/>
          <w:sz w:val="52"/>
          <w:szCs w:val="52"/>
        </w:rPr>
      </w:pPr>
    </w:p>
    <w:p>
      <w:pPr>
        <w:spacing w:after="265" w:afterLines="50" w:line="600" w:lineRule="exact"/>
        <w:ind w:right="-153" w:rightChars="-73"/>
        <w:jc w:val="center"/>
        <w:rPr>
          <w:rFonts w:hint="eastAsia" w:ascii="宋体" w:hAnsi="宋体"/>
          <w:b/>
          <w:color w:val="000000"/>
          <w:sz w:val="52"/>
          <w:szCs w:val="52"/>
        </w:rPr>
      </w:pPr>
    </w:p>
    <w:p>
      <w:pPr>
        <w:spacing w:after="265" w:afterLines="50" w:line="600" w:lineRule="exact"/>
        <w:ind w:right="-153" w:rightChars="-73"/>
        <w:jc w:val="center"/>
        <w:rPr>
          <w:rFonts w:hint="eastAsia" w:ascii="宋体" w:hAnsi="宋体" w:eastAsia="宋体"/>
          <w:b/>
          <w:color w:val="000000"/>
          <w:sz w:val="48"/>
          <w:szCs w:val="48"/>
          <w:lang w:eastAsia="zh-CN"/>
        </w:rPr>
      </w:pPr>
      <w:r>
        <w:rPr>
          <w:rFonts w:hint="eastAsia" w:ascii="宋体" w:hAnsi="宋体"/>
          <w:b/>
          <w:color w:val="000000"/>
          <w:sz w:val="48"/>
          <w:szCs w:val="48"/>
        </w:rPr>
        <w:t>淮南农场有限公司林网规划设计</w:t>
      </w:r>
      <w:r>
        <w:rPr>
          <w:rFonts w:hint="eastAsia" w:ascii="宋体" w:hAnsi="宋体"/>
          <w:b/>
          <w:color w:val="000000"/>
          <w:sz w:val="48"/>
          <w:szCs w:val="48"/>
          <w:lang w:eastAsia="zh-CN"/>
        </w:rPr>
        <w:t>项目</w:t>
      </w:r>
    </w:p>
    <w:p>
      <w:pPr>
        <w:jc w:val="center"/>
        <w:rPr>
          <w:rFonts w:ascii="宋体" w:hAnsi="宋体"/>
          <w:b/>
          <w:bCs/>
          <w:sz w:val="32"/>
          <w:szCs w:val="32"/>
        </w:rPr>
      </w:pPr>
      <w:r>
        <w:rPr>
          <w:rFonts w:hint="eastAsia" w:ascii="宋体" w:hAnsi="宋体"/>
          <w:b/>
          <w:bCs/>
          <w:sz w:val="32"/>
          <w:szCs w:val="32"/>
        </w:rPr>
        <w:t xml:space="preserve"> </w:t>
      </w:r>
    </w:p>
    <w:p>
      <w:pPr>
        <w:spacing w:line="360" w:lineRule="auto"/>
        <w:jc w:val="center"/>
        <w:rPr>
          <w:rFonts w:ascii="宋体" w:hAnsi="宋体"/>
          <w:b/>
          <w:bCs/>
          <w:sz w:val="32"/>
          <w:szCs w:val="32"/>
        </w:rPr>
      </w:pPr>
      <w:r>
        <w:rPr>
          <w:rFonts w:hint="eastAsia" w:ascii="宋体" w:hAnsi="宋体"/>
          <w:sz w:val="84"/>
          <w:szCs w:val="84"/>
        </w:rPr>
        <w:t>竞争性磋商文件</w:t>
      </w:r>
    </w:p>
    <w:p>
      <w:pPr>
        <w:spacing w:line="360" w:lineRule="auto"/>
        <w:jc w:val="center"/>
        <w:rPr>
          <w:rFonts w:ascii="宋体" w:hAnsi="宋体"/>
          <w:b/>
          <w:bCs/>
          <w:sz w:val="32"/>
          <w:szCs w:val="32"/>
        </w:rPr>
      </w:pPr>
      <w:r>
        <w:rPr>
          <w:rFonts w:ascii="宋体" w:hAnsi="宋体"/>
          <w:b/>
          <w:sz w:val="32"/>
          <w:szCs w:val="32"/>
        </w:rPr>
        <w:drawing>
          <wp:inline distT="0" distB="0" distL="114300" distR="114300">
            <wp:extent cx="1295400" cy="1400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295400" cy="1400175"/>
                    </a:xfrm>
                    <a:prstGeom prst="rect">
                      <a:avLst/>
                    </a:prstGeom>
                    <a:noFill/>
                    <a:ln>
                      <a:noFill/>
                    </a:ln>
                  </pic:spPr>
                </pic:pic>
              </a:graphicData>
            </a:graphic>
          </wp:inline>
        </w:drawing>
      </w:r>
    </w:p>
    <w:p>
      <w:pPr>
        <w:spacing w:line="360" w:lineRule="auto"/>
        <w:jc w:val="center"/>
        <w:rPr>
          <w:rFonts w:ascii="宋体" w:hAnsi="宋体"/>
          <w:b/>
          <w:bCs/>
          <w:sz w:val="32"/>
          <w:szCs w:val="32"/>
        </w:rPr>
      </w:pPr>
    </w:p>
    <w:p>
      <w:pPr>
        <w:tabs>
          <w:tab w:val="center" w:pos="4818"/>
        </w:tabs>
        <w:spacing w:line="360" w:lineRule="auto"/>
        <w:ind w:firstLine="1120" w:firstLineChars="350"/>
        <w:rPr>
          <w:rFonts w:hint="eastAsia" w:ascii="宋体" w:hAnsi="宋体"/>
          <w:color w:val="000000"/>
          <w:sz w:val="32"/>
          <w:szCs w:val="32"/>
          <w:u w:val="single"/>
        </w:rPr>
      </w:pPr>
      <w:r>
        <w:rPr>
          <w:rFonts w:hint="eastAsia" w:ascii="宋体" w:hAnsi="宋体"/>
          <w:color w:val="000000"/>
          <w:sz w:val="32"/>
          <w:szCs w:val="32"/>
        </w:rPr>
        <w:t>招   标   人：</w:t>
      </w:r>
      <w:r>
        <w:rPr>
          <w:rFonts w:hint="eastAsia" w:ascii="宋体" w:hAnsi="宋体"/>
          <w:color w:val="000000"/>
          <w:sz w:val="32"/>
          <w:szCs w:val="32"/>
          <w:u w:val="single"/>
        </w:rPr>
        <w:t>安徽省农垦集团淮南农场有限公司</w:t>
      </w:r>
    </w:p>
    <w:p>
      <w:pPr>
        <w:pStyle w:val="18"/>
      </w:pPr>
    </w:p>
    <w:p>
      <w:pPr>
        <w:tabs>
          <w:tab w:val="center" w:pos="4818"/>
        </w:tabs>
        <w:spacing w:line="360" w:lineRule="auto"/>
        <w:ind w:firstLine="1120" w:firstLineChars="350"/>
        <w:rPr>
          <w:rFonts w:hint="eastAsia" w:ascii="宋体" w:hAnsi="宋体"/>
          <w:color w:val="000000"/>
          <w:sz w:val="32"/>
          <w:szCs w:val="32"/>
          <w:u w:val="single"/>
        </w:rPr>
      </w:pPr>
      <w:r>
        <w:rPr>
          <w:rFonts w:hint="eastAsia" w:ascii="宋体" w:hAnsi="宋体"/>
          <w:color w:val="000000"/>
          <w:sz w:val="32"/>
          <w:szCs w:val="32"/>
        </w:rPr>
        <w:t>招标代理机构：</w:t>
      </w:r>
      <w:r>
        <w:rPr>
          <w:rFonts w:hint="eastAsia" w:ascii="宋体" w:hAnsi="宋体"/>
          <w:color w:val="000000"/>
          <w:sz w:val="32"/>
          <w:szCs w:val="32"/>
          <w:u w:val="single"/>
        </w:rPr>
        <w:t>安徽新天源建设咨询有限公司</w:t>
      </w:r>
    </w:p>
    <w:p>
      <w:pPr>
        <w:spacing w:line="500" w:lineRule="exact"/>
        <w:jc w:val="center"/>
        <w:rPr>
          <w:rFonts w:ascii="宋体" w:hAnsi="宋体"/>
          <w:b/>
          <w:bCs/>
          <w:color w:val="000000"/>
          <w:sz w:val="32"/>
        </w:rPr>
      </w:pPr>
    </w:p>
    <w:p>
      <w:pPr>
        <w:spacing w:line="500" w:lineRule="exact"/>
        <w:jc w:val="center"/>
        <w:rPr>
          <w:rFonts w:ascii="宋体" w:hAnsi="宋体"/>
          <w:color w:val="000000"/>
          <w:sz w:val="32"/>
        </w:rPr>
      </w:pPr>
    </w:p>
    <w:p>
      <w:pPr>
        <w:spacing w:line="360" w:lineRule="auto"/>
        <w:jc w:val="center"/>
        <w:rPr>
          <w:rFonts w:ascii="宋体" w:hAnsi="宋体"/>
          <w:b/>
          <w:bCs/>
          <w:sz w:val="32"/>
          <w:szCs w:val="32"/>
        </w:rPr>
      </w:pPr>
      <w:r>
        <w:rPr>
          <w:rFonts w:hint="eastAsia" w:ascii="宋体" w:hAnsi="宋体"/>
          <w:color w:val="000000"/>
          <w:sz w:val="32"/>
        </w:rPr>
        <w:t>日  期</w:t>
      </w:r>
      <w:r>
        <w:rPr>
          <w:rFonts w:hint="eastAsia" w:ascii="宋体" w:hAnsi="宋体" w:cs="Malgun Gothic Semilight"/>
          <w:color w:val="000000"/>
          <w:sz w:val="32"/>
        </w:rPr>
        <w:t>：</w:t>
      </w:r>
      <w:r>
        <w:rPr>
          <w:rFonts w:hint="eastAsia" w:ascii="宋体" w:hAnsi="宋体"/>
          <w:color w:val="000000"/>
          <w:sz w:val="32"/>
        </w:rPr>
        <w:t xml:space="preserve">二0二二年六月 </w:t>
      </w:r>
    </w:p>
    <w:p>
      <w:pPr>
        <w:spacing w:line="500" w:lineRule="exact"/>
        <w:jc w:val="center"/>
        <w:rPr>
          <w:rFonts w:hint="eastAsia" w:ascii="宋体" w:hAnsi="宋体"/>
          <w:b/>
          <w:bCs/>
          <w:sz w:val="32"/>
          <w:szCs w:val="32"/>
          <w:highlight w:val="white"/>
        </w:rPr>
      </w:pPr>
    </w:p>
    <w:p>
      <w:pPr>
        <w:spacing w:line="500" w:lineRule="exact"/>
        <w:jc w:val="center"/>
        <w:rPr>
          <w:rFonts w:ascii="宋体" w:hAnsi="宋体"/>
          <w:b/>
          <w:bCs/>
          <w:sz w:val="32"/>
          <w:szCs w:val="32"/>
        </w:rPr>
      </w:pPr>
      <w:r>
        <w:rPr>
          <w:rFonts w:hint="eastAsia" w:ascii="宋体" w:hAnsi="宋体"/>
          <w:b/>
          <w:bCs/>
          <w:sz w:val="32"/>
          <w:szCs w:val="32"/>
          <w:highlight w:val="white"/>
        </w:rPr>
        <w:t>目  录</w:t>
      </w:r>
    </w:p>
    <w:p>
      <w:pPr>
        <w:pStyle w:val="15"/>
        <w:jc w:val="left"/>
        <w:rPr>
          <w:rFonts w:hAnsi="宋体"/>
        </w:rPr>
      </w:pPr>
      <w:bookmarkStart w:id="0" w:name="_Hlt519045295"/>
      <w:bookmarkEnd w:id="0"/>
      <w:bookmarkStart w:id="1" w:name="_Hlt533241375"/>
      <w:bookmarkEnd w:id="1"/>
      <w:bookmarkStart w:id="2" w:name="_Hlt526418134"/>
      <w:bookmarkEnd w:id="2"/>
    </w:p>
    <w:p>
      <w:pPr>
        <w:pStyle w:val="15"/>
        <w:ind w:firstLine="840" w:firstLineChars="300"/>
        <w:jc w:val="left"/>
        <w:rPr>
          <w:rFonts w:hint="eastAsia" w:hAnsi="宋体"/>
          <w:caps w:val="0"/>
        </w:rPr>
      </w:pPr>
      <w:r>
        <w:rPr>
          <w:rFonts w:hAnsi="宋体"/>
        </w:rPr>
        <w:fldChar w:fldCharType="begin"/>
      </w:r>
      <w:r>
        <w:rPr>
          <w:rFonts w:hAnsi="宋体"/>
        </w:rPr>
        <w:instrText xml:space="preserve"> HYPERLINK "" \l "_Toc456249675" </w:instrText>
      </w:r>
      <w:r>
        <w:rPr>
          <w:rFonts w:hAnsi="宋体"/>
        </w:rPr>
        <w:fldChar w:fldCharType="separate"/>
      </w:r>
      <w:r>
        <w:rPr>
          <w:rStyle w:val="22"/>
          <w:rFonts w:hint="eastAsia" w:ascii="宋体" w:hAnsi="宋体"/>
          <w:color w:val="auto"/>
        </w:rPr>
        <w:t>第一章  竞争性磋商公告</w:t>
      </w:r>
      <w:r>
        <w:rPr>
          <w:rStyle w:val="21"/>
          <w:rFonts w:hint="eastAsia" w:ascii="宋体" w:hAnsi="宋体"/>
          <w:color w:val="auto"/>
        </w:rPr>
        <w:tab/>
      </w:r>
      <w:r>
        <w:rPr>
          <w:rStyle w:val="21"/>
          <w:rFonts w:hint="eastAsia" w:ascii="宋体" w:hAnsi="宋体"/>
          <w:color w:val="auto"/>
        </w:rPr>
        <w:t>3</w:t>
      </w:r>
      <w:r>
        <w:rPr>
          <w:rFonts w:hAnsi="宋体"/>
        </w:rPr>
        <w:fldChar w:fldCharType="end"/>
      </w:r>
      <w:r>
        <w:rPr>
          <w:rFonts w:hint="eastAsia" w:hAnsi="宋体"/>
        </w:rPr>
        <w:t>-5</w:t>
      </w:r>
    </w:p>
    <w:p>
      <w:pPr>
        <w:pStyle w:val="15"/>
        <w:ind w:firstLine="840" w:firstLineChars="300"/>
        <w:jc w:val="left"/>
        <w:rPr>
          <w:rFonts w:hAnsi="宋体"/>
          <w:caps w:val="0"/>
        </w:rPr>
      </w:pPr>
      <w:r>
        <w:rPr>
          <w:rFonts w:hint="eastAsia" w:hAnsi="宋体"/>
        </w:rPr>
        <w:fldChar w:fldCharType="begin"/>
      </w:r>
      <w:r>
        <w:rPr>
          <w:rFonts w:hAnsi="宋体"/>
        </w:rPr>
        <w:instrText xml:space="preserve"> HYPERLINK \l "_Toc456249676" </w:instrText>
      </w:r>
      <w:r>
        <w:rPr>
          <w:rFonts w:hint="eastAsia" w:hAnsi="宋体"/>
        </w:rPr>
        <w:fldChar w:fldCharType="separate"/>
      </w:r>
      <w:r>
        <w:rPr>
          <w:rStyle w:val="22"/>
          <w:rFonts w:hint="eastAsia" w:ascii="宋体" w:hAnsi="宋体"/>
          <w:color w:val="auto"/>
        </w:rPr>
        <w:t>第二章 磋商须知前附表及磋商须知</w:t>
      </w:r>
      <w:r>
        <w:rPr>
          <w:rStyle w:val="21"/>
          <w:rFonts w:hint="eastAsia" w:ascii="宋体" w:hAnsi="宋体"/>
          <w:color w:val="auto"/>
        </w:rPr>
        <w:tab/>
      </w:r>
      <w:r>
        <w:rPr>
          <w:rStyle w:val="21"/>
          <w:rFonts w:hint="eastAsia" w:hAnsi="宋体"/>
          <w:color w:val="auto"/>
        </w:rPr>
        <w:t>6</w:t>
      </w:r>
      <w:r>
        <w:rPr>
          <w:rFonts w:hint="eastAsia" w:hAnsi="宋体"/>
        </w:rPr>
        <w:fldChar w:fldCharType="end"/>
      </w:r>
      <w:r>
        <w:rPr>
          <w:rFonts w:hint="eastAsia" w:hAnsi="宋体"/>
        </w:rPr>
        <w:t>-7</w:t>
      </w:r>
    </w:p>
    <w:p>
      <w:pPr>
        <w:pStyle w:val="15"/>
        <w:ind w:firstLine="840" w:firstLineChars="300"/>
        <w:jc w:val="left"/>
        <w:rPr>
          <w:rFonts w:hAnsi="宋体"/>
          <w:caps w:val="0"/>
        </w:rPr>
      </w:pPr>
      <w:r>
        <w:rPr>
          <w:rFonts w:hint="eastAsia" w:hAnsi="宋体"/>
        </w:rPr>
        <w:fldChar w:fldCharType="begin"/>
      </w:r>
      <w:r>
        <w:rPr>
          <w:rFonts w:hAnsi="宋体"/>
        </w:rPr>
        <w:instrText xml:space="preserve"> HYPERLINK \l "_Toc456249678" </w:instrText>
      </w:r>
      <w:r>
        <w:rPr>
          <w:rFonts w:hint="eastAsia" w:hAnsi="宋体"/>
        </w:rPr>
        <w:fldChar w:fldCharType="separate"/>
      </w:r>
      <w:r>
        <w:rPr>
          <w:rStyle w:val="22"/>
          <w:rFonts w:hint="eastAsia" w:ascii="宋体" w:hAnsi="宋体"/>
          <w:color w:val="auto"/>
        </w:rPr>
        <w:t>第三章 采购需求</w:t>
      </w:r>
      <w:r>
        <w:rPr>
          <w:rStyle w:val="21"/>
          <w:rFonts w:hint="eastAsia" w:ascii="宋体" w:hAnsi="宋体"/>
          <w:color w:val="auto"/>
        </w:rPr>
        <w:tab/>
      </w:r>
      <w:r>
        <w:rPr>
          <w:rStyle w:val="21"/>
          <w:rFonts w:hint="eastAsia" w:hAnsi="宋体"/>
          <w:color w:val="auto"/>
        </w:rPr>
        <w:t>8</w:t>
      </w:r>
      <w:r>
        <w:rPr>
          <w:rFonts w:hint="eastAsia" w:hAnsi="宋体"/>
        </w:rPr>
        <w:fldChar w:fldCharType="end"/>
      </w:r>
    </w:p>
    <w:p>
      <w:pPr>
        <w:pStyle w:val="15"/>
        <w:ind w:firstLine="840" w:firstLineChars="300"/>
        <w:jc w:val="left"/>
        <w:rPr>
          <w:rFonts w:hint="eastAsia" w:hAnsi="宋体"/>
          <w:caps w:val="0"/>
        </w:rPr>
      </w:pPr>
      <w:r>
        <w:rPr>
          <w:rFonts w:hint="eastAsia" w:hAnsi="宋体"/>
        </w:rPr>
        <w:fldChar w:fldCharType="begin"/>
      </w:r>
      <w:r>
        <w:rPr>
          <w:rFonts w:hAnsi="宋体"/>
        </w:rPr>
        <w:instrText xml:space="preserve"> HYPERLINK \l "_Toc456249679" </w:instrText>
      </w:r>
      <w:r>
        <w:rPr>
          <w:rFonts w:hint="eastAsia" w:hAnsi="宋体"/>
        </w:rPr>
        <w:fldChar w:fldCharType="separate"/>
      </w:r>
      <w:r>
        <w:rPr>
          <w:rStyle w:val="22"/>
          <w:rFonts w:hint="eastAsia" w:ascii="宋体" w:hAnsi="宋体"/>
          <w:color w:val="auto"/>
        </w:rPr>
        <w:t>第四章 评标办法</w:t>
      </w:r>
      <w:r>
        <w:rPr>
          <w:rStyle w:val="21"/>
          <w:rFonts w:hint="eastAsia" w:ascii="宋体" w:hAnsi="宋体"/>
          <w:color w:val="auto"/>
        </w:rPr>
        <w:tab/>
      </w:r>
      <w:r>
        <w:rPr>
          <w:rStyle w:val="21"/>
          <w:rFonts w:hint="eastAsia" w:hAnsi="宋体"/>
          <w:color w:val="auto"/>
        </w:rPr>
        <w:t>9</w:t>
      </w:r>
      <w:r>
        <w:rPr>
          <w:rFonts w:hint="eastAsia" w:hAnsi="宋体"/>
        </w:rPr>
        <w:fldChar w:fldCharType="end"/>
      </w:r>
      <w:r>
        <w:rPr>
          <w:rFonts w:hint="eastAsia" w:hAnsi="宋体"/>
        </w:rPr>
        <w:t>-15</w:t>
      </w:r>
    </w:p>
    <w:p>
      <w:pPr>
        <w:pStyle w:val="15"/>
        <w:ind w:firstLine="840" w:firstLineChars="300"/>
        <w:jc w:val="left"/>
        <w:rPr>
          <w:rFonts w:hint="eastAsia" w:hAnsi="宋体"/>
          <w:caps w:val="0"/>
        </w:rPr>
      </w:pPr>
      <w:r>
        <w:rPr>
          <w:rFonts w:hint="eastAsia" w:hAnsi="宋体"/>
        </w:rPr>
        <w:fldChar w:fldCharType="begin"/>
      </w:r>
      <w:r>
        <w:rPr>
          <w:rFonts w:hAnsi="宋体"/>
        </w:rPr>
        <w:instrText xml:space="preserve"> HYPERLINK \l "_Toc456249680" </w:instrText>
      </w:r>
      <w:r>
        <w:rPr>
          <w:rFonts w:hint="eastAsia" w:hAnsi="宋体"/>
        </w:rPr>
        <w:fldChar w:fldCharType="separate"/>
      </w:r>
      <w:r>
        <w:rPr>
          <w:rStyle w:val="22"/>
          <w:rFonts w:hint="eastAsia" w:ascii="宋体" w:hAnsi="宋体"/>
          <w:color w:val="auto"/>
          <w:highlight w:val="white"/>
        </w:rPr>
        <w:t>第五章 磋商供应商须知</w:t>
      </w:r>
      <w:r>
        <w:rPr>
          <w:rStyle w:val="21"/>
          <w:rFonts w:hint="eastAsia" w:ascii="宋体" w:hAnsi="宋体"/>
          <w:color w:val="auto"/>
        </w:rPr>
        <w:tab/>
      </w:r>
      <w:r>
        <w:rPr>
          <w:rStyle w:val="21"/>
          <w:rFonts w:hint="eastAsia" w:ascii="宋体" w:hAnsi="宋体"/>
          <w:color w:val="auto"/>
        </w:rPr>
        <w:t>1</w:t>
      </w:r>
      <w:r>
        <w:rPr>
          <w:rFonts w:hint="eastAsia" w:hAnsi="宋体"/>
        </w:rPr>
        <w:fldChar w:fldCharType="end"/>
      </w:r>
      <w:r>
        <w:rPr>
          <w:rFonts w:hint="eastAsia" w:hAnsi="宋体"/>
        </w:rPr>
        <w:t>6-28</w:t>
      </w:r>
    </w:p>
    <w:p>
      <w:pPr>
        <w:pStyle w:val="15"/>
        <w:ind w:firstLine="840" w:firstLineChars="300"/>
        <w:jc w:val="left"/>
        <w:rPr>
          <w:rFonts w:hAnsi="宋体"/>
          <w:caps w:val="0"/>
        </w:rPr>
      </w:pPr>
      <w:r>
        <w:rPr>
          <w:rFonts w:hint="eastAsia" w:hAnsi="宋体"/>
        </w:rPr>
        <w:fldChar w:fldCharType="begin"/>
      </w:r>
      <w:r>
        <w:rPr>
          <w:rFonts w:hAnsi="宋体"/>
        </w:rPr>
        <w:instrText xml:space="preserve"> HYPERLINK \l "_Toc456249687" </w:instrText>
      </w:r>
      <w:r>
        <w:rPr>
          <w:rFonts w:hint="eastAsia" w:hAnsi="宋体"/>
        </w:rPr>
        <w:fldChar w:fldCharType="separate"/>
      </w:r>
      <w:r>
        <w:rPr>
          <w:rStyle w:val="22"/>
          <w:rFonts w:hint="eastAsia" w:ascii="宋体" w:hAnsi="宋体"/>
          <w:color w:val="auto"/>
          <w:highlight w:val="white"/>
        </w:rPr>
        <w:t>第六章 合同主要条款</w:t>
      </w:r>
      <w:r>
        <w:rPr>
          <w:rStyle w:val="21"/>
          <w:rFonts w:hint="eastAsia" w:ascii="宋体" w:hAnsi="宋体"/>
          <w:color w:val="auto"/>
        </w:rPr>
        <w:tab/>
      </w:r>
      <w:r>
        <w:rPr>
          <w:rStyle w:val="21"/>
          <w:rFonts w:hint="eastAsia" w:ascii="宋体" w:hAnsi="宋体"/>
          <w:color w:val="auto"/>
        </w:rPr>
        <w:t>2</w:t>
      </w:r>
      <w:r>
        <w:rPr>
          <w:rFonts w:hint="eastAsia" w:hAnsi="宋体"/>
        </w:rPr>
        <w:fldChar w:fldCharType="end"/>
      </w:r>
      <w:r>
        <w:rPr>
          <w:rFonts w:hint="eastAsia" w:hAnsi="宋体"/>
        </w:rPr>
        <w:t>9-31</w:t>
      </w:r>
    </w:p>
    <w:p>
      <w:pPr>
        <w:pStyle w:val="15"/>
        <w:ind w:firstLine="840" w:firstLineChars="300"/>
        <w:jc w:val="left"/>
        <w:rPr>
          <w:rFonts w:hAnsi="宋体"/>
          <w:caps w:val="0"/>
        </w:rPr>
      </w:pPr>
      <w:r>
        <w:rPr>
          <w:rFonts w:hint="eastAsia" w:hAnsi="宋体"/>
        </w:rPr>
        <w:fldChar w:fldCharType="begin"/>
      </w:r>
      <w:r>
        <w:rPr>
          <w:rFonts w:hAnsi="宋体"/>
        </w:rPr>
        <w:instrText xml:space="preserve"> HYPERLINK \l "_Toc456249688" </w:instrText>
      </w:r>
      <w:r>
        <w:rPr>
          <w:rFonts w:hint="eastAsia" w:hAnsi="宋体"/>
        </w:rPr>
        <w:fldChar w:fldCharType="separate"/>
      </w:r>
      <w:r>
        <w:rPr>
          <w:rStyle w:val="22"/>
          <w:rFonts w:hint="eastAsia" w:ascii="宋体" w:hAnsi="宋体"/>
          <w:color w:val="auto"/>
          <w:highlight w:val="white"/>
        </w:rPr>
        <w:t>第七章 竞争性磋商响应文件格式</w:t>
      </w:r>
      <w:r>
        <w:rPr>
          <w:rStyle w:val="21"/>
          <w:rFonts w:hint="eastAsia" w:ascii="宋体" w:hAnsi="宋体"/>
          <w:color w:val="auto"/>
        </w:rPr>
        <w:tab/>
      </w:r>
      <w:r>
        <w:rPr>
          <w:rStyle w:val="21"/>
          <w:rFonts w:hint="eastAsia" w:hAnsi="宋体"/>
          <w:color w:val="auto"/>
        </w:rPr>
        <w:t>3</w:t>
      </w:r>
      <w:r>
        <w:rPr>
          <w:rFonts w:hint="eastAsia" w:hAnsi="宋体"/>
        </w:rPr>
        <w:fldChar w:fldCharType="end"/>
      </w:r>
      <w:r>
        <w:rPr>
          <w:rFonts w:hint="eastAsia" w:hAnsi="宋体"/>
        </w:rPr>
        <w:t>2-41</w:t>
      </w:r>
    </w:p>
    <w:p>
      <w:pPr>
        <w:rPr>
          <w:rFonts w:ascii="宋体" w:hAnsi="宋体"/>
        </w:rPr>
      </w:pPr>
    </w:p>
    <w:p>
      <w:pPr>
        <w:rPr>
          <w:rFonts w:ascii="宋体" w:hAnsi="宋体"/>
          <w:highlight w:val="cyan"/>
        </w:rPr>
      </w:pPr>
      <w:bookmarkStart w:id="3" w:name="EBefafe3a2da9e4624b4c540a3f02f5fc3"/>
      <w:bookmarkEnd w:id="3"/>
    </w:p>
    <w:p>
      <w:pPr>
        <w:rPr>
          <w:rFonts w:ascii="宋体" w:hAnsi="宋体"/>
          <w:highlight w:val="white"/>
        </w:rPr>
      </w:pPr>
      <w:bookmarkStart w:id="4" w:name="_Toc407096143"/>
      <w:bookmarkEnd w:id="4"/>
    </w:p>
    <w:p>
      <w:pPr>
        <w:pStyle w:val="2"/>
        <w:rPr>
          <w:rFonts w:hAnsi="宋体"/>
          <w:highlight w:val="white"/>
        </w:rPr>
      </w:pPr>
    </w:p>
    <w:p>
      <w:pPr>
        <w:pStyle w:val="3"/>
        <w:rPr>
          <w:rFonts w:ascii="宋体" w:hAnsi="宋体"/>
          <w:highlight w:val="white"/>
        </w:rPr>
      </w:pPr>
    </w:p>
    <w:p>
      <w:pPr>
        <w:rPr>
          <w:rFonts w:ascii="宋体" w:hAnsi="宋体"/>
          <w:highlight w:val="white"/>
        </w:rPr>
      </w:pPr>
    </w:p>
    <w:p>
      <w:pPr>
        <w:pStyle w:val="2"/>
        <w:rPr>
          <w:rFonts w:hAnsi="宋体"/>
          <w:highlight w:val="white"/>
        </w:rPr>
      </w:pPr>
    </w:p>
    <w:p>
      <w:pPr>
        <w:pStyle w:val="3"/>
        <w:rPr>
          <w:rFonts w:ascii="宋体" w:hAnsi="宋体"/>
          <w:highlight w:val="white"/>
        </w:rPr>
      </w:pPr>
    </w:p>
    <w:p>
      <w:pPr>
        <w:rPr>
          <w:rFonts w:ascii="宋体" w:hAnsi="宋体"/>
          <w:highlight w:val="white"/>
        </w:rPr>
      </w:pPr>
    </w:p>
    <w:p>
      <w:pPr>
        <w:pStyle w:val="2"/>
        <w:rPr>
          <w:rFonts w:hAnsi="宋体"/>
          <w:highlight w:val="white"/>
        </w:rPr>
      </w:pPr>
    </w:p>
    <w:p>
      <w:pPr>
        <w:pStyle w:val="3"/>
        <w:rPr>
          <w:rFonts w:ascii="宋体" w:hAnsi="宋体"/>
          <w:highlight w:val="white"/>
        </w:rPr>
      </w:pPr>
    </w:p>
    <w:p>
      <w:pPr>
        <w:rPr>
          <w:rFonts w:ascii="宋体" w:hAnsi="宋体"/>
          <w:highlight w:val="white"/>
        </w:rPr>
      </w:pPr>
    </w:p>
    <w:p>
      <w:pPr>
        <w:pStyle w:val="2"/>
      </w:pPr>
    </w:p>
    <w:p>
      <w:pPr>
        <w:rPr>
          <w:rFonts w:ascii="宋体" w:hAnsi="宋体"/>
          <w:highlight w:val="white"/>
        </w:rPr>
      </w:pPr>
    </w:p>
    <w:p>
      <w:pPr>
        <w:rPr>
          <w:rFonts w:ascii="宋体" w:hAnsi="宋体"/>
          <w:highlight w:val="white"/>
        </w:rPr>
      </w:pPr>
    </w:p>
    <w:p>
      <w:pPr>
        <w:pStyle w:val="4"/>
        <w:numPr>
          <w:ilvl w:val="0"/>
          <w:numId w:val="1"/>
        </w:numPr>
        <w:spacing w:before="0" w:after="0" w:line="360" w:lineRule="auto"/>
        <w:jc w:val="center"/>
        <w:rPr>
          <w:rFonts w:hint="eastAsia" w:ascii="宋体" w:hAnsi="宋体"/>
          <w:sz w:val="32"/>
          <w:szCs w:val="32"/>
        </w:rPr>
      </w:pPr>
      <w:bookmarkStart w:id="5" w:name="OLE_LINK2"/>
      <w:bookmarkStart w:id="6" w:name="OLE_LINK3"/>
      <w:bookmarkStart w:id="7" w:name="OLE_LINK1"/>
      <w:bookmarkStart w:id="8" w:name="OLE_LINK5"/>
      <w:r>
        <w:rPr>
          <w:rFonts w:hint="eastAsia" w:ascii="宋体" w:hAnsi="宋体"/>
          <w:sz w:val="32"/>
          <w:szCs w:val="32"/>
        </w:rPr>
        <w:t>竞争性磋商公告</w:t>
      </w:r>
    </w:p>
    <w:p>
      <w:pPr>
        <w:jc w:val="center"/>
        <w:rPr>
          <w:rFonts w:hint="eastAsia" w:ascii="宋体" w:hAnsi="宋体"/>
          <w:sz w:val="28"/>
          <w:szCs w:val="28"/>
        </w:rPr>
      </w:pPr>
      <w:r>
        <w:rPr>
          <w:rFonts w:hint="eastAsia" w:ascii="宋体" w:hAnsi="宋体"/>
          <w:sz w:val="28"/>
          <w:szCs w:val="28"/>
        </w:rPr>
        <w:t>淮南农场有限公司林网规划设计</w:t>
      </w:r>
      <w:r>
        <w:rPr>
          <w:rFonts w:hint="eastAsia" w:ascii="宋体" w:hAnsi="宋体"/>
          <w:sz w:val="28"/>
          <w:szCs w:val="28"/>
          <w:lang w:eastAsia="zh-CN"/>
        </w:rPr>
        <w:t>项目</w:t>
      </w:r>
      <w:r>
        <w:rPr>
          <w:rFonts w:hint="eastAsia" w:ascii="宋体" w:hAnsi="宋体"/>
          <w:sz w:val="28"/>
          <w:szCs w:val="28"/>
        </w:rPr>
        <w:t>竞争性磋商公告（一次）</w:t>
      </w:r>
    </w:p>
    <w:bookmarkEnd w:id="5"/>
    <w:p>
      <w:pPr>
        <w:pBdr>
          <w:top w:val="single" w:color="auto" w:sz="4" w:space="1"/>
          <w:left w:val="single" w:color="auto" w:sz="4" w:space="4"/>
          <w:bottom w:val="single" w:color="auto" w:sz="4" w:space="1"/>
          <w:right w:val="single" w:color="auto" w:sz="4" w:space="4"/>
        </w:pBdr>
        <w:spacing w:line="360" w:lineRule="exact"/>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宋体" w:hAnsi="宋体"/>
          <w:sz w:val="24"/>
        </w:rPr>
      </w:pPr>
      <w:r>
        <w:rPr>
          <w:rFonts w:hint="eastAsia" w:ascii="宋体" w:hAnsi="宋体"/>
          <w:sz w:val="24"/>
          <w:u w:val="single"/>
        </w:rPr>
        <w:t>淮南农场有限公司林网规划设计</w:t>
      </w:r>
      <w:r>
        <w:rPr>
          <w:rFonts w:hint="eastAsia" w:ascii="宋体" w:hAnsi="宋体"/>
          <w:sz w:val="24"/>
          <w:u w:val="single"/>
          <w:lang w:eastAsia="zh-CN"/>
        </w:rPr>
        <w:t>项目</w:t>
      </w:r>
      <w:r>
        <w:rPr>
          <w:rFonts w:hint="eastAsia" w:ascii="宋体" w:hAnsi="宋体"/>
          <w:sz w:val="24"/>
        </w:rPr>
        <w:t>采购项目的潜在供应商应在</w:t>
      </w:r>
      <w:r>
        <w:rPr>
          <w:rFonts w:hint="eastAsia" w:ascii="宋体" w:hAnsi="宋体"/>
          <w:sz w:val="24"/>
          <w:u w:val="single"/>
        </w:rPr>
        <w:t>（淮南经济技术开发区管理委员会网站http://jkq.huainan.gov.cn/index.html）</w:t>
      </w:r>
      <w:r>
        <w:rPr>
          <w:rFonts w:hint="eastAsia" w:ascii="宋体" w:hAnsi="宋体"/>
          <w:sz w:val="24"/>
        </w:rPr>
        <w:t>获取采购文件，并于</w:t>
      </w:r>
      <w:r>
        <w:rPr>
          <w:rFonts w:hint="eastAsia" w:ascii="宋体" w:hAnsi="宋体"/>
          <w:sz w:val="24"/>
          <w:u w:val="single"/>
        </w:rPr>
        <w:t>2022</w:t>
      </w:r>
      <w:r>
        <w:rPr>
          <w:rFonts w:hint="eastAsia" w:ascii="宋体" w:hAnsi="宋体"/>
          <w:bCs/>
          <w:sz w:val="24"/>
          <w:u w:val="single"/>
        </w:rPr>
        <w:t>年</w:t>
      </w:r>
      <w:r>
        <w:rPr>
          <w:rFonts w:hint="eastAsia" w:ascii="宋体" w:hAnsi="宋体"/>
          <w:bCs/>
          <w:sz w:val="24"/>
          <w:u w:val="single"/>
          <w:lang w:val="en-US" w:eastAsia="zh-CN"/>
        </w:rPr>
        <w:t>06</w:t>
      </w:r>
      <w:r>
        <w:rPr>
          <w:rFonts w:hint="eastAsia" w:ascii="宋体" w:hAnsi="宋体"/>
          <w:bCs/>
          <w:sz w:val="24"/>
          <w:u w:val="single"/>
        </w:rPr>
        <w:t>月</w:t>
      </w:r>
      <w:r>
        <w:rPr>
          <w:rFonts w:hint="eastAsia" w:ascii="宋体" w:hAnsi="宋体"/>
          <w:bCs/>
          <w:sz w:val="24"/>
          <w:u w:val="single"/>
          <w:lang w:val="en-US" w:eastAsia="zh-CN"/>
        </w:rPr>
        <w:t>20</w:t>
      </w:r>
      <w:r>
        <w:rPr>
          <w:rFonts w:hint="eastAsia" w:ascii="宋体" w:hAnsi="宋体"/>
          <w:bCs/>
          <w:sz w:val="24"/>
          <w:u w:val="single"/>
        </w:rPr>
        <w:t>日</w:t>
      </w:r>
      <w:r>
        <w:rPr>
          <w:rFonts w:hint="eastAsia" w:ascii="宋体" w:hAnsi="宋体"/>
          <w:bCs/>
          <w:sz w:val="24"/>
          <w:u w:val="single"/>
          <w:lang w:val="en-US" w:eastAsia="zh-CN"/>
        </w:rPr>
        <w:t>15</w:t>
      </w:r>
      <w:r>
        <w:rPr>
          <w:rFonts w:hint="eastAsia" w:ascii="宋体" w:hAnsi="宋体"/>
          <w:bCs/>
          <w:sz w:val="24"/>
          <w:u w:val="single"/>
        </w:rPr>
        <w:t>点00分</w:t>
      </w:r>
      <w:r>
        <w:rPr>
          <w:rFonts w:hint="eastAsia" w:ascii="宋体" w:hAnsi="宋体"/>
          <w:bCs/>
          <w:sz w:val="24"/>
        </w:rPr>
        <w:t>（北京时间）前提交响应</w:t>
      </w:r>
      <w:r>
        <w:rPr>
          <w:rFonts w:ascii="宋体" w:hAnsi="宋体"/>
          <w:bCs/>
          <w:sz w:val="24"/>
        </w:rPr>
        <w:t>文件</w:t>
      </w:r>
      <w:r>
        <w:rPr>
          <w:rFonts w:hint="eastAsia" w:ascii="宋体" w:hAnsi="宋体"/>
          <w:sz w:val="24"/>
        </w:rPr>
        <w:t>。</w:t>
      </w:r>
      <w:bookmarkStart w:id="9" w:name="_Toc28359089"/>
      <w:bookmarkStart w:id="10" w:name="_Toc35393798"/>
      <w:bookmarkStart w:id="11" w:name="_Toc35393629"/>
      <w:bookmarkStart w:id="12" w:name="_Toc28359012"/>
    </w:p>
    <w:bookmarkEnd w:id="9"/>
    <w:bookmarkEnd w:id="10"/>
    <w:bookmarkEnd w:id="11"/>
    <w:bookmarkEnd w:id="12"/>
    <w:p>
      <w:pPr>
        <w:spacing w:line="360" w:lineRule="exact"/>
        <w:rPr>
          <w:rFonts w:hint="eastAsia" w:ascii="宋体" w:hAnsi="宋体"/>
          <w:sz w:val="24"/>
        </w:rPr>
      </w:pPr>
      <w:r>
        <w:rPr>
          <w:rFonts w:hint="eastAsia" w:ascii="宋体" w:hAnsi="宋体"/>
          <w:sz w:val="24"/>
        </w:rPr>
        <w:t>一、项目基本情况</w:t>
      </w:r>
    </w:p>
    <w:p>
      <w:pPr>
        <w:spacing w:line="360" w:lineRule="exact"/>
        <w:ind w:firstLine="480" w:firstLineChars="200"/>
        <w:rPr>
          <w:rFonts w:hint="eastAsia" w:ascii="宋体" w:hAnsi="宋体"/>
          <w:sz w:val="24"/>
        </w:rPr>
      </w:pPr>
      <w:r>
        <w:rPr>
          <w:rFonts w:hint="eastAsia" w:ascii="宋体" w:hAnsi="宋体"/>
          <w:sz w:val="24"/>
        </w:rPr>
        <w:t xml:space="preserve">项目编号：XTYCG2022-0604 </w:t>
      </w:r>
    </w:p>
    <w:p>
      <w:pPr>
        <w:spacing w:line="360" w:lineRule="exact"/>
        <w:ind w:firstLine="480" w:firstLineChars="200"/>
        <w:rPr>
          <w:rFonts w:hint="eastAsia" w:ascii="宋体" w:hAnsi="宋体" w:eastAsia="宋体"/>
          <w:sz w:val="24"/>
          <w:lang w:eastAsia="zh-CN"/>
        </w:rPr>
      </w:pPr>
      <w:r>
        <w:rPr>
          <w:rFonts w:hint="eastAsia" w:ascii="宋体" w:hAnsi="宋体"/>
          <w:sz w:val="24"/>
        </w:rPr>
        <w:t>项目名称：淮南农场有限公司林网规划设计</w:t>
      </w:r>
      <w:r>
        <w:rPr>
          <w:rFonts w:hint="eastAsia" w:ascii="宋体" w:hAnsi="宋体"/>
          <w:sz w:val="24"/>
          <w:lang w:eastAsia="zh-CN"/>
        </w:rPr>
        <w:t>项目</w:t>
      </w:r>
    </w:p>
    <w:p>
      <w:pPr>
        <w:spacing w:line="360" w:lineRule="exact"/>
        <w:ind w:firstLine="480" w:firstLineChars="200"/>
        <w:rPr>
          <w:rFonts w:ascii="宋体" w:hAnsi="宋体"/>
          <w:sz w:val="24"/>
        </w:rPr>
      </w:pPr>
      <w:r>
        <w:rPr>
          <w:rFonts w:hint="eastAsia" w:ascii="宋体" w:hAnsi="宋体"/>
          <w:sz w:val="24"/>
        </w:rPr>
        <w:t xml:space="preserve">采购方式：竞争性磋商 </w:t>
      </w:r>
    </w:p>
    <w:p>
      <w:pPr>
        <w:spacing w:line="360" w:lineRule="exact"/>
        <w:ind w:firstLine="480" w:firstLineChars="200"/>
        <w:rPr>
          <w:rFonts w:ascii="宋体" w:hAnsi="宋体"/>
          <w:sz w:val="24"/>
        </w:rPr>
      </w:pPr>
      <w:r>
        <w:rPr>
          <w:rFonts w:hint="eastAsia" w:ascii="宋体" w:hAnsi="宋体"/>
          <w:sz w:val="24"/>
        </w:rPr>
        <w:t>预算金额：16万元，自筹资金</w:t>
      </w:r>
    </w:p>
    <w:p>
      <w:pPr>
        <w:spacing w:line="360" w:lineRule="exact"/>
        <w:ind w:firstLine="480" w:firstLineChars="200"/>
        <w:rPr>
          <w:rFonts w:ascii="宋体" w:hAnsi="宋体"/>
          <w:sz w:val="24"/>
        </w:rPr>
      </w:pPr>
      <w:r>
        <w:rPr>
          <w:rFonts w:hint="eastAsia" w:ascii="宋体" w:hAnsi="宋体"/>
          <w:sz w:val="24"/>
        </w:rPr>
        <w:t>最高限价：16万元</w:t>
      </w:r>
    </w:p>
    <w:p>
      <w:pPr>
        <w:spacing w:line="360" w:lineRule="exact"/>
        <w:ind w:firstLine="480" w:firstLineChars="200"/>
        <w:rPr>
          <w:rFonts w:hint="eastAsia" w:ascii="宋体" w:hAnsi="宋体"/>
          <w:bCs/>
          <w:sz w:val="24"/>
        </w:rPr>
      </w:pPr>
      <w:r>
        <w:rPr>
          <w:rFonts w:hint="eastAsia" w:ascii="宋体" w:hAnsi="宋体"/>
          <w:sz w:val="24"/>
        </w:rPr>
        <w:t>采购需求：</w:t>
      </w:r>
      <w:r>
        <w:rPr>
          <w:rFonts w:hint="eastAsia" w:ascii="宋体" w:hAnsi="宋体"/>
          <w:bCs/>
          <w:sz w:val="24"/>
        </w:rPr>
        <w:t>淮南农场范围内的林网规划设计编制工作，包含方案评审报批、设计概算编制、可研编制、环评配合、造价咨询配合等设计内容。具体详见采购需求。</w:t>
      </w:r>
    </w:p>
    <w:p>
      <w:pPr>
        <w:spacing w:line="360" w:lineRule="exact"/>
        <w:ind w:firstLine="480" w:firstLineChars="200"/>
        <w:rPr>
          <w:rFonts w:ascii="宋体" w:hAnsi="宋体"/>
          <w:sz w:val="24"/>
          <w:u w:val="single"/>
        </w:rPr>
      </w:pPr>
      <w:r>
        <w:rPr>
          <w:rFonts w:hint="eastAsia" w:ascii="宋体" w:hAnsi="宋体"/>
          <w:sz w:val="24"/>
        </w:rPr>
        <w:t>合同履行期限：20日历天</w:t>
      </w:r>
    </w:p>
    <w:p>
      <w:pPr>
        <w:spacing w:line="360" w:lineRule="exact"/>
        <w:ind w:firstLine="480" w:firstLineChars="200"/>
        <w:rPr>
          <w:rFonts w:hint="eastAsia" w:ascii="宋体" w:hAnsi="宋体"/>
          <w:sz w:val="24"/>
        </w:rPr>
      </w:pPr>
      <w:r>
        <w:rPr>
          <w:rFonts w:hint="eastAsia" w:ascii="宋体" w:hAnsi="宋体"/>
          <w:sz w:val="24"/>
        </w:rPr>
        <w:t>本项目不接受联合体。</w:t>
      </w:r>
      <w:bookmarkStart w:id="13" w:name="_Toc35393630"/>
      <w:bookmarkStart w:id="14" w:name="_Toc35393799"/>
      <w:bookmarkStart w:id="15" w:name="_Toc28359013"/>
      <w:bookmarkStart w:id="16" w:name="_Toc28359090"/>
    </w:p>
    <w:p>
      <w:pPr>
        <w:spacing w:line="360" w:lineRule="exact"/>
        <w:rPr>
          <w:rFonts w:ascii="宋体" w:hAnsi="宋体"/>
          <w:sz w:val="24"/>
        </w:rPr>
      </w:pPr>
      <w:r>
        <w:rPr>
          <w:rFonts w:hint="eastAsia" w:ascii="宋体" w:hAnsi="宋体"/>
          <w:sz w:val="24"/>
        </w:rPr>
        <w:t>二、申请人的资格要求：</w:t>
      </w:r>
      <w:bookmarkEnd w:id="13"/>
      <w:bookmarkEnd w:id="14"/>
      <w:bookmarkEnd w:id="15"/>
      <w:bookmarkEnd w:id="16"/>
    </w:p>
    <w:p>
      <w:pPr>
        <w:snapToGrid w:val="0"/>
        <w:spacing w:line="360" w:lineRule="exact"/>
        <w:rPr>
          <w:rFonts w:hint="eastAsia" w:ascii="宋体" w:hAnsi="宋体"/>
          <w:sz w:val="24"/>
        </w:rPr>
      </w:pPr>
      <w:bookmarkStart w:id="17" w:name="_Toc35393631"/>
      <w:bookmarkStart w:id="18" w:name="_Toc35393800"/>
      <w:bookmarkStart w:id="19" w:name="_Toc28359014"/>
      <w:bookmarkStart w:id="20" w:name="_Toc28359091"/>
      <w:r>
        <w:rPr>
          <w:rFonts w:hint="eastAsia" w:ascii="宋体" w:hAnsi="宋体"/>
          <w:sz w:val="24"/>
        </w:rPr>
        <w:t>1.满足《中华人民共和国政府采购法》第二十二条规定；</w:t>
      </w:r>
    </w:p>
    <w:p>
      <w:pPr>
        <w:snapToGrid w:val="0"/>
        <w:spacing w:line="360" w:lineRule="exact"/>
        <w:rPr>
          <w:rFonts w:hint="eastAsia" w:ascii="宋体" w:hAnsi="宋体"/>
          <w:sz w:val="24"/>
        </w:rPr>
      </w:pPr>
      <w:r>
        <w:rPr>
          <w:rFonts w:hint="eastAsia" w:ascii="宋体" w:hAnsi="宋体"/>
          <w:sz w:val="24"/>
        </w:rPr>
        <w:t>2.落实政府采购政策需满足的资格要求：根据《政府采购促进中小企业发展管理办法》财库〔2020〕46号规定，对小型和微型企业提供的服务价格给予 6%的扣除，用扣除后的价格参与评审，需提供《中小企业声明函》。</w:t>
      </w:r>
    </w:p>
    <w:p>
      <w:pPr>
        <w:snapToGrid w:val="0"/>
        <w:spacing w:line="360" w:lineRule="exact"/>
        <w:rPr>
          <w:rFonts w:hint="eastAsia" w:ascii="宋体" w:hAnsi="宋体"/>
          <w:sz w:val="24"/>
        </w:rPr>
      </w:pPr>
      <w:r>
        <w:rPr>
          <w:rFonts w:hint="eastAsia" w:ascii="宋体" w:hAnsi="宋体"/>
          <w:sz w:val="24"/>
        </w:rPr>
        <w:t>3.供应商资格要求：</w:t>
      </w:r>
    </w:p>
    <w:p>
      <w:pPr>
        <w:snapToGrid w:val="0"/>
        <w:spacing w:line="360" w:lineRule="exact"/>
        <w:rPr>
          <w:rFonts w:hint="eastAsia" w:ascii="宋体" w:hAnsi="宋体"/>
          <w:sz w:val="24"/>
        </w:rPr>
      </w:pPr>
      <w:r>
        <w:rPr>
          <w:rFonts w:hint="eastAsia" w:ascii="宋体" w:hAnsi="宋体"/>
          <w:sz w:val="24"/>
        </w:rPr>
        <w:t>（1）须具有独立法人资格，同时具备下列资质。</w:t>
      </w:r>
    </w:p>
    <w:p>
      <w:pPr>
        <w:snapToGrid w:val="0"/>
        <w:spacing w:line="360" w:lineRule="exact"/>
        <w:rPr>
          <w:rFonts w:hint="eastAsia" w:ascii="宋体" w:hAnsi="宋体"/>
          <w:sz w:val="24"/>
        </w:rPr>
      </w:pPr>
      <w:r>
        <w:rPr>
          <w:rFonts w:hint="eastAsia" w:ascii="宋体" w:hAnsi="宋体"/>
          <w:sz w:val="24"/>
        </w:rPr>
        <w:fldChar w:fldCharType="begin"/>
      </w:r>
      <w:r>
        <w:rPr>
          <w:rFonts w:hint="eastAsia" w:ascii="宋体" w:hAnsi="宋体"/>
          <w:sz w:val="24"/>
        </w:rPr>
        <w:instrText xml:space="preserve"> = 1 \* GB3 \* MERGEFORMAT </w:instrText>
      </w:r>
      <w:r>
        <w:rPr>
          <w:rFonts w:hint="eastAsia" w:ascii="宋体" w:hAnsi="宋体"/>
          <w:sz w:val="24"/>
        </w:rPr>
        <w:fldChar w:fldCharType="separate"/>
      </w:r>
      <w:r>
        <w:rPr>
          <w:rFonts w:hint="eastAsia" w:ascii="宋体" w:hAnsi="宋体"/>
          <w:sz w:val="24"/>
        </w:rPr>
        <w:t>①</w:t>
      </w:r>
      <w:r>
        <w:rPr>
          <w:rFonts w:hint="eastAsia" w:ascii="宋体" w:hAnsi="宋体"/>
          <w:sz w:val="24"/>
        </w:rPr>
        <w:fldChar w:fldCharType="end"/>
      </w:r>
      <w:r>
        <w:rPr>
          <w:rFonts w:hint="eastAsia" w:ascii="宋体" w:hAnsi="宋体"/>
          <w:sz w:val="24"/>
        </w:rPr>
        <w:t>风景园林专业乙级及以上资质或工程设计综合资质。</w:t>
      </w:r>
    </w:p>
    <w:p>
      <w:pPr>
        <w:snapToGrid w:val="0"/>
        <w:spacing w:line="360" w:lineRule="exact"/>
        <w:rPr>
          <w:rFonts w:hint="eastAsia" w:ascii="宋体" w:hAnsi="宋体"/>
          <w:sz w:val="24"/>
        </w:rPr>
      </w:pPr>
      <w:r>
        <w:rPr>
          <w:rFonts w:hint="eastAsia" w:ascii="宋体" w:hAnsi="宋体"/>
          <w:sz w:val="24"/>
        </w:rPr>
        <w:t>②市政行业（道路工程）专业设计乙级及以上资质。</w:t>
      </w:r>
    </w:p>
    <w:p>
      <w:pPr>
        <w:snapToGrid w:val="0"/>
        <w:spacing w:line="360" w:lineRule="exact"/>
        <w:rPr>
          <w:rFonts w:hint="eastAsia" w:ascii="宋体" w:hAnsi="宋体"/>
          <w:sz w:val="24"/>
        </w:rPr>
      </w:pPr>
      <w:r>
        <w:rPr>
          <w:rFonts w:hint="eastAsia" w:ascii="宋体" w:hAnsi="宋体"/>
          <w:sz w:val="24"/>
        </w:rPr>
        <w:t>（2）2017年1月1日至今，投标人具有一个类似项目设计业绩。类似业绩范围为单项合同金额不低于10万元的景观园林类或者规划类项目。</w:t>
      </w:r>
    </w:p>
    <w:p>
      <w:pPr>
        <w:snapToGrid w:val="0"/>
        <w:spacing w:line="360" w:lineRule="exact"/>
        <w:rPr>
          <w:rFonts w:hint="eastAsia" w:ascii="宋体" w:hAnsi="宋体"/>
          <w:sz w:val="24"/>
        </w:rPr>
      </w:pPr>
      <w:r>
        <w:rPr>
          <w:rFonts w:hint="eastAsia" w:ascii="宋体" w:hAnsi="宋体"/>
          <w:sz w:val="24"/>
        </w:rPr>
        <w:t>（3）项目负责人要求：投标人具备下列资格（任选一项）。</w:t>
      </w:r>
    </w:p>
    <w:p>
      <w:pPr>
        <w:snapToGrid w:val="0"/>
        <w:spacing w:line="360" w:lineRule="exact"/>
        <w:rPr>
          <w:rFonts w:hint="eastAsia" w:ascii="宋体" w:hAnsi="宋体"/>
          <w:sz w:val="24"/>
        </w:rPr>
      </w:pPr>
      <w:r>
        <w:rPr>
          <w:rFonts w:hint="eastAsia" w:ascii="宋体" w:hAnsi="宋体"/>
          <w:sz w:val="24"/>
        </w:rPr>
        <w:fldChar w:fldCharType="begin"/>
      </w:r>
      <w:r>
        <w:rPr>
          <w:rFonts w:hint="eastAsia" w:ascii="宋体" w:hAnsi="宋体"/>
          <w:sz w:val="24"/>
        </w:rPr>
        <w:instrText xml:space="preserve"> = 1 \* GB3 \* MERGEFORMAT </w:instrText>
      </w:r>
      <w:r>
        <w:rPr>
          <w:rFonts w:hint="eastAsia" w:ascii="宋体" w:hAnsi="宋体"/>
          <w:sz w:val="24"/>
        </w:rPr>
        <w:fldChar w:fldCharType="separate"/>
      </w:r>
      <w:r>
        <w:rPr>
          <w:rFonts w:hint="eastAsia" w:ascii="宋体" w:hAnsi="宋体"/>
          <w:sz w:val="24"/>
        </w:rPr>
        <w:t>①</w:t>
      </w:r>
      <w:r>
        <w:rPr>
          <w:rFonts w:hint="eastAsia" w:ascii="宋体" w:hAnsi="宋体"/>
          <w:sz w:val="24"/>
        </w:rPr>
        <w:fldChar w:fldCharType="end"/>
      </w:r>
      <w:r>
        <w:rPr>
          <w:rFonts w:hint="eastAsia" w:ascii="宋体" w:hAnsi="宋体"/>
          <w:sz w:val="24"/>
        </w:rPr>
        <w:t>项目设计总负责人须具有风景园林专业高级职称。</w:t>
      </w:r>
    </w:p>
    <w:p>
      <w:pPr>
        <w:snapToGrid w:val="0"/>
        <w:spacing w:line="360" w:lineRule="exact"/>
        <w:rPr>
          <w:rFonts w:hint="eastAsia" w:ascii="宋体" w:hAnsi="宋体"/>
          <w:sz w:val="24"/>
        </w:rPr>
      </w:pPr>
      <w:r>
        <w:rPr>
          <w:rFonts w:hint="eastAsia" w:ascii="宋体" w:hAnsi="宋体"/>
          <w:sz w:val="24"/>
        </w:rPr>
        <w:t>②项目设计总负责人须具有规划专业注册规划师职称。</w:t>
      </w:r>
    </w:p>
    <w:p>
      <w:pPr>
        <w:snapToGrid w:val="0"/>
        <w:rPr>
          <w:rFonts w:hint="eastAsia" w:ascii="宋体" w:hAnsi="宋体"/>
          <w:sz w:val="24"/>
          <w:highlight w:val="green"/>
        </w:rPr>
      </w:pPr>
      <w:r>
        <w:rPr>
          <w:rFonts w:ascii="宋体" w:hAnsi="宋体"/>
          <w:sz w:val="24"/>
        </w:rPr>
        <w:t>4.</w:t>
      </w:r>
      <w:r>
        <w:rPr>
          <w:rFonts w:hint="eastAsia" w:ascii="宋体" w:hAnsi="宋体"/>
          <w:sz w:val="24"/>
        </w:rPr>
        <w:t>法定代表人为同一个人的两个及两个以上法人，母公司、全资子公司及其控股公司，不得对本项目同时投标；</w:t>
      </w:r>
    </w:p>
    <w:p>
      <w:pPr>
        <w:snapToGrid w:val="0"/>
        <w:spacing w:line="360" w:lineRule="exact"/>
        <w:rPr>
          <w:rFonts w:hint="eastAsia" w:ascii="宋体" w:hAnsi="宋体"/>
          <w:sz w:val="24"/>
          <w:lang w:val="en-US" w:eastAsia="zh-CN"/>
        </w:rPr>
      </w:pPr>
      <w:r>
        <w:rPr>
          <w:rFonts w:ascii="宋体" w:hAnsi="宋体"/>
          <w:sz w:val="24"/>
        </w:rPr>
        <w:t>5.</w:t>
      </w:r>
      <w:r>
        <w:rPr>
          <w:rFonts w:hint="eastAsia" w:ascii="宋体" w:hAnsi="宋体"/>
          <w:sz w:val="24"/>
        </w:rPr>
        <w:t>信誉要求：</w:t>
      </w:r>
      <w:r>
        <w:rPr>
          <w:rFonts w:hint="eastAsia" w:ascii="宋体" w:hAnsi="宋体"/>
          <w:sz w:val="24"/>
          <w:lang w:val="en-US" w:eastAsia="zh-CN"/>
        </w:rPr>
        <w:t>(可提供以下对应网站的信誉查询截图或供应商信誉承诺书)</w:t>
      </w:r>
    </w:p>
    <w:p>
      <w:pPr>
        <w:snapToGrid w:val="0"/>
        <w:spacing w:line="360" w:lineRule="exact"/>
        <w:rPr>
          <w:rFonts w:hint="eastAsia" w:ascii="宋体" w:hAnsi="宋体"/>
        </w:rPr>
      </w:pPr>
      <w:r>
        <w:rPr>
          <w:rFonts w:hint="eastAsia" w:ascii="宋体" w:hAnsi="宋体"/>
          <w:sz w:val="24"/>
        </w:rPr>
        <w:fldChar w:fldCharType="begin"/>
      </w:r>
      <w:r>
        <w:rPr>
          <w:rFonts w:hint="eastAsia" w:ascii="宋体" w:hAnsi="宋体"/>
          <w:sz w:val="24"/>
        </w:rPr>
        <w:instrText xml:space="preserve"> = 1 \* GB3 \* MERGEFORMAT </w:instrText>
      </w:r>
      <w:r>
        <w:rPr>
          <w:rFonts w:hint="eastAsia" w:ascii="宋体" w:hAnsi="宋体"/>
          <w:sz w:val="24"/>
        </w:rPr>
        <w:fldChar w:fldCharType="separate"/>
      </w:r>
      <w:r>
        <w:rPr>
          <w:rFonts w:hint="eastAsia" w:ascii="宋体" w:hAnsi="宋体"/>
          <w:sz w:val="24"/>
        </w:rPr>
        <w:t>①</w:t>
      </w:r>
      <w:r>
        <w:rPr>
          <w:rFonts w:hint="eastAsia" w:ascii="宋体" w:hAnsi="宋体"/>
          <w:sz w:val="24"/>
        </w:rPr>
        <w:fldChar w:fldCharType="end"/>
      </w:r>
      <w:r>
        <w:rPr>
          <w:rFonts w:hint="eastAsia" w:ascii="宋体" w:hAnsi="宋体"/>
          <w:sz w:val="24"/>
        </w:rPr>
        <w:t>未被最高人民法院在“信用中国”网站（www.creditchina.gov.cn）列入失信被执行人受惩黑名单（截图可提供“信用中国”-“信用服务”-“失信被执行人查询”的网页查询截图，无受惩戒信息；或者提供“信用中国”企业查询截图，“黑名单”一栏中无受惩戒信息。）；</w:t>
      </w:r>
    </w:p>
    <w:p>
      <w:pPr>
        <w:snapToGrid w:val="0"/>
        <w:spacing w:line="360" w:lineRule="exact"/>
        <w:rPr>
          <w:rFonts w:hint="eastAsia" w:ascii="宋体" w:hAnsi="宋体"/>
          <w:sz w:val="24"/>
        </w:rPr>
      </w:pPr>
      <w:r>
        <w:rPr>
          <w:rFonts w:hint="eastAsia" w:ascii="宋体" w:hAnsi="宋体"/>
          <w:sz w:val="24"/>
        </w:rPr>
        <w:t>②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snapToGrid w:val="0"/>
        <w:spacing w:line="360" w:lineRule="exact"/>
        <w:rPr>
          <w:rFonts w:hint="eastAsia" w:ascii="宋体" w:hAnsi="宋体"/>
          <w:sz w:val="24"/>
        </w:rPr>
      </w:pPr>
      <w:r>
        <w:rPr>
          <w:rFonts w:hint="eastAsia" w:ascii="宋体" w:hAnsi="宋体"/>
          <w:sz w:val="24"/>
        </w:rPr>
        <w:t>③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snapToGrid w:val="0"/>
        <w:spacing w:line="360" w:lineRule="exact"/>
        <w:rPr>
          <w:rFonts w:hint="eastAsia" w:ascii="宋体" w:hAnsi="宋体"/>
          <w:sz w:val="24"/>
        </w:rPr>
      </w:pPr>
      <w:r>
        <w:rPr>
          <w:rFonts w:hint="eastAsia" w:ascii="宋体" w:hAnsi="宋体"/>
          <w:sz w:val="24"/>
          <w:szCs w:val="24"/>
        </w:rPr>
        <w:fldChar w:fldCharType="begin"/>
      </w:r>
      <w:r>
        <w:rPr>
          <w:rFonts w:hint="eastAsia" w:ascii="宋体" w:hAnsi="宋体"/>
          <w:sz w:val="24"/>
          <w:szCs w:val="24"/>
        </w:rPr>
        <w:instrText xml:space="preserve"> = 4 \* GB3 \* MERGEFORMAT </w:instrText>
      </w:r>
      <w:r>
        <w:rPr>
          <w:rFonts w:hint="eastAsia" w:ascii="宋体" w:hAnsi="宋体"/>
          <w:sz w:val="24"/>
          <w:szCs w:val="24"/>
        </w:rPr>
        <w:fldChar w:fldCharType="separate"/>
      </w:r>
      <w:r>
        <w:rPr>
          <w:rFonts w:ascii="宋体" w:hAnsi="宋体"/>
          <w:sz w:val="24"/>
          <w:szCs w:val="24"/>
        </w:rPr>
        <w:t>④</w:t>
      </w:r>
      <w:r>
        <w:rPr>
          <w:rFonts w:hint="eastAsia" w:ascii="宋体" w:hAnsi="宋体"/>
          <w:sz w:val="24"/>
          <w:szCs w:val="24"/>
        </w:rPr>
        <w:fldChar w:fldCharType="end"/>
      </w:r>
      <w:r>
        <w:rPr>
          <w:rFonts w:hint="eastAsia" w:ascii="宋体" w:hAnsi="宋体"/>
          <w:sz w:val="24"/>
        </w:rPr>
        <w:t>未被国家市场监督管理部门在国家企业信用信息公示系统（www.gsxt.gov.cn）中列入严重违法失信企业名单。（提供投标人在国家企业信用信息公示系统网页查询截图，严重违法失信一栏中无不良记录）。</w:t>
      </w:r>
    </w:p>
    <w:p>
      <w:pPr>
        <w:pStyle w:val="2"/>
        <w:rPr>
          <w:rFonts w:hint="eastAsia"/>
        </w:rPr>
      </w:pPr>
      <w:r>
        <w:rPr>
          <w:rFonts w:hint="eastAsia" w:ascii="宋体" w:hAnsi="宋体" w:eastAsia="宋体" w:cs="宋体"/>
          <w:kern w:val="2"/>
          <w:sz w:val="24"/>
          <w:szCs w:val="21"/>
          <w:lang w:val="en-US" w:eastAsia="zh-CN" w:bidi="ar-SA"/>
        </w:rPr>
        <w:fldChar w:fldCharType="begin"/>
      </w:r>
      <w:r>
        <w:rPr>
          <w:rFonts w:hint="eastAsia" w:ascii="宋体" w:hAnsi="宋体" w:eastAsia="宋体" w:cs="宋体"/>
          <w:kern w:val="2"/>
          <w:sz w:val="24"/>
          <w:szCs w:val="21"/>
          <w:lang w:val="en-US" w:eastAsia="zh-CN" w:bidi="ar-SA"/>
        </w:rPr>
        <w:instrText xml:space="preserve"> = 5 \* GB3 \* MERGEFORMAT </w:instrText>
      </w:r>
      <w:r>
        <w:rPr>
          <w:rFonts w:hint="eastAsia" w:ascii="宋体" w:hAnsi="宋体" w:eastAsia="宋体" w:cs="宋体"/>
          <w:kern w:val="2"/>
          <w:sz w:val="24"/>
          <w:szCs w:val="21"/>
          <w:lang w:val="en-US" w:eastAsia="zh-CN" w:bidi="ar-SA"/>
        </w:rPr>
        <w:fldChar w:fldCharType="separate"/>
      </w:r>
      <w:r>
        <w:rPr>
          <w:rFonts w:hint="eastAsia" w:ascii="宋体" w:hAnsi="宋体" w:eastAsia="宋体" w:cs="宋体"/>
          <w:kern w:val="2"/>
          <w:sz w:val="24"/>
          <w:szCs w:val="21"/>
          <w:lang w:val="en-US" w:eastAsia="zh-CN" w:bidi="ar-SA"/>
        </w:rPr>
        <w:t>⑤</w:t>
      </w:r>
      <w:r>
        <w:rPr>
          <w:rFonts w:hint="eastAsia" w:ascii="宋体" w:hAnsi="宋体" w:eastAsia="宋体" w:cs="宋体"/>
          <w:kern w:val="2"/>
          <w:sz w:val="24"/>
          <w:szCs w:val="21"/>
          <w:lang w:val="en-US" w:eastAsia="zh-CN" w:bidi="ar-SA"/>
        </w:rPr>
        <w:fldChar w:fldCharType="end"/>
      </w:r>
      <w:r>
        <w:rPr>
          <w:rFonts w:hint="eastAsia" w:ascii="宋体" w:hAnsi="宋体" w:eastAsia="宋体" w:cs="宋体"/>
          <w:kern w:val="2"/>
          <w:sz w:val="24"/>
          <w:szCs w:val="21"/>
          <w:lang w:val="en-US" w:eastAsia="zh-CN" w:bidi="ar-SA"/>
        </w:rPr>
        <w:t>投标人及其法定代表人、拟任本项目负责人未被列入全国法院失信被执行人名单。</w:t>
      </w:r>
    </w:p>
    <w:p>
      <w:pPr>
        <w:snapToGrid w:val="0"/>
        <w:spacing w:line="360" w:lineRule="exact"/>
        <w:rPr>
          <w:rFonts w:hint="eastAsia" w:ascii="宋体" w:hAnsi="宋体"/>
          <w:sz w:val="24"/>
        </w:rPr>
      </w:pPr>
      <w:r>
        <w:rPr>
          <w:rFonts w:ascii="宋体" w:hAnsi="宋体"/>
          <w:sz w:val="24"/>
        </w:rPr>
        <w:t>6.</w:t>
      </w:r>
      <w:r>
        <w:rPr>
          <w:rFonts w:hint="eastAsia" w:ascii="宋体" w:hAnsi="宋体"/>
          <w:sz w:val="24"/>
        </w:rPr>
        <w:t>资格审查方式：资格后审。</w:t>
      </w:r>
    </w:p>
    <w:p>
      <w:pPr>
        <w:snapToGrid w:val="0"/>
        <w:spacing w:line="360" w:lineRule="exact"/>
        <w:rPr>
          <w:rFonts w:ascii="宋体" w:hAnsi="宋体"/>
          <w:sz w:val="24"/>
        </w:rPr>
      </w:pPr>
      <w:r>
        <w:rPr>
          <w:rFonts w:hint="eastAsia" w:ascii="宋体" w:hAnsi="宋体"/>
          <w:sz w:val="24"/>
        </w:rPr>
        <w:t>三、获取采购文件</w:t>
      </w:r>
      <w:bookmarkEnd w:id="17"/>
      <w:bookmarkEnd w:id="18"/>
      <w:bookmarkEnd w:id="19"/>
      <w:bookmarkEnd w:id="20"/>
    </w:p>
    <w:p>
      <w:pPr>
        <w:spacing w:line="360" w:lineRule="exact"/>
        <w:ind w:firstLine="480" w:firstLineChars="200"/>
        <w:rPr>
          <w:rFonts w:hint="eastAsia" w:ascii="宋体" w:hAnsi="宋体"/>
          <w:sz w:val="24"/>
          <w:u w:val="single"/>
        </w:rPr>
      </w:pPr>
      <w:r>
        <w:rPr>
          <w:rFonts w:hint="eastAsia" w:ascii="宋体" w:hAnsi="宋体"/>
          <w:sz w:val="24"/>
        </w:rPr>
        <w:t>时间：</w:t>
      </w:r>
      <w:r>
        <w:rPr>
          <w:rFonts w:ascii="宋体" w:hAnsi="宋体"/>
          <w:sz w:val="24"/>
        </w:rPr>
        <w:t>自公告发布之日起至开标</w:t>
      </w:r>
      <w:r>
        <w:rPr>
          <w:rFonts w:hint="eastAsia" w:ascii="宋体" w:hAnsi="宋体"/>
          <w:sz w:val="24"/>
        </w:rPr>
        <w:t>截止</w:t>
      </w:r>
      <w:r>
        <w:rPr>
          <w:rFonts w:ascii="宋体" w:hAnsi="宋体"/>
          <w:sz w:val="24"/>
        </w:rPr>
        <w:t>时间</w:t>
      </w:r>
      <w:r>
        <w:rPr>
          <w:rFonts w:hint="eastAsia" w:ascii="宋体" w:hAnsi="宋体"/>
          <w:sz w:val="24"/>
        </w:rPr>
        <w:t>前</w:t>
      </w:r>
      <w:r>
        <w:rPr>
          <w:rFonts w:ascii="宋体" w:hAnsi="宋体"/>
          <w:sz w:val="24"/>
        </w:rPr>
        <w:t>（北京时间）</w:t>
      </w:r>
    </w:p>
    <w:p>
      <w:pPr>
        <w:spacing w:line="360" w:lineRule="exact"/>
        <w:ind w:left="479" w:leftChars="228"/>
        <w:rPr>
          <w:rFonts w:hint="eastAsia" w:ascii="宋体" w:hAnsi="宋体"/>
          <w:sz w:val="24"/>
        </w:rPr>
      </w:pPr>
      <w:r>
        <w:rPr>
          <w:rFonts w:hint="eastAsia" w:ascii="宋体" w:hAnsi="宋体"/>
          <w:sz w:val="24"/>
        </w:rPr>
        <w:t>地点：淮南经济技术开发区管理委员会网站（http://jkq.huainan.gov.cn/index.html）</w:t>
      </w:r>
      <w:bookmarkStart w:id="21" w:name="_Toc35393632"/>
      <w:bookmarkStart w:id="22" w:name="_Toc28359015"/>
      <w:bookmarkStart w:id="23" w:name="_Toc28359092"/>
      <w:bookmarkStart w:id="24" w:name="_Toc35393801"/>
      <w:r>
        <w:rPr>
          <w:rFonts w:hint="eastAsia" w:ascii="宋体" w:hAnsi="宋体"/>
          <w:sz w:val="24"/>
        </w:rPr>
        <w:t>方式：</w:t>
      </w:r>
      <w:r>
        <w:rPr>
          <w:rFonts w:hint="eastAsia" w:ascii="宋体" w:hAnsi="宋体"/>
          <w:sz w:val="24"/>
          <w:lang w:eastAsia="zh-CN"/>
        </w:rPr>
        <w:t>网上自行下载</w:t>
      </w:r>
      <w:r>
        <w:rPr>
          <w:rFonts w:hint="eastAsia" w:ascii="宋体" w:hAnsi="宋体"/>
          <w:sz w:val="24"/>
        </w:rPr>
        <w:t>。</w:t>
      </w:r>
    </w:p>
    <w:p>
      <w:pPr>
        <w:spacing w:line="360" w:lineRule="exact"/>
        <w:ind w:left="479" w:leftChars="228"/>
        <w:rPr>
          <w:rFonts w:hint="eastAsia" w:ascii="宋体" w:hAnsi="宋体"/>
          <w:sz w:val="24"/>
        </w:rPr>
      </w:pPr>
      <w:r>
        <w:rPr>
          <w:rFonts w:hint="eastAsia" w:ascii="宋体" w:hAnsi="宋体"/>
          <w:sz w:val="24"/>
        </w:rPr>
        <w:t>售价：0元</w:t>
      </w:r>
    </w:p>
    <w:p>
      <w:pPr>
        <w:spacing w:line="360" w:lineRule="exact"/>
        <w:rPr>
          <w:rFonts w:hint="eastAsia" w:ascii="宋体" w:hAnsi="宋体"/>
          <w:sz w:val="24"/>
        </w:rPr>
      </w:pPr>
      <w:r>
        <w:rPr>
          <w:rFonts w:hint="eastAsia" w:ascii="宋体" w:hAnsi="宋体"/>
          <w:sz w:val="24"/>
        </w:rPr>
        <w:t>四、响应文件提交</w:t>
      </w:r>
      <w:bookmarkEnd w:id="21"/>
      <w:bookmarkEnd w:id="22"/>
      <w:bookmarkEnd w:id="23"/>
      <w:bookmarkEnd w:id="24"/>
      <w:r>
        <w:rPr>
          <w:rFonts w:hint="eastAsia" w:ascii="宋体" w:hAnsi="宋体"/>
          <w:sz w:val="24"/>
        </w:rPr>
        <w:t xml:space="preserve"> </w:t>
      </w:r>
    </w:p>
    <w:p>
      <w:pPr>
        <w:spacing w:line="360" w:lineRule="exact"/>
        <w:ind w:firstLine="480" w:firstLineChars="200"/>
        <w:rPr>
          <w:rFonts w:hint="eastAsia" w:ascii="宋体" w:hAnsi="宋体"/>
          <w:bCs/>
          <w:sz w:val="24"/>
        </w:rPr>
      </w:pPr>
      <w:r>
        <w:rPr>
          <w:rFonts w:hint="eastAsia" w:ascii="宋体" w:hAnsi="宋体"/>
          <w:sz w:val="24"/>
        </w:rPr>
        <w:t>截止时间：</w:t>
      </w:r>
      <w:r>
        <w:rPr>
          <w:rFonts w:hint="eastAsia" w:ascii="宋体" w:hAnsi="宋体"/>
          <w:sz w:val="24"/>
          <w:u w:val="single"/>
        </w:rPr>
        <w:t>2022</w:t>
      </w:r>
      <w:r>
        <w:rPr>
          <w:rFonts w:hint="eastAsia" w:ascii="宋体" w:hAnsi="宋体"/>
          <w:bCs/>
          <w:sz w:val="24"/>
          <w:u w:val="single"/>
        </w:rPr>
        <w:t>年</w:t>
      </w:r>
      <w:r>
        <w:rPr>
          <w:rFonts w:hint="eastAsia" w:ascii="宋体" w:hAnsi="宋体"/>
          <w:bCs/>
          <w:sz w:val="24"/>
          <w:u w:val="single"/>
          <w:lang w:val="en-US" w:eastAsia="zh-CN"/>
        </w:rPr>
        <w:t>06</w:t>
      </w:r>
      <w:r>
        <w:rPr>
          <w:rFonts w:hint="eastAsia" w:ascii="宋体" w:hAnsi="宋体"/>
          <w:bCs/>
          <w:sz w:val="24"/>
          <w:u w:val="single"/>
        </w:rPr>
        <w:t>月</w:t>
      </w:r>
      <w:r>
        <w:rPr>
          <w:rFonts w:hint="eastAsia" w:ascii="宋体" w:hAnsi="宋体"/>
          <w:bCs/>
          <w:sz w:val="24"/>
          <w:u w:val="single"/>
          <w:lang w:val="en-US" w:eastAsia="zh-CN"/>
        </w:rPr>
        <w:t>20</w:t>
      </w:r>
      <w:r>
        <w:rPr>
          <w:rFonts w:hint="eastAsia" w:ascii="宋体" w:hAnsi="宋体"/>
          <w:bCs/>
          <w:sz w:val="24"/>
          <w:u w:val="single"/>
        </w:rPr>
        <w:t>日</w:t>
      </w:r>
      <w:r>
        <w:rPr>
          <w:rFonts w:hint="eastAsia" w:ascii="宋体" w:hAnsi="宋体"/>
          <w:bCs/>
          <w:sz w:val="24"/>
          <w:u w:val="single"/>
          <w:lang w:val="en-US" w:eastAsia="zh-CN"/>
        </w:rPr>
        <w:t>15</w:t>
      </w:r>
      <w:r>
        <w:rPr>
          <w:rFonts w:hint="eastAsia" w:ascii="宋体" w:hAnsi="宋体"/>
          <w:bCs/>
          <w:sz w:val="24"/>
          <w:u w:val="single"/>
        </w:rPr>
        <w:t>点00分</w:t>
      </w:r>
      <w:r>
        <w:rPr>
          <w:rFonts w:hint="eastAsia" w:ascii="宋体" w:hAnsi="宋体"/>
          <w:bCs/>
          <w:sz w:val="24"/>
        </w:rPr>
        <w:t>（北京时间）</w:t>
      </w:r>
    </w:p>
    <w:p>
      <w:pPr>
        <w:spacing w:line="360" w:lineRule="exact"/>
        <w:ind w:firstLine="480" w:firstLineChars="200"/>
        <w:rPr>
          <w:rFonts w:hint="eastAsia" w:ascii="宋体" w:hAnsi="宋体"/>
          <w:color w:val="333333"/>
          <w:sz w:val="24"/>
          <w:shd w:val="clear" w:color="auto" w:fill="FFFFFF"/>
        </w:rPr>
      </w:pPr>
      <w:r>
        <w:rPr>
          <w:rFonts w:hint="eastAsia" w:ascii="宋体" w:hAnsi="宋体"/>
          <w:sz w:val="24"/>
        </w:rPr>
        <w:t>地点：</w:t>
      </w:r>
      <w:bookmarkStart w:id="25" w:name="_Toc35393633"/>
      <w:bookmarkStart w:id="26" w:name="_Toc35393802"/>
      <w:bookmarkStart w:id="27" w:name="_Toc28359016"/>
      <w:bookmarkStart w:id="28" w:name="_Toc28359093"/>
      <w:r>
        <w:rPr>
          <w:rFonts w:hint="eastAsia" w:ascii="宋体" w:hAnsi="宋体"/>
          <w:sz w:val="24"/>
        </w:rPr>
        <w:t>淮南经济技术开发区政务中心B楼七楼开标室</w:t>
      </w:r>
    </w:p>
    <w:p>
      <w:pPr>
        <w:spacing w:line="360" w:lineRule="exact"/>
        <w:rPr>
          <w:rFonts w:ascii="宋体" w:hAnsi="宋体"/>
          <w:bCs/>
          <w:sz w:val="24"/>
          <w:u w:val="single"/>
        </w:rPr>
      </w:pPr>
      <w:r>
        <w:rPr>
          <w:rFonts w:hint="eastAsia" w:ascii="宋体" w:hAnsi="宋体"/>
          <w:sz w:val="24"/>
        </w:rPr>
        <w:t>五、开启</w:t>
      </w:r>
      <w:bookmarkEnd w:id="25"/>
      <w:bookmarkEnd w:id="26"/>
      <w:bookmarkEnd w:id="27"/>
      <w:bookmarkEnd w:id="28"/>
    </w:p>
    <w:p>
      <w:pPr>
        <w:spacing w:line="360" w:lineRule="exact"/>
        <w:ind w:firstLine="480" w:firstLineChars="200"/>
        <w:rPr>
          <w:rFonts w:ascii="宋体" w:hAnsi="宋体"/>
          <w:bCs/>
          <w:sz w:val="24"/>
          <w:u w:val="single"/>
        </w:rPr>
      </w:pPr>
      <w:r>
        <w:rPr>
          <w:rFonts w:hint="eastAsia" w:ascii="宋体" w:hAnsi="宋体"/>
          <w:sz w:val="24"/>
        </w:rPr>
        <w:t>时间：</w:t>
      </w:r>
      <w:r>
        <w:rPr>
          <w:rFonts w:hint="eastAsia" w:ascii="宋体" w:hAnsi="宋体"/>
          <w:sz w:val="24"/>
          <w:u w:val="single"/>
        </w:rPr>
        <w:t>2022</w:t>
      </w:r>
      <w:r>
        <w:rPr>
          <w:rFonts w:hint="eastAsia" w:ascii="宋体" w:hAnsi="宋体"/>
          <w:bCs/>
          <w:sz w:val="24"/>
          <w:u w:val="single"/>
        </w:rPr>
        <w:t>年</w:t>
      </w:r>
      <w:r>
        <w:rPr>
          <w:rFonts w:hint="eastAsia" w:ascii="宋体" w:hAnsi="宋体"/>
          <w:bCs/>
          <w:sz w:val="24"/>
          <w:u w:val="single"/>
          <w:lang w:val="en-US" w:eastAsia="zh-CN"/>
        </w:rPr>
        <w:t>06</w:t>
      </w:r>
      <w:r>
        <w:rPr>
          <w:rFonts w:hint="eastAsia" w:ascii="宋体" w:hAnsi="宋体"/>
          <w:bCs/>
          <w:sz w:val="24"/>
          <w:u w:val="single"/>
        </w:rPr>
        <w:t>月</w:t>
      </w:r>
      <w:r>
        <w:rPr>
          <w:rFonts w:hint="eastAsia" w:ascii="宋体" w:hAnsi="宋体"/>
          <w:bCs/>
          <w:sz w:val="24"/>
          <w:u w:val="single"/>
          <w:lang w:val="en-US" w:eastAsia="zh-CN"/>
        </w:rPr>
        <w:t>20</w:t>
      </w:r>
      <w:r>
        <w:rPr>
          <w:rFonts w:hint="eastAsia" w:ascii="宋体" w:hAnsi="宋体"/>
          <w:bCs/>
          <w:sz w:val="24"/>
          <w:u w:val="single"/>
        </w:rPr>
        <w:t>日</w:t>
      </w:r>
      <w:r>
        <w:rPr>
          <w:rFonts w:hint="eastAsia" w:ascii="宋体" w:hAnsi="宋体"/>
          <w:bCs/>
          <w:sz w:val="24"/>
          <w:u w:val="single"/>
          <w:lang w:val="en-US" w:eastAsia="zh-CN"/>
        </w:rPr>
        <w:t>15</w:t>
      </w:r>
      <w:r>
        <w:rPr>
          <w:rFonts w:hint="eastAsia" w:ascii="宋体" w:hAnsi="宋体"/>
          <w:bCs/>
          <w:sz w:val="24"/>
          <w:u w:val="single"/>
        </w:rPr>
        <w:t>点00 分</w:t>
      </w:r>
      <w:r>
        <w:rPr>
          <w:rFonts w:hint="eastAsia" w:ascii="宋体" w:hAnsi="宋体"/>
          <w:bCs/>
          <w:sz w:val="24"/>
        </w:rPr>
        <w:t>（北京时间）</w:t>
      </w:r>
    </w:p>
    <w:p>
      <w:pPr>
        <w:spacing w:line="360" w:lineRule="exact"/>
        <w:ind w:firstLine="480" w:firstLineChars="200"/>
        <w:rPr>
          <w:rFonts w:hint="eastAsia" w:ascii="宋体" w:hAnsi="宋体"/>
          <w:color w:val="333333"/>
          <w:sz w:val="24"/>
          <w:shd w:val="clear" w:color="auto" w:fill="FFFFFF"/>
        </w:rPr>
      </w:pPr>
      <w:r>
        <w:rPr>
          <w:rFonts w:hint="eastAsia" w:ascii="宋体" w:hAnsi="宋体"/>
          <w:sz w:val="24"/>
        </w:rPr>
        <w:t>地点：</w:t>
      </w:r>
      <w:bookmarkStart w:id="29" w:name="_Toc35393803"/>
      <w:bookmarkStart w:id="30" w:name="_Toc28359094"/>
      <w:bookmarkStart w:id="31" w:name="_Toc35393634"/>
      <w:bookmarkStart w:id="32" w:name="_Toc28359017"/>
      <w:r>
        <w:rPr>
          <w:rFonts w:hint="eastAsia" w:ascii="宋体" w:hAnsi="宋体"/>
          <w:sz w:val="24"/>
        </w:rPr>
        <w:t>淮南经济技术开发区政务中心B楼七楼开标室</w:t>
      </w:r>
    </w:p>
    <w:p>
      <w:pPr>
        <w:spacing w:line="360" w:lineRule="exact"/>
        <w:rPr>
          <w:rFonts w:ascii="宋体" w:hAnsi="宋体"/>
          <w:bCs/>
          <w:sz w:val="24"/>
          <w:u w:val="single"/>
        </w:rPr>
      </w:pPr>
      <w:r>
        <w:rPr>
          <w:rFonts w:hint="eastAsia" w:ascii="宋体" w:hAnsi="宋体"/>
          <w:sz w:val="24"/>
        </w:rPr>
        <w:t>六、公告期限</w:t>
      </w:r>
      <w:bookmarkEnd w:id="29"/>
      <w:bookmarkEnd w:id="30"/>
      <w:bookmarkEnd w:id="31"/>
      <w:bookmarkEnd w:id="32"/>
    </w:p>
    <w:p>
      <w:pPr>
        <w:spacing w:line="360" w:lineRule="exact"/>
        <w:ind w:firstLine="480" w:firstLineChars="200"/>
        <w:rPr>
          <w:rFonts w:hint="eastAsia" w:ascii="宋体" w:hAnsi="宋体"/>
          <w:kern w:val="0"/>
          <w:sz w:val="24"/>
        </w:rPr>
      </w:pPr>
      <w:r>
        <w:rPr>
          <w:rFonts w:hint="eastAsia" w:ascii="宋体" w:hAnsi="宋体"/>
          <w:kern w:val="0"/>
          <w:sz w:val="24"/>
        </w:rPr>
        <w:t>自本公告发布之日起3个工作日。</w:t>
      </w:r>
      <w:bookmarkStart w:id="33" w:name="_Toc35393635"/>
      <w:bookmarkStart w:id="34" w:name="_Toc35393804"/>
    </w:p>
    <w:p>
      <w:pPr>
        <w:numPr>
          <w:ilvl w:val="0"/>
          <w:numId w:val="2"/>
        </w:numPr>
        <w:spacing w:line="360" w:lineRule="exact"/>
        <w:rPr>
          <w:rFonts w:hint="eastAsia" w:ascii="宋体" w:hAnsi="宋体"/>
          <w:sz w:val="24"/>
        </w:rPr>
      </w:pPr>
      <w:r>
        <w:rPr>
          <w:rFonts w:hint="eastAsia" w:ascii="宋体" w:hAnsi="宋体"/>
          <w:sz w:val="24"/>
        </w:rPr>
        <w:t>其他补充事宜</w:t>
      </w:r>
      <w:bookmarkEnd w:id="33"/>
      <w:bookmarkEnd w:id="34"/>
    </w:p>
    <w:p>
      <w:pPr>
        <w:widowControl/>
        <w:shd w:val="clear" w:color="auto" w:fill="FFFFFF"/>
        <w:spacing w:line="360" w:lineRule="exact"/>
        <w:ind w:firstLine="480" w:firstLineChars="200"/>
        <w:jc w:val="left"/>
        <w:rPr>
          <w:rFonts w:hint="eastAsia" w:ascii="宋体" w:hAnsi="宋体"/>
          <w:kern w:val="0"/>
          <w:sz w:val="24"/>
        </w:rPr>
      </w:pPr>
      <w:r>
        <w:rPr>
          <w:rFonts w:hint="eastAsia" w:ascii="宋体" w:hAnsi="宋体"/>
          <w:kern w:val="0"/>
          <w:sz w:val="24"/>
        </w:rPr>
        <w:t>1、发布媒介：淮南经济技术开发区管理委员网（http://jkq.huainan.gov.cn/index.html）</w:t>
      </w:r>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2、关于本项目的变更、答疑等信息将在淮南经济技术开发区管理委员网站（http://jkq.huainan.gov.cn/index.html）</w:t>
      </w:r>
      <w:r>
        <w:rPr>
          <w:rFonts w:hint="eastAsia" w:ascii="宋体" w:hAnsi="宋体"/>
          <w:kern w:val="0"/>
          <w:sz w:val="24"/>
        </w:rPr>
        <w:fldChar w:fldCharType="begin"/>
      </w:r>
      <w:r>
        <w:rPr>
          <w:rFonts w:hint="eastAsia" w:ascii="宋体" w:hAnsi="宋体"/>
          <w:kern w:val="0"/>
          <w:sz w:val="24"/>
        </w:rPr>
        <w:instrText xml:space="preserve"> HYPERLINK "http://www.tja.gov.cn/zt/zbcgzl/index.html）上发布，请投标人随时关注网上信息。如因投标人没有及时关注网站信息造成的后果由投标人自行承担。"</w:instrText>
      </w:r>
      <w:r>
        <w:rPr>
          <w:rFonts w:hint="eastAsia" w:ascii="宋体" w:hAnsi="宋体"/>
          <w:kern w:val="0"/>
          <w:sz w:val="24"/>
        </w:rPr>
        <w:fldChar w:fldCharType="separate"/>
      </w:r>
      <w:r>
        <w:rPr>
          <w:rFonts w:hint="eastAsia" w:ascii="宋体" w:hAnsi="宋体"/>
          <w:kern w:val="0"/>
          <w:sz w:val="24"/>
        </w:rPr>
        <w:t>上发布，请投标人随时关注网上信息。如因投标人没有及时关注网站信息造成的后果由投标人自行承担。</w:t>
      </w:r>
      <w:r>
        <w:rPr>
          <w:rFonts w:hint="eastAsia" w:ascii="宋体" w:hAnsi="宋体"/>
          <w:kern w:val="0"/>
          <w:sz w:val="24"/>
        </w:rPr>
        <w:fldChar w:fldCharType="end"/>
      </w:r>
    </w:p>
    <w:p>
      <w:pPr>
        <w:widowControl/>
        <w:shd w:val="clear" w:color="auto" w:fill="FFFFFF"/>
        <w:spacing w:line="360" w:lineRule="exact"/>
        <w:ind w:firstLine="480" w:firstLineChars="200"/>
        <w:jc w:val="left"/>
        <w:rPr>
          <w:rFonts w:ascii="宋体" w:hAnsi="宋体"/>
          <w:kern w:val="0"/>
          <w:sz w:val="24"/>
        </w:rPr>
      </w:pPr>
      <w:bookmarkStart w:id="35" w:name="_Toc28359018"/>
      <w:bookmarkStart w:id="36" w:name="_Toc35393636"/>
      <w:bookmarkStart w:id="37" w:name="_Toc28359095"/>
      <w:bookmarkStart w:id="38" w:name="_Toc35393805"/>
      <w:r>
        <w:rPr>
          <w:rFonts w:hint="eastAsia" w:ascii="宋体" w:hAnsi="宋体"/>
          <w:kern w:val="0"/>
          <w:sz w:val="24"/>
        </w:rPr>
        <w:t>3、投标保证金（本项目落实《关于政府采购投标保证金有关事项的通知》（淮公管督﹝2020﹞121号）文件要求，不收取投标保证金,但必须按照招标文件要求递交“投标承诺书”。</w:t>
      </w:r>
    </w:p>
    <w:p>
      <w:pPr>
        <w:widowControl/>
        <w:shd w:val="clear" w:color="auto" w:fill="FFFFFF"/>
        <w:spacing w:line="360" w:lineRule="exact"/>
        <w:ind w:firstLine="480" w:firstLineChars="200"/>
        <w:jc w:val="left"/>
        <w:rPr>
          <w:rFonts w:hint="eastAsia" w:ascii="宋体" w:hAnsi="宋体"/>
          <w:kern w:val="0"/>
          <w:sz w:val="24"/>
        </w:rPr>
      </w:pPr>
      <w:r>
        <w:rPr>
          <w:rFonts w:hint="eastAsia" w:ascii="宋体" w:hAnsi="宋体"/>
          <w:kern w:val="0"/>
          <w:sz w:val="24"/>
        </w:rPr>
        <w:t>）</w:t>
      </w:r>
    </w:p>
    <w:p>
      <w:pPr>
        <w:widowControl/>
        <w:shd w:val="clear" w:color="auto" w:fill="FFFFFF"/>
        <w:spacing w:line="360" w:lineRule="exact"/>
        <w:ind w:firstLine="480" w:firstLineChars="200"/>
        <w:jc w:val="left"/>
        <w:rPr>
          <w:rFonts w:hint="eastAsia" w:ascii="宋体" w:hAnsi="宋体"/>
          <w:kern w:val="0"/>
          <w:sz w:val="24"/>
        </w:rPr>
      </w:pPr>
      <w:r>
        <w:rPr>
          <w:rFonts w:hint="eastAsia" w:ascii="宋体" w:hAnsi="宋体"/>
          <w:kern w:val="0"/>
          <w:sz w:val="24"/>
        </w:rPr>
        <w:t>4、防疫要求：疫情期间现场只允许各潜在投标人委派一名工作人员持授权委托书、距离开标截止时间前48小时核酸证明(阴性)前来开标现场，参加开标人员必须佩戴口罩、测体温、查验“安康码、行程码”，“安康码、行程码”为绿色码方可进入开标室，做好疫情防护，并进行双码联查。</w:t>
      </w:r>
    </w:p>
    <w:p>
      <w:pPr>
        <w:widowControl/>
        <w:shd w:val="clear" w:color="auto" w:fill="FFFFFF"/>
        <w:spacing w:line="360" w:lineRule="exact"/>
        <w:ind w:firstLine="480" w:firstLineChars="200"/>
        <w:jc w:val="left"/>
        <w:rPr>
          <w:rFonts w:hint="eastAsia" w:ascii="宋体" w:hAnsi="宋体"/>
          <w:kern w:val="0"/>
          <w:sz w:val="24"/>
        </w:rPr>
      </w:pPr>
      <w:r>
        <w:rPr>
          <w:rFonts w:hint="eastAsia" w:ascii="宋体" w:hAnsi="宋体"/>
          <w:kern w:val="0"/>
          <w:sz w:val="24"/>
        </w:rPr>
        <w:t>注：疫情期间，投标人应充分考虑现行交通管制等客观因素，开标截止时间前到达开标现场进行排队、查验安康码等事宜的投标人接收其投标文件，开标截止时间后到达现场的投标单位不接收其投标文件。</w:t>
      </w:r>
    </w:p>
    <w:p>
      <w:pPr>
        <w:widowControl/>
        <w:shd w:val="clear" w:color="auto" w:fill="FFFFFF"/>
        <w:spacing w:line="360" w:lineRule="exact"/>
        <w:ind w:firstLine="480" w:firstLineChars="200"/>
        <w:jc w:val="left"/>
        <w:rPr>
          <w:rFonts w:hint="eastAsia" w:ascii="宋体" w:hAnsi="宋体"/>
          <w:kern w:val="0"/>
          <w:sz w:val="24"/>
        </w:rPr>
      </w:pPr>
      <w:r>
        <w:rPr>
          <w:rFonts w:hint="eastAsia" w:ascii="宋体" w:hAnsi="宋体"/>
          <w:kern w:val="0"/>
          <w:sz w:val="24"/>
        </w:rPr>
        <w:t>5、报名中有任何疑问或问题，请在工作时间（周一至周五，上午9:00-11:00，下午15:00-17:00，节假日休息）与项目联系人联系。</w:t>
      </w:r>
    </w:p>
    <w:p>
      <w:pPr>
        <w:widowControl/>
        <w:shd w:val="clear" w:color="auto" w:fill="FFFFFF"/>
        <w:spacing w:line="360" w:lineRule="exact"/>
        <w:rPr>
          <w:rFonts w:hint="eastAsia" w:ascii="宋体" w:hAnsi="宋体"/>
        </w:rPr>
      </w:pPr>
      <w:r>
        <w:rPr>
          <w:rFonts w:hint="eastAsia" w:ascii="宋体" w:hAnsi="宋体"/>
        </w:rPr>
        <w:t>八、凡对本次采购提出询问，请按</w:t>
      </w:r>
      <w:r>
        <w:rPr>
          <w:rFonts w:ascii="宋体" w:hAnsi="宋体"/>
        </w:rPr>
        <w:t>以下方式</w:t>
      </w:r>
      <w:r>
        <w:rPr>
          <w:rFonts w:hint="eastAsia" w:ascii="宋体" w:hAnsi="宋体"/>
        </w:rPr>
        <w:t>联系。</w:t>
      </w:r>
      <w:bookmarkEnd w:id="35"/>
      <w:bookmarkEnd w:id="36"/>
      <w:bookmarkEnd w:id="37"/>
      <w:bookmarkEnd w:id="38"/>
      <w:bookmarkStart w:id="39" w:name="_Toc35393806"/>
      <w:bookmarkStart w:id="40" w:name="_Toc35393637"/>
      <w:bookmarkStart w:id="41" w:name="_Toc28359096"/>
      <w:bookmarkStart w:id="42" w:name="_Toc28359019"/>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1.采购人信息</w:t>
      </w:r>
      <w:bookmarkEnd w:id="39"/>
      <w:bookmarkEnd w:id="40"/>
      <w:bookmarkEnd w:id="41"/>
      <w:bookmarkEnd w:id="42"/>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 xml:space="preserve">名    称：安徽省农垦集团淮南农场有限公司 </w:t>
      </w:r>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 xml:space="preserve">地    址：淮南市朝阳东路与206国道交叉口南 </w:t>
      </w:r>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联系方式：</w:t>
      </w:r>
      <w:bookmarkStart w:id="43" w:name="_Toc28359020"/>
      <w:bookmarkStart w:id="44" w:name="_Toc28359097"/>
      <w:bookmarkStart w:id="45" w:name="_Toc35393807"/>
      <w:bookmarkStart w:id="46" w:name="_Toc35393638"/>
      <w:r>
        <w:rPr>
          <w:rFonts w:hint="eastAsia" w:ascii="宋体" w:hAnsi="宋体"/>
          <w:kern w:val="0"/>
          <w:sz w:val="24"/>
        </w:rPr>
        <w:t xml:space="preserve">张工 </w:t>
      </w:r>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采购代理机构信息</w:t>
      </w:r>
      <w:bookmarkEnd w:id="43"/>
      <w:bookmarkEnd w:id="44"/>
      <w:bookmarkEnd w:id="45"/>
      <w:bookmarkEnd w:id="46"/>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名    称：安徽新天源建设咨询有限公司</w:t>
      </w:r>
    </w:p>
    <w:p>
      <w:pPr>
        <w:widowControl/>
        <w:shd w:val="clear" w:color="auto" w:fill="FFFFFF"/>
        <w:spacing w:line="360" w:lineRule="exact"/>
        <w:ind w:firstLine="480" w:firstLineChars="200"/>
        <w:rPr>
          <w:rFonts w:hint="eastAsia" w:ascii="宋体" w:hAnsi="宋体"/>
          <w:kern w:val="0"/>
          <w:sz w:val="24"/>
        </w:rPr>
      </w:pPr>
      <w:r>
        <w:rPr>
          <w:rFonts w:hint="eastAsia" w:ascii="宋体" w:hAnsi="宋体"/>
          <w:kern w:val="0"/>
          <w:sz w:val="24"/>
        </w:rPr>
        <w:t>地    址：淮南市田家庵区八佰伴后师院公寓楼1号楼2单元2201室</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联系方式：0554-6666288</w:t>
      </w:r>
      <w:bookmarkStart w:id="47" w:name="_Toc28359021"/>
      <w:bookmarkStart w:id="48" w:name="_Toc35393639"/>
      <w:bookmarkStart w:id="49" w:name="_Toc28359098"/>
      <w:bookmarkStart w:id="50" w:name="_Toc35393808"/>
      <w:r>
        <w:rPr>
          <w:rFonts w:hint="eastAsia" w:ascii="宋体" w:hAnsi="宋体"/>
          <w:kern w:val="0"/>
          <w:sz w:val="24"/>
        </w:rPr>
        <w:t>、13855493049</w:t>
      </w:r>
    </w:p>
    <w:p>
      <w:pPr>
        <w:spacing w:line="360" w:lineRule="exact"/>
        <w:rPr>
          <w:rFonts w:ascii="宋体" w:hAnsi="宋体"/>
          <w:sz w:val="24"/>
        </w:rPr>
      </w:pPr>
      <w:r>
        <w:rPr>
          <w:rFonts w:hint="eastAsia" w:ascii="宋体" w:hAnsi="宋体"/>
          <w:sz w:val="24"/>
        </w:rPr>
        <w:t xml:space="preserve">    3.项目联系</w:t>
      </w:r>
      <w:r>
        <w:rPr>
          <w:rFonts w:ascii="宋体" w:hAnsi="宋体"/>
          <w:sz w:val="24"/>
        </w:rPr>
        <w:t>方式</w:t>
      </w:r>
      <w:bookmarkEnd w:id="47"/>
      <w:bookmarkEnd w:id="48"/>
      <w:bookmarkEnd w:id="49"/>
      <w:bookmarkEnd w:id="50"/>
    </w:p>
    <w:p>
      <w:pPr>
        <w:pStyle w:val="11"/>
        <w:spacing w:line="360" w:lineRule="exact"/>
        <w:rPr>
          <w:rFonts w:hAnsi="宋体"/>
          <w:sz w:val="24"/>
          <w:szCs w:val="24"/>
        </w:rPr>
      </w:pPr>
      <w:r>
        <w:rPr>
          <w:rFonts w:hint="eastAsia" w:hAnsi="宋体"/>
          <w:sz w:val="24"/>
          <w:szCs w:val="24"/>
        </w:rPr>
        <w:t xml:space="preserve">    项目联系人：</w:t>
      </w:r>
      <w:r>
        <w:rPr>
          <w:rFonts w:hint="eastAsia" w:hAnsi="宋体"/>
          <w:sz w:val="24"/>
          <w:szCs w:val="24"/>
          <w:u w:val="single"/>
          <w:lang w:eastAsia="zh-CN"/>
        </w:rPr>
        <w:t>张工</w:t>
      </w:r>
      <w:r>
        <w:rPr>
          <w:rFonts w:hint="eastAsia" w:hAnsi="宋体"/>
          <w:sz w:val="24"/>
          <w:szCs w:val="24"/>
          <w:u w:val="single"/>
        </w:rPr>
        <w:t xml:space="preserve"> 、赵明娅</w:t>
      </w:r>
    </w:p>
    <w:p>
      <w:pPr>
        <w:pStyle w:val="16"/>
        <w:spacing w:before="106" w:beforeAutospacing="0" w:after="120" w:afterAutospacing="0" w:line="21" w:lineRule="atLeast"/>
        <w:ind w:right="-34" w:firstLine="480" w:firstLineChars="200"/>
        <w:jc w:val="both"/>
        <w:textAlignment w:val="baseline"/>
        <w:rPr>
          <w:kern w:val="44"/>
          <w:sz w:val="32"/>
          <w:szCs w:val="32"/>
        </w:rPr>
        <w:sectPr>
          <w:footerReference r:id="rId3" w:type="default"/>
          <w:pgSz w:w="11907" w:h="16840"/>
          <w:pgMar w:top="1440" w:right="1080" w:bottom="1440" w:left="1080" w:header="720" w:footer="720" w:gutter="0"/>
          <w:cols w:space="720" w:num="1"/>
          <w:docGrid w:type="lines" w:linePitch="530" w:charSpace="0"/>
        </w:sectPr>
      </w:pPr>
      <w:r>
        <w:rPr>
          <w:rFonts w:hint="eastAsia"/>
        </w:rPr>
        <w:t>电      话：0554-3607419 、0554-6666288</w:t>
      </w:r>
      <w:bookmarkEnd w:id="6"/>
      <w:bookmarkEnd w:id="7"/>
      <w:r>
        <w:rPr>
          <w:rFonts w:hint="eastAsia"/>
        </w:rPr>
        <w:t>、13855493049</w:t>
      </w:r>
    </w:p>
    <w:bookmarkEnd w:id="8"/>
    <w:p>
      <w:pPr>
        <w:pStyle w:val="4"/>
        <w:spacing w:before="0" w:after="0" w:line="360" w:lineRule="auto"/>
        <w:jc w:val="center"/>
        <w:rPr>
          <w:rFonts w:hint="eastAsia" w:ascii="宋体" w:hAnsi="宋体" w:cs="宋体"/>
          <w:sz w:val="36"/>
          <w:szCs w:val="36"/>
        </w:rPr>
      </w:pPr>
      <w:r>
        <w:rPr>
          <w:rFonts w:hint="eastAsia" w:ascii="宋体" w:hAnsi="宋体" w:cs="宋体"/>
          <w:b w:val="0"/>
          <w:bCs w:val="0"/>
          <w:sz w:val="32"/>
          <w:szCs w:val="32"/>
        </w:rPr>
        <w:t>第二章 磋商须知前附表及磋商须知</w:t>
      </w:r>
    </w:p>
    <w:tbl>
      <w:tblPr>
        <w:tblStyle w:val="19"/>
        <w:tblW w:w="0" w:type="auto"/>
        <w:jc w:val="center"/>
        <w:tblLayout w:type="fixed"/>
        <w:tblCellMar>
          <w:top w:w="0" w:type="dxa"/>
          <w:left w:w="108" w:type="dxa"/>
          <w:bottom w:w="0" w:type="dxa"/>
          <w:right w:w="108" w:type="dxa"/>
        </w:tblCellMar>
      </w:tblPr>
      <w:tblGrid>
        <w:gridCol w:w="928"/>
        <w:gridCol w:w="2380"/>
        <w:gridCol w:w="6625"/>
      </w:tblGrid>
      <w:tr>
        <w:tblPrEx>
          <w:tblCellMar>
            <w:top w:w="0" w:type="dxa"/>
            <w:left w:w="108" w:type="dxa"/>
            <w:bottom w:w="0" w:type="dxa"/>
            <w:right w:w="108" w:type="dxa"/>
          </w:tblCellMar>
        </w:tblPrEx>
        <w:trPr>
          <w:trHeight w:val="555"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bCs/>
                <w:kern w:val="0"/>
                <w:sz w:val="24"/>
                <w:szCs w:val="24"/>
              </w:rPr>
            </w:pPr>
            <w:bookmarkStart w:id="51" w:name="_Toc382508380"/>
            <w:bookmarkEnd w:id="51"/>
            <w:r>
              <w:rPr>
                <w:rFonts w:hint="eastAsia" w:ascii="宋体" w:hAnsi="宋体"/>
                <w:b/>
                <w:bCs/>
                <w:kern w:val="0"/>
                <w:sz w:val="24"/>
                <w:szCs w:val="24"/>
              </w:rPr>
              <w:t>序号</w:t>
            </w:r>
          </w:p>
        </w:tc>
        <w:tc>
          <w:tcPr>
            <w:tcW w:w="2380" w:type="dxa"/>
            <w:tcBorders>
              <w:top w:val="single" w:color="auto" w:sz="4" w:space="0"/>
              <w:left w:val="nil"/>
              <w:bottom w:val="single" w:color="auto" w:sz="4" w:space="0"/>
              <w:right w:val="single" w:color="auto" w:sz="4" w:space="0"/>
            </w:tcBorders>
            <w:noWrap w:val="0"/>
            <w:vAlign w:val="center"/>
          </w:tcPr>
          <w:p>
            <w:pPr>
              <w:spacing w:line="400" w:lineRule="exact"/>
              <w:jc w:val="center"/>
              <w:textAlignment w:val="center"/>
              <w:rPr>
                <w:rFonts w:hint="eastAsia" w:ascii="宋体" w:hAnsi="宋体"/>
                <w:b/>
                <w:bCs/>
                <w:kern w:val="0"/>
                <w:sz w:val="24"/>
                <w:szCs w:val="24"/>
              </w:rPr>
            </w:pPr>
            <w:r>
              <w:rPr>
                <w:rFonts w:hint="eastAsia" w:ascii="宋体" w:hAnsi="宋体"/>
                <w:b/>
                <w:bCs/>
                <w:kern w:val="0"/>
                <w:sz w:val="24"/>
                <w:szCs w:val="24"/>
              </w:rPr>
              <w:t>条款名称</w:t>
            </w:r>
          </w:p>
        </w:tc>
        <w:tc>
          <w:tcPr>
            <w:tcW w:w="6625" w:type="dxa"/>
            <w:tcBorders>
              <w:top w:val="single" w:color="auto" w:sz="4" w:space="0"/>
              <w:left w:val="nil"/>
              <w:bottom w:val="single" w:color="auto" w:sz="4" w:space="0"/>
              <w:right w:val="single" w:color="auto" w:sz="4" w:space="0"/>
            </w:tcBorders>
            <w:noWrap w:val="0"/>
            <w:vAlign w:val="center"/>
          </w:tcPr>
          <w:p>
            <w:pPr>
              <w:spacing w:line="400" w:lineRule="exact"/>
              <w:jc w:val="center"/>
              <w:textAlignment w:val="center"/>
              <w:rPr>
                <w:rFonts w:hint="eastAsia" w:ascii="宋体" w:hAnsi="宋体"/>
                <w:b/>
                <w:bCs/>
                <w:kern w:val="0"/>
                <w:sz w:val="24"/>
                <w:szCs w:val="24"/>
              </w:rPr>
            </w:pPr>
            <w:r>
              <w:rPr>
                <w:rFonts w:hint="eastAsia" w:ascii="宋体" w:hAnsi="宋体"/>
                <w:b/>
                <w:bCs/>
                <w:kern w:val="0"/>
                <w:sz w:val="24"/>
                <w:szCs w:val="24"/>
              </w:rPr>
              <w:t>编列内容</w:t>
            </w:r>
          </w:p>
        </w:tc>
      </w:tr>
      <w:tr>
        <w:tblPrEx>
          <w:tblCellMar>
            <w:top w:w="0" w:type="dxa"/>
            <w:left w:w="108" w:type="dxa"/>
            <w:bottom w:w="0" w:type="dxa"/>
            <w:right w:w="108" w:type="dxa"/>
          </w:tblCellMar>
        </w:tblPrEx>
        <w:trPr>
          <w:trHeight w:val="128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采购人</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采购人：安徽省农垦集团淮南农场有限公司</w:t>
            </w:r>
            <w:r>
              <w:rPr>
                <w:rFonts w:hint="eastAsia" w:ascii="宋体" w:hAnsi="宋体"/>
                <w:sz w:val="24"/>
                <w:szCs w:val="24"/>
              </w:rPr>
              <w:t xml:space="preserve"> </w:t>
            </w:r>
          </w:p>
          <w:p>
            <w:pPr>
              <w:jc w:val="left"/>
              <w:rPr>
                <w:rFonts w:hint="eastAsia" w:ascii="宋体" w:hAnsi="宋体"/>
                <w:sz w:val="24"/>
                <w:szCs w:val="24"/>
              </w:rPr>
            </w:pPr>
            <w:r>
              <w:rPr>
                <w:rFonts w:hint="eastAsia" w:ascii="宋体" w:hAnsi="宋体"/>
                <w:kern w:val="0"/>
                <w:sz w:val="24"/>
                <w:szCs w:val="24"/>
              </w:rPr>
              <w:t>地  址：淮南市朝阳东路与206国道交叉口南</w:t>
            </w:r>
            <w:r>
              <w:rPr>
                <w:rFonts w:hint="eastAsia" w:ascii="宋体" w:hAnsi="宋体"/>
                <w:sz w:val="24"/>
                <w:szCs w:val="24"/>
              </w:rPr>
              <w:t xml:space="preserve"> </w:t>
            </w:r>
          </w:p>
          <w:p>
            <w:pPr>
              <w:jc w:val="left"/>
              <w:rPr>
                <w:rFonts w:hint="eastAsia" w:ascii="宋体" w:hAnsi="宋体"/>
                <w:kern w:val="0"/>
                <w:sz w:val="24"/>
                <w:szCs w:val="24"/>
              </w:rPr>
            </w:pPr>
            <w:r>
              <w:rPr>
                <w:rFonts w:hint="eastAsia" w:ascii="宋体" w:hAnsi="宋体"/>
                <w:kern w:val="0"/>
                <w:sz w:val="24"/>
                <w:szCs w:val="24"/>
              </w:rPr>
              <w:t xml:space="preserve">联系人：张工 </w:t>
            </w:r>
          </w:p>
          <w:p>
            <w:pPr>
              <w:jc w:val="left"/>
              <w:rPr>
                <w:rFonts w:hint="eastAsia" w:ascii="宋体" w:hAnsi="宋体"/>
                <w:kern w:val="0"/>
                <w:sz w:val="24"/>
                <w:szCs w:val="24"/>
              </w:rPr>
            </w:pPr>
            <w:r>
              <w:rPr>
                <w:rFonts w:hint="eastAsia" w:ascii="宋体" w:hAnsi="宋体"/>
                <w:kern w:val="0"/>
                <w:sz w:val="24"/>
                <w:szCs w:val="24"/>
              </w:rPr>
              <w:t>电  话：0554-3607419</w:t>
            </w:r>
            <w:r>
              <w:rPr>
                <w:rFonts w:hint="eastAsia" w:ascii="宋体" w:hAnsi="宋体"/>
                <w:sz w:val="24"/>
                <w:szCs w:val="24"/>
              </w:rPr>
              <w:t xml:space="preserve"> </w:t>
            </w:r>
          </w:p>
        </w:tc>
      </w:tr>
      <w:tr>
        <w:tblPrEx>
          <w:tblCellMar>
            <w:top w:w="0" w:type="dxa"/>
            <w:left w:w="108" w:type="dxa"/>
            <w:bottom w:w="0" w:type="dxa"/>
            <w:right w:w="108" w:type="dxa"/>
          </w:tblCellMar>
        </w:tblPrEx>
        <w:trPr>
          <w:trHeight w:val="93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代理机构</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sz w:val="24"/>
                <w:szCs w:val="24"/>
              </w:rPr>
            </w:pPr>
            <w:r>
              <w:rPr>
                <w:rFonts w:hint="eastAsia" w:ascii="宋体" w:hAnsi="宋体"/>
                <w:kern w:val="0"/>
                <w:sz w:val="24"/>
                <w:szCs w:val="24"/>
              </w:rPr>
              <w:t>名  称：</w:t>
            </w:r>
            <w:r>
              <w:rPr>
                <w:rFonts w:hint="eastAsia" w:ascii="宋体" w:hAnsi="宋体"/>
                <w:sz w:val="24"/>
                <w:szCs w:val="24"/>
              </w:rPr>
              <w:t>安徽新天源建设咨询有限公司</w:t>
            </w:r>
          </w:p>
          <w:p>
            <w:pPr>
              <w:jc w:val="left"/>
              <w:rPr>
                <w:rFonts w:ascii="宋体" w:hAnsi="宋体"/>
                <w:kern w:val="0"/>
                <w:sz w:val="24"/>
                <w:szCs w:val="24"/>
              </w:rPr>
            </w:pPr>
            <w:r>
              <w:rPr>
                <w:rFonts w:hint="eastAsia" w:ascii="宋体" w:hAnsi="宋体"/>
                <w:kern w:val="0"/>
                <w:sz w:val="24"/>
                <w:szCs w:val="24"/>
              </w:rPr>
              <w:t>地  址：</w:t>
            </w:r>
            <w:r>
              <w:rPr>
                <w:rFonts w:hint="eastAsia" w:ascii="宋体" w:hAnsi="宋体"/>
                <w:sz w:val="24"/>
                <w:szCs w:val="24"/>
              </w:rPr>
              <w:t>淮南市田家庵区八佰伴后师院家属楼1号楼2单元2201室</w:t>
            </w:r>
          </w:p>
          <w:p>
            <w:pPr>
              <w:jc w:val="left"/>
              <w:rPr>
                <w:rFonts w:hint="eastAsia" w:ascii="宋体" w:hAnsi="宋体"/>
                <w:kern w:val="0"/>
                <w:sz w:val="24"/>
                <w:szCs w:val="24"/>
              </w:rPr>
            </w:pPr>
            <w:r>
              <w:rPr>
                <w:rFonts w:hint="eastAsia" w:ascii="宋体" w:hAnsi="宋体"/>
                <w:kern w:val="0"/>
                <w:sz w:val="24"/>
                <w:szCs w:val="24"/>
              </w:rPr>
              <w:t>联系人：</w:t>
            </w:r>
            <w:r>
              <w:rPr>
                <w:rFonts w:hint="eastAsia" w:ascii="宋体" w:hAnsi="宋体"/>
                <w:sz w:val="24"/>
                <w:szCs w:val="24"/>
              </w:rPr>
              <w:t>赵明娅</w:t>
            </w:r>
          </w:p>
          <w:p>
            <w:pPr>
              <w:jc w:val="left"/>
              <w:rPr>
                <w:rFonts w:hint="eastAsia" w:ascii="宋体" w:hAnsi="宋体"/>
                <w:kern w:val="0"/>
                <w:sz w:val="24"/>
                <w:szCs w:val="24"/>
              </w:rPr>
            </w:pPr>
            <w:r>
              <w:rPr>
                <w:rFonts w:hint="eastAsia" w:ascii="宋体" w:hAnsi="宋体"/>
                <w:kern w:val="0"/>
                <w:sz w:val="24"/>
                <w:szCs w:val="24"/>
              </w:rPr>
              <w:t>电  话：</w:t>
            </w:r>
            <w:r>
              <w:rPr>
                <w:rFonts w:hint="eastAsia" w:ascii="宋体" w:hAnsi="宋体"/>
                <w:sz w:val="24"/>
                <w:szCs w:val="24"/>
              </w:rPr>
              <w:t>0554-6666288 13855493049</w:t>
            </w:r>
          </w:p>
        </w:tc>
      </w:tr>
      <w:tr>
        <w:tblPrEx>
          <w:tblCellMar>
            <w:top w:w="0" w:type="dxa"/>
            <w:left w:w="108" w:type="dxa"/>
            <w:bottom w:w="0" w:type="dxa"/>
            <w:right w:w="108" w:type="dxa"/>
          </w:tblCellMar>
        </w:tblPrEx>
        <w:trPr>
          <w:trHeight w:val="529"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3</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项目名称</w:t>
            </w:r>
          </w:p>
        </w:tc>
        <w:tc>
          <w:tcPr>
            <w:tcW w:w="6625"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kern w:val="0"/>
                <w:sz w:val="24"/>
                <w:szCs w:val="24"/>
                <w:lang w:eastAsia="zh-CN"/>
              </w:rPr>
            </w:pPr>
            <w:r>
              <w:rPr>
                <w:rFonts w:hint="eastAsia" w:ascii="宋体" w:hAnsi="宋体"/>
                <w:kern w:val="0"/>
                <w:sz w:val="24"/>
                <w:szCs w:val="24"/>
              </w:rPr>
              <w:t>淮南农场有限公司林网规划设计</w:t>
            </w:r>
            <w:r>
              <w:rPr>
                <w:rFonts w:hint="eastAsia" w:ascii="宋体" w:hAnsi="宋体"/>
                <w:kern w:val="0"/>
                <w:sz w:val="24"/>
                <w:szCs w:val="24"/>
                <w:lang w:eastAsia="zh-CN"/>
              </w:rPr>
              <w:t>项目</w:t>
            </w:r>
          </w:p>
        </w:tc>
      </w:tr>
      <w:tr>
        <w:tblPrEx>
          <w:tblCellMar>
            <w:top w:w="0" w:type="dxa"/>
            <w:left w:w="108" w:type="dxa"/>
            <w:bottom w:w="0" w:type="dxa"/>
            <w:right w:w="108" w:type="dxa"/>
          </w:tblCellMar>
        </w:tblPrEx>
        <w:trPr>
          <w:trHeight w:val="525"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4</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服务点</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淮南经济技术开发区</w:t>
            </w:r>
          </w:p>
        </w:tc>
      </w:tr>
      <w:tr>
        <w:tblPrEx>
          <w:tblCellMar>
            <w:top w:w="0" w:type="dxa"/>
            <w:left w:w="108" w:type="dxa"/>
            <w:bottom w:w="0" w:type="dxa"/>
            <w:right w:w="108" w:type="dxa"/>
          </w:tblCellMar>
        </w:tblPrEx>
        <w:trPr>
          <w:trHeight w:val="525"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5</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资金来源</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sz w:val="24"/>
              </w:rPr>
            </w:pPr>
            <w:r>
              <w:rPr>
                <w:rFonts w:hint="eastAsia" w:ascii="宋体" w:hAnsi="宋体"/>
                <w:sz w:val="24"/>
              </w:rPr>
              <w:t>自筹资金</w:t>
            </w:r>
          </w:p>
        </w:tc>
      </w:tr>
      <w:tr>
        <w:tblPrEx>
          <w:tblCellMar>
            <w:top w:w="0" w:type="dxa"/>
            <w:left w:w="108" w:type="dxa"/>
            <w:bottom w:w="0" w:type="dxa"/>
            <w:right w:w="108" w:type="dxa"/>
          </w:tblCellMar>
        </w:tblPrEx>
        <w:trPr>
          <w:trHeight w:val="50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6</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资金落实情况</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sz w:val="24"/>
              </w:rPr>
            </w:pPr>
            <w:r>
              <w:rPr>
                <w:rFonts w:hint="eastAsia" w:ascii="宋体" w:hAnsi="宋体"/>
                <w:sz w:val="24"/>
              </w:rPr>
              <w:t>已落实</w:t>
            </w:r>
          </w:p>
        </w:tc>
      </w:tr>
      <w:tr>
        <w:tblPrEx>
          <w:tblCellMar>
            <w:top w:w="0" w:type="dxa"/>
            <w:left w:w="108" w:type="dxa"/>
            <w:bottom w:w="0" w:type="dxa"/>
            <w:right w:w="108" w:type="dxa"/>
          </w:tblCellMar>
        </w:tblPrEx>
        <w:trPr>
          <w:trHeight w:val="461"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7</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采购范围</w:t>
            </w:r>
          </w:p>
        </w:tc>
        <w:tc>
          <w:tcPr>
            <w:tcW w:w="6625" w:type="dxa"/>
            <w:tcBorders>
              <w:top w:val="single" w:color="auto" w:sz="4" w:space="0"/>
              <w:left w:val="nil"/>
              <w:bottom w:val="single" w:color="auto" w:sz="4" w:space="0"/>
              <w:right w:val="single" w:color="auto" w:sz="4" w:space="0"/>
            </w:tcBorders>
            <w:noWrap w:val="0"/>
            <w:vAlign w:val="center"/>
          </w:tcPr>
          <w:p>
            <w:pPr>
              <w:rPr>
                <w:rFonts w:hint="eastAsia" w:ascii="宋体" w:hAnsi="宋体"/>
                <w:color w:val="000000"/>
                <w:kern w:val="0"/>
                <w:sz w:val="24"/>
                <w:szCs w:val="24"/>
              </w:rPr>
            </w:pPr>
            <w:r>
              <w:rPr>
                <w:rFonts w:hint="eastAsia" w:ascii="宋体" w:hAnsi="宋体"/>
                <w:color w:val="000000"/>
                <w:kern w:val="0"/>
                <w:sz w:val="24"/>
                <w:szCs w:val="24"/>
              </w:rPr>
              <w:t>具体详见第三章采购需求</w:t>
            </w:r>
          </w:p>
        </w:tc>
      </w:tr>
      <w:tr>
        <w:tblPrEx>
          <w:tblCellMar>
            <w:top w:w="0" w:type="dxa"/>
            <w:left w:w="108" w:type="dxa"/>
            <w:bottom w:w="0" w:type="dxa"/>
            <w:right w:w="108" w:type="dxa"/>
          </w:tblCellMar>
        </w:tblPrEx>
        <w:trPr>
          <w:trHeight w:val="628"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8</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报价要求</w:t>
            </w:r>
          </w:p>
        </w:tc>
        <w:tc>
          <w:tcPr>
            <w:tcW w:w="6625" w:type="dxa"/>
            <w:tcBorders>
              <w:top w:val="single" w:color="auto" w:sz="4" w:space="0"/>
              <w:left w:val="nil"/>
              <w:bottom w:val="single" w:color="auto" w:sz="4" w:space="0"/>
              <w:right w:val="single" w:color="auto" w:sz="4" w:space="0"/>
            </w:tcBorders>
            <w:noWrap w:val="0"/>
            <w:vAlign w:val="top"/>
          </w:tcPr>
          <w:p>
            <w:pPr>
              <w:numPr>
                <w:ilvl w:val="0"/>
                <w:numId w:val="0"/>
              </w:numPr>
              <w:rPr>
                <w:rFonts w:hint="eastAsia" w:ascii="宋体" w:hAnsi="宋体"/>
                <w:color w:val="000000"/>
                <w:kern w:val="0"/>
                <w:sz w:val="24"/>
                <w:szCs w:val="24"/>
              </w:rPr>
            </w:pPr>
            <w:r>
              <w:rPr>
                <w:rFonts w:hint="eastAsia" w:ascii="宋体" w:hAnsi="宋体"/>
                <w:color w:val="000000"/>
                <w:kern w:val="0"/>
                <w:sz w:val="24"/>
                <w:szCs w:val="24"/>
                <w:lang w:val="en-US" w:eastAsia="zh-CN"/>
              </w:rPr>
              <w:t>1、</w:t>
            </w:r>
            <w:r>
              <w:rPr>
                <w:rFonts w:hint="eastAsia" w:ascii="宋体" w:hAnsi="宋体"/>
                <w:color w:val="000000"/>
                <w:kern w:val="0"/>
                <w:sz w:val="24"/>
                <w:szCs w:val="24"/>
              </w:rPr>
              <w:t>16万元为最高限价，超过此价的为无效投标。</w:t>
            </w:r>
          </w:p>
          <w:p>
            <w:pPr>
              <w:rPr>
                <w:rFonts w:hint="eastAsia" w:ascii="宋体" w:hAnsi="宋体"/>
                <w:b/>
                <w:bCs/>
                <w:color w:val="000000"/>
                <w:kern w:val="0"/>
                <w:sz w:val="24"/>
                <w:szCs w:val="24"/>
              </w:rPr>
            </w:pPr>
            <w:r>
              <w:rPr>
                <w:rFonts w:hint="eastAsia" w:ascii="宋体" w:hAnsi="宋体"/>
                <w:color w:val="000000"/>
                <w:kern w:val="0"/>
                <w:sz w:val="24"/>
                <w:szCs w:val="24"/>
              </w:rPr>
              <w:t>2、第二次报价不得高于第一次报价否则投标无效。</w:t>
            </w:r>
          </w:p>
        </w:tc>
      </w:tr>
      <w:tr>
        <w:tblPrEx>
          <w:tblCellMar>
            <w:top w:w="0" w:type="dxa"/>
            <w:left w:w="108" w:type="dxa"/>
            <w:bottom w:w="0" w:type="dxa"/>
            <w:right w:w="108" w:type="dxa"/>
          </w:tblCellMar>
        </w:tblPrEx>
        <w:trPr>
          <w:trHeight w:val="55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9</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服务期</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b/>
                <w:bCs/>
                <w:color w:val="000000"/>
                <w:kern w:val="0"/>
                <w:sz w:val="24"/>
                <w:szCs w:val="24"/>
              </w:rPr>
            </w:pPr>
            <w:r>
              <w:rPr>
                <w:rFonts w:hint="eastAsia" w:ascii="宋体" w:hAnsi="宋体"/>
                <w:color w:val="000000"/>
                <w:kern w:val="0"/>
                <w:sz w:val="24"/>
                <w:szCs w:val="24"/>
              </w:rPr>
              <w:t>20日历天。因中标人原因造成工期延误，每拖延一天支付1000元/天违约金，因甲方原因所造成的设计工期延误，工期予以顺延，但延期造成的损失甲方不予承担。</w:t>
            </w:r>
          </w:p>
        </w:tc>
      </w:tr>
      <w:tr>
        <w:tblPrEx>
          <w:tblCellMar>
            <w:top w:w="0" w:type="dxa"/>
            <w:left w:w="108" w:type="dxa"/>
            <w:bottom w:w="0" w:type="dxa"/>
            <w:right w:w="108" w:type="dxa"/>
          </w:tblCellMar>
        </w:tblPrEx>
        <w:trPr>
          <w:trHeight w:val="53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10</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质量要求</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合格</w:t>
            </w:r>
          </w:p>
        </w:tc>
      </w:tr>
      <w:tr>
        <w:tblPrEx>
          <w:tblCellMar>
            <w:top w:w="0" w:type="dxa"/>
            <w:left w:w="108" w:type="dxa"/>
            <w:bottom w:w="0" w:type="dxa"/>
            <w:right w:w="108" w:type="dxa"/>
          </w:tblCellMar>
        </w:tblPrEx>
        <w:trPr>
          <w:trHeight w:val="529"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11</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供应商资质条件</w:t>
            </w:r>
          </w:p>
        </w:tc>
        <w:tc>
          <w:tcPr>
            <w:tcW w:w="6625" w:type="dxa"/>
            <w:tcBorders>
              <w:top w:val="single" w:color="auto" w:sz="4" w:space="0"/>
              <w:left w:val="nil"/>
              <w:bottom w:val="single" w:color="auto" w:sz="4" w:space="0"/>
              <w:right w:val="single" w:color="auto" w:sz="4" w:space="0"/>
            </w:tcBorders>
            <w:noWrap w:val="0"/>
            <w:vAlign w:val="center"/>
          </w:tcPr>
          <w:p>
            <w:pPr>
              <w:pStyle w:val="7"/>
              <w:topLinePunct/>
              <w:jc w:val="left"/>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详见竞争性磋商公告</w:t>
            </w:r>
          </w:p>
        </w:tc>
      </w:tr>
      <w:tr>
        <w:tblPrEx>
          <w:tblCellMar>
            <w:top w:w="0" w:type="dxa"/>
            <w:left w:w="108" w:type="dxa"/>
            <w:bottom w:w="0" w:type="dxa"/>
            <w:right w:w="108" w:type="dxa"/>
          </w:tblCellMar>
        </w:tblPrEx>
        <w:trPr>
          <w:trHeight w:val="531"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12</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是否接受联合体投标</w:t>
            </w:r>
          </w:p>
        </w:tc>
        <w:tc>
          <w:tcPr>
            <w:tcW w:w="6625" w:type="dxa"/>
            <w:tcBorders>
              <w:top w:val="single" w:color="auto" w:sz="4" w:space="0"/>
              <w:left w:val="nil"/>
              <w:bottom w:val="single" w:color="auto" w:sz="4" w:space="0"/>
              <w:right w:val="single" w:color="auto" w:sz="4" w:space="0"/>
            </w:tcBorders>
            <w:noWrap w:val="0"/>
            <w:vAlign w:val="center"/>
          </w:tcPr>
          <w:p>
            <w:pPr>
              <w:pStyle w:val="7"/>
              <w:topLinePunct/>
              <w:jc w:val="left"/>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不接受</w:t>
            </w:r>
          </w:p>
        </w:tc>
      </w:tr>
      <w:tr>
        <w:tblPrEx>
          <w:tblCellMar>
            <w:top w:w="0" w:type="dxa"/>
            <w:left w:w="108" w:type="dxa"/>
            <w:bottom w:w="0" w:type="dxa"/>
            <w:right w:w="108" w:type="dxa"/>
          </w:tblCellMar>
        </w:tblPrEx>
        <w:trPr>
          <w:trHeight w:val="55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13</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踏勘现场</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自行踏勘现场</w:t>
            </w:r>
          </w:p>
        </w:tc>
      </w:tr>
      <w:tr>
        <w:tblPrEx>
          <w:tblCellMar>
            <w:top w:w="0" w:type="dxa"/>
            <w:left w:w="108" w:type="dxa"/>
            <w:bottom w:w="0" w:type="dxa"/>
            <w:right w:w="108" w:type="dxa"/>
          </w:tblCellMar>
        </w:tblPrEx>
        <w:trPr>
          <w:trHeight w:val="615"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14</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投标预备会</w:t>
            </w:r>
          </w:p>
        </w:tc>
        <w:tc>
          <w:tcPr>
            <w:tcW w:w="6625" w:type="dxa"/>
            <w:tcBorders>
              <w:top w:val="single" w:color="auto" w:sz="4" w:space="0"/>
              <w:left w:val="nil"/>
              <w:bottom w:val="single" w:color="auto" w:sz="4" w:space="0"/>
              <w:right w:val="single" w:color="auto" w:sz="4" w:space="0"/>
            </w:tcBorders>
            <w:noWrap w:val="0"/>
            <w:vAlign w:val="center"/>
          </w:tcPr>
          <w:p>
            <w:pPr>
              <w:pStyle w:val="7"/>
              <w:topLinePunct/>
              <w:jc w:val="left"/>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不召开</w:t>
            </w:r>
          </w:p>
        </w:tc>
      </w:tr>
      <w:tr>
        <w:tblPrEx>
          <w:tblCellMar>
            <w:top w:w="0" w:type="dxa"/>
            <w:left w:w="108" w:type="dxa"/>
            <w:bottom w:w="0" w:type="dxa"/>
            <w:right w:w="108" w:type="dxa"/>
          </w:tblCellMar>
        </w:tblPrEx>
        <w:trPr>
          <w:trHeight w:val="745"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15</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供应商提出问题</w:t>
            </w:r>
          </w:p>
          <w:p>
            <w:pPr>
              <w:jc w:val="center"/>
              <w:rPr>
                <w:rFonts w:hint="eastAsia" w:ascii="宋体" w:hAnsi="宋体"/>
                <w:kern w:val="0"/>
                <w:sz w:val="24"/>
                <w:szCs w:val="24"/>
              </w:rPr>
            </w:pPr>
            <w:r>
              <w:rPr>
                <w:rFonts w:hint="eastAsia" w:ascii="宋体" w:hAnsi="宋体"/>
                <w:kern w:val="0"/>
                <w:sz w:val="24"/>
                <w:szCs w:val="24"/>
              </w:rPr>
              <w:t>的截止时间</w:t>
            </w:r>
          </w:p>
        </w:tc>
        <w:tc>
          <w:tcPr>
            <w:tcW w:w="6625" w:type="dxa"/>
            <w:tcBorders>
              <w:top w:val="single" w:color="auto" w:sz="4" w:space="0"/>
              <w:left w:val="nil"/>
              <w:bottom w:val="single" w:color="auto" w:sz="4" w:space="0"/>
              <w:right w:val="single" w:color="auto" w:sz="4" w:space="0"/>
            </w:tcBorders>
            <w:noWrap w:val="0"/>
            <w:vAlign w:val="center"/>
          </w:tcPr>
          <w:p>
            <w:pPr>
              <w:rPr>
                <w:rFonts w:hint="eastAsia" w:ascii="宋体" w:hAnsi="宋体"/>
                <w:kern w:val="0"/>
                <w:sz w:val="24"/>
                <w:szCs w:val="24"/>
              </w:rPr>
            </w:pPr>
            <w:r>
              <w:rPr>
                <w:rFonts w:hint="eastAsia" w:ascii="宋体" w:hAnsi="宋体"/>
                <w:kern w:val="0"/>
                <w:sz w:val="24"/>
                <w:szCs w:val="24"/>
              </w:rPr>
              <w:t>投标截止时间</w:t>
            </w:r>
            <w:r>
              <w:rPr>
                <w:rFonts w:hint="eastAsia" w:ascii="宋体" w:hAnsi="宋体"/>
                <w:kern w:val="0"/>
              </w:rPr>
              <w:t>5</w:t>
            </w:r>
            <w:r>
              <w:rPr>
                <w:rFonts w:hint="eastAsia" w:ascii="宋体" w:hAnsi="宋体"/>
                <w:kern w:val="0"/>
                <w:sz w:val="24"/>
                <w:szCs w:val="24"/>
              </w:rPr>
              <w:t>日前（逾期不予受理）</w:t>
            </w:r>
          </w:p>
        </w:tc>
      </w:tr>
      <w:tr>
        <w:tblPrEx>
          <w:tblCellMar>
            <w:top w:w="0" w:type="dxa"/>
            <w:left w:w="108" w:type="dxa"/>
            <w:bottom w:w="0" w:type="dxa"/>
            <w:right w:w="108" w:type="dxa"/>
          </w:tblCellMar>
        </w:tblPrEx>
        <w:trPr>
          <w:trHeight w:val="54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16</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供应商提出问题方式</w:t>
            </w:r>
          </w:p>
        </w:tc>
        <w:tc>
          <w:tcPr>
            <w:tcW w:w="6625" w:type="dxa"/>
            <w:tcBorders>
              <w:top w:val="single" w:color="auto" w:sz="4" w:space="0"/>
              <w:left w:val="nil"/>
              <w:bottom w:val="single" w:color="auto" w:sz="4" w:space="0"/>
              <w:right w:val="single" w:color="auto" w:sz="4" w:space="0"/>
            </w:tcBorders>
            <w:noWrap w:val="0"/>
            <w:vAlign w:val="center"/>
          </w:tcPr>
          <w:p>
            <w:pPr>
              <w:rPr>
                <w:rFonts w:hint="eastAsia" w:ascii="宋体" w:hAnsi="宋体"/>
                <w:kern w:val="0"/>
                <w:sz w:val="24"/>
                <w:szCs w:val="24"/>
              </w:rPr>
            </w:pPr>
            <w:r>
              <w:rPr>
                <w:rFonts w:hint="eastAsia" w:ascii="宋体" w:hAnsi="宋体"/>
                <w:kern w:val="0"/>
                <w:sz w:val="24"/>
                <w:szCs w:val="24"/>
              </w:rPr>
              <w:t>书面形式提交</w:t>
            </w:r>
          </w:p>
        </w:tc>
      </w:tr>
      <w:tr>
        <w:tblPrEx>
          <w:tblCellMar>
            <w:top w:w="0" w:type="dxa"/>
            <w:left w:w="108" w:type="dxa"/>
            <w:bottom w:w="0" w:type="dxa"/>
            <w:right w:w="108" w:type="dxa"/>
          </w:tblCellMar>
        </w:tblPrEx>
        <w:trPr>
          <w:trHeight w:val="1401"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17</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sz w:val="24"/>
                <w:szCs w:val="24"/>
              </w:rPr>
              <w:t>疑问的答疑获取</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关于本项目的变更、答疑等信息将在淮南经济技术开发区管理委员网站（http://jkq.huainan.gov.cn/index.html）上发布，请投标人随时关注网上信息。如因投标人没有及时关注网站信息造成的后果由投标人自行承担</w:t>
            </w:r>
          </w:p>
        </w:tc>
      </w:tr>
      <w:tr>
        <w:tblPrEx>
          <w:tblCellMar>
            <w:top w:w="0" w:type="dxa"/>
            <w:left w:w="108" w:type="dxa"/>
            <w:bottom w:w="0" w:type="dxa"/>
            <w:right w:w="108" w:type="dxa"/>
          </w:tblCellMar>
        </w:tblPrEx>
        <w:trPr>
          <w:trHeight w:val="202"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18</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构成竞争性磋商文件的其他材料</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澄清文件、答疑文件</w:t>
            </w:r>
          </w:p>
        </w:tc>
      </w:tr>
      <w:tr>
        <w:tblPrEx>
          <w:tblCellMar>
            <w:top w:w="0" w:type="dxa"/>
            <w:left w:w="108" w:type="dxa"/>
            <w:bottom w:w="0" w:type="dxa"/>
            <w:right w:w="108" w:type="dxa"/>
          </w:tblCellMar>
        </w:tblPrEx>
        <w:trPr>
          <w:trHeight w:val="495"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19</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投标有效期</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从投标截止之日起90日历天</w:t>
            </w:r>
          </w:p>
        </w:tc>
      </w:tr>
      <w:tr>
        <w:tblPrEx>
          <w:tblCellMar>
            <w:top w:w="0" w:type="dxa"/>
            <w:left w:w="108" w:type="dxa"/>
            <w:bottom w:w="0" w:type="dxa"/>
            <w:right w:w="108" w:type="dxa"/>
          </w:tblCellMar>
        </w:tblPrEx>
        <w:trPr>
          <w:trHeight w:val="602"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20</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资格审查方式</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资格后审</w:t>
            </w:r>
          </w:p>
        </w:tc>
      </w:tr>
      <w:tr>
        <w:tblPrEx>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21</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是否允许递交</w:t>
            </w:r>
          </w:p>
          <w:p>
            <w:pPr>
              <w:jc w:val="center"/>
              <w:rPr>
                <w:rFonts w:hint="eastAsia" w:ascii="宋体" w:hAnsi="宋体"/>
                <w:kern w:val="0"/>
                <w:sz w:val="24"/>
                <w:szCs w:val="24"/>
              </w:rPr>
            </w:pPr>
            <w:r>
              <w:rPr>
                <w:rFonts w:hint="eastAsia" w:ascii="宋体" w:hAnsi="宋体"/>
                <w:kern w:val="0"/>
                <w:sz w:val="24"/>
                <w:szCs w:val="24"/>
              </w:rPr>
              <w:t>备选投标方案</w:t>
            </w:r>
          </w:p>
        </w:tc>
        <w:tc>
          <w:tcPr>
            <w:tcW w:w="6625" w:type="dxa"/>
            <w:tcBorders>
              <w:top w:val="single" w:color="auto" w:sz="4" w:space="0"/>
              <w:left w:val="nil"/>
              <w:bottom w:val="single" w:color="auto" w:sz="4" w:space="0"/>
              <w:right w:val="single" w:color="auto" w:sz="4" w:space="0"/>
            </w:tcBorders>
            <w:noWrap w:val="0"/>
            <w:vAlign w:val="center"/>
          </w:tcPr>
          <w:p>
            <w:pPr>
              <w:pStyle w:val="7"/>
              <w:topLinePunct/>
              <w:jc w:val="left"/>
              <w:rPr>
                <w:rFonts w:hint="eastAsia" w:ascii="宋体" w:hAnsi="宋体" w:eastAsia="宋体" w:cs="宋体"/>
                <w:lang w:val="en-US" w:eastAsia="zh-CN"/>
              </w:rPr>
            </w:pPr>
            <w:r>
              <w:rPr>
                <w:rFonts w:hint="eastAsia" w:ascii="宋体" w:hAnsi="宋体" w:eastAsia="宋体" w:cs="宋体"/>
                <w:b w:val="0"/>
                <w:bCs w:val="0"/>
                <w:sz w:val="24"/>
                <w:szCs w:val="24"/>
                <w:lang w:val="en-US" w:eastAsia="zh-CN"/>
              </w:rPr>
              <w:t>不允许</w:t>
            </w:r>
          </w:p>
        </w:tc>
      </w:tr>
      <w:tr>
        <w:tblPrEx>
          <w:tblCellMar>
            <w:top w:w="0" w:type="dxa"/>
            <w:left w:w="108" w:type="dxa"/>
            <w:bottom w:w="0" w:type="dxa"/>
            <w:right w:w="108" w:type="dxa"/>
          </w:tblCellMar>
        </w:tblPrEx>
        <w:trPr>
          <w:trHeight w:val="515"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22</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签字或盖章要求</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按本竞争性磋商文件规定</w:t>
            </w:r>
          </w:p>
        </w:tc>
      </w:tr>
      <w:tr>
        <w:tblPrEx>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23</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竞争性磋商</w:t>
            </w:r>
          </w:p>
          <w:p>
            <w:pPr>
              <w:jc w:val="center"/>
              <w:rPr>
                <w:rFonts w:hint="eastAsia" w:ascii="宋体" w:hAnsi="宋体"/>
                <w:kern w:val="0"/>
                <w:sz w:val="24"/>
                <w:szCs w:val="24"/>
              </w:rPr>
            </w:pPr>
            <w:r>
              <w:rPr>
                <w:rFonts w:hint="eastAsia" w:ascii="宋体" w:hAnsi="宋体"/>
                <w:kern w:val="0"/>
                <w:sz w:val="24"/>
                <w:szCs w:val="24"/>
              </w:rPr>
              <w:t>响应文件份数</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olor w:val="1F497D"/>
                <w:kern w:val="0"/>
                <w:sz w:val="24"/>
                <w:szCs w:val="24"/>
              </w:rPr>
            </w:pPr>
            <w:r>
              <w:rPr>
                <w:rFonts w:hint="eastAsia" w:ascii="宋体" w:hAnsi="宋体"/>
                <w:sz w:val="24"/>
                <w:szCs w:val="24"/>
              </w:rPr>
              <w:t>正本</w:t>
            </w:r>
            <w:r>
              <w:rPr>
                <w:rFonts w:hint="eastAsia" w:ascii="宋体" w:hAnsi="宋体"/>
                <w:sz w:val="24"/>
                <w:szCs w:val="24"/>
                <w:u w:val="single"/>
              </w:rPr>
              <w:t xml:space="preserve"> 1 </w:t>
            </w:r>
            <w:r>
              <w:rPr>
                <w:rFonts w:hint="eastAsia" w:ascii="宋体" w:hAnsi="宋体"/>
                <w:sz w:val="24"/>
                <w:szCs w:val="24"/>
              </w:rPr>
              <w:t>份，副本</w:t>
            </w:r>
            <w:r>
              <w:rPr>
                <w:rFonts w:hint="eastAsia" w:ascii="宋体" w:hAnsi="宋体"/>
                <w:sz w:val="24"/>
                <w:szCs w:val="24"/>
                <w:u w:val="single"/>
              </w:rPr>
              <w:t xml:space="preserve"> 4 </w:t>
            </w:r>
            <w:r>
              <w:rPr>
                <w:rFonts w:hint="eastAsia" w:ascii="宋体" w:hAnsi="宋体"/>
                <w:sz w:val="24"/>
                <w:szCs w:val="24"/>
              </w:rPr>
              <w:t>份，电子版投标文件优盘壹份。</w:t>
            </w:r>
          </w:p>
        </w:tc>
      </w:tr>
      <w:tr>
        <w:tblPrEx>
          <w:tblCellMar>
            <w:top w:w="0" w:type="dxa"/>
            <w:left w:w="108" w:type="dxa"/>
            <w:bottom w:w="0" w:type="dxa"/>
            <w:right w:w="108" w:type="dxa"/>
          </w:tblCellMar>
        </w:tblPrEx>
        <w:trPr>
          <w:trHeight w:val="456"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24</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bCs/>
                <w:kern w:val="0"/>
                <w:sz w:val="24"/>
                <w:szCs w:val="24"/>
              </w:rPr>
            </w:pPr>
            <w:r>
              <w:rPr>
                <w:rFonts w:hint="eastAsia" w:ascii="宋体" w:hAnsi="宋体"/>
                <w:kern w:val="0"/>
                <w:sz w:val="24"/>
                <w:szCs w:val="24"/>
              </w:rPr>
              <w:t>递交竞争性磋商响应文件地点及截止时间</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磋商时间：</w:t>
            </w:r>
            <w:r>
              <w:rPr>
                <w:rFonts w:hint="eastAsia" w:ascii="宋体" w:hAnsi="宋体"/>
                <w:sz w:val="24"/>
                <w:szCs w:val="24"/>
              </w:rPr>
              <w:t>2022年</w:t>
            </w:r>
            <w:r>
              <w:rPr>
                <w:rFonts w:hint="eastAsia" w:ascii="宋体" w:hAnsi="宋体"/>
                <w:sz w:val="24"/>
                <w:szCs w:val="24"/>
                <w:lang w:val="en-US" w:eastAsia="zh-CN"/>
              </w:rPr>
              <w:t>06</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sz w:val="24"/>
                <w:szCs w:val="24"/>
                <w:lang w:val="en-US" w:eastAsia="zh-CN"/>
              </w:rPr>
              <w:t>15</w:t>
            </w:r>
            <w:r>
              <w:rPr>
                <w:rFonts w:hint="eastAsia" w:ascii="宋体" w:hAnsi="宋体"/>
                <w:sz w:val="24"/>
                <w:szCs w:val="24"/>
              </w:rPr>
              <w:t>时 00 分</w:t>
            </w:r>
          </w:p>
          <w:p>
            <w:pPr>
              <w:widowControl/>
              <w:jc w:val="left"/>
              <w:rPr>
                <w:rFonts w:hint="eastAsia" w:ascii="宋体" w:hAnsi="宋体"/>
                <w:b/>
                <w:bCs/>
                <w:kern w:val="0"/>
                <w:sz w:val="24"/>
                <w:szCs w:val="24"/>
              </w:rPr>
            </w:pPr>
            <w:r>
              <w:rPr>
                <w:rFonts w:hint="eastAsia" w:ascii="宋体" w:hAnsi="宋体"/>
                <w:kern w:val="0"/>
                <w:sz w:val="24"/>
                <w:szCs w:val="24"/>
              </w:rPr>
              <w:t xml:space="preserve">磋商地点：淮南经济技术开发区政务中心B楼七楼开标室 </w:t>
            </w:r>
          </w:p>
        </w:tc>
      </w:tr>
      <w:tr>
        <w:tblPrEx>
          <w:tblCellMar>
            <w:top w:w="0" w:type="dxa"/>
            <w:left w:w="108" w:type="dxa"/>
            <w:bottom w:w="0" w:type="dxa"/>
            <w:right w:w="108" w:type="dxa"/>
          </w:tblCellMar>
        </w:tblPrEx>
        <w:trPr>
          <w:trHeight w:val="448"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25</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是否退还</w:t>
            </w:r>
          </w:p>
          <w:p>
            <w:pPr>
              <w:jc w:val="center"/>
              <w:rPr>
                <w:rFonts w:hint="eastAsia" w:ascii="宋体" w:hAnsi="宋体"/>
                <w:kern w:val="0"/>
                <w:sz w:val="24"/>
                <w:szCs w:val="24"/>
              </w:rPr>
            </w:pPr>
            <w:r>
              <w:rPr>
                <w:rFonts w:hint="eastAsia" w:ascii="宋体" w:hAnsi="宋体"/>
                <w:kern w:val="0"/>
                <w:sz w:val="24"/>
                <w:szCs w:val="24"/>
              </w:rPr>
              <w:t>竞争性磋商响应文件</w:t>
            </w:r>
          </w:p>
        </w:tc>
        <w:tc>
          <w:tcPr>
            <w:tcW w:w="6625" w:type="dxa"/>
            <w:tcBorders>
              <w:top w:val="single" w:color="auto" w:sz="4" w:space="0"/>
              <w:left w:val="nil"/>
              <w:bottom w:val="single" w:color="auto" w:sz="4" w:space="0"/>
              <w:right w:val="single" w:color="auto" w:sz="4" w:space="0"/>
            </w:tcBorders>
            <w:noWrap w:val="0"/>
            <w:vAlign w:val="center"/>
          </w:tcPr>
          <w:p>
            <w:pPr>
              <w:pStyle w:val="7"/>
              <w:topLinePunct/>
              <w:jc w:val="left"/>
              <w:rPr>
                <w:rFonts w:hint="eastAsia" w:ascii="宋体" w:hAnsi="宋体" w:eastAsia="宋体" w:cs="宋体"/>
                <w:lang w:val="en-US" w:eastAsia="zh-CN"/>
              </w:rPr>
            </w:pPr>
            <w:r>
              <w:rPr>
                <w:rFonts w:hint="eastAsia" w:ascii="宋体" w:hAnsi="宋体" w:eastAsia="宋体" w:cs="宋体"/>
                <w:b w:val="0"/>
                <w:bCs w:val="0"/>
                <w:sz w:val="24"/>
                <w:szCs w:val="24"/>
                <w:lang w:val="en-US" w:eastAsia="zh-CN"/>
              </w:rPr>
              <w:t>否</w:t>
            </w:r>
          </w:p>
        </w:tc>
      </w:tr>
      <w:tr>
        <w:tblPrEx>
          <w:tblCellMar>
            <w:top w:w="0" w:type="dxa"/>
            <w:left w:w="108" w:type="dxa"/>
            <w:bottom w:w="0" w:type="dxa"/>
            <w:right w:w="108" w:type="dxa"/>
          </w:tblCellMar>
        </w:tblPrEx>
        <w:trPr>
          <w:trHeight w:val="146"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26</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开标程序</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sz w:val="24"/>
                <w:szCs w:val="24"/>
              </w:rPr>
              <w:t>1、密封情况检查：</w:t>
            </w:r>
            <w:r>
              <w:rPr>
                <w:rFonts w:hint="eastAsia" w:ascii="宋体" w:hAnsi="宋体"/>
                <w:kern w:val="0"/>
                <w:sz w:val="24"/>
                <w:szCs w:val="24"/>
              </w:rPr>
              <w:t>所有投标单位和招标人检查响应性文件的密封情况</w:t>
            </w:r>
          </w:p>
          <w:p>
            <w:pPr>
              <w:jc w:val="left"/>
              <w:rPr>
                <w:rFonts w:hint="eastAsia" w:ascii="宋体" w:hAnsi="宋体"/>
                <w:kern w:val="0"/>
                <w:sz w:val="24"/>
                <w:szCs w:val="24"/>
              </w:rPr>
            </w:pPr>
            <w:r>
              <w:rPr>
                <w:rFonts w:hint="eastAsia" w:ascii="宋体" w:hAnsi="宋体"/>
                <w:sz w:val="24"/>
                <w:szCs w:val="24"/>
              </w:rPr>
              <w:t>2、开标顺序：</w:t>
            </w:r>
            <w:r>
              <w:rPr>
                <w:rFonts w:hint="eastAsia" w:ascii="宋体" w:hAnsi="宋体"/>
                <w:kern w:val="0"/>
                <w:sz w:val="24"/>
                <w:szCs w:val="24"/>
              </w:rPr>
              <w:t>按递交响应性文件时间顺序</w:t>
            </w:r>
          </w:p>
        </w:tc>
      </w:tr>
      <w:tr>
        <w:tblPrEx>
          <w:tblCellMar>
            <w:top w:w="0" w:type="dxa"/>
            <w:left w:w="108" w:type="dxa"/>
            <w:bottom w:w="0" w:type="dxa"/>
            <w:right w:w="108" w:type="dxa"/>
          </w:tblCellMar>
        </w:tblPrEx>
        <w:trPr>
          <w:trHeight w:val="1261"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27</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评标委员会的组建</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评标委员会构成：3人或以上单数，其中经济、技术等方面的专家不少于成员总数的三分之二</w:t>
            </w:r>
          </w:p>
          <w:p>
            <w:pPr>
              <w:jc w:val="left"/>
              <w:rPr>
                <w:rFonts w:hint="eastAsia" w:ascii="宋体" w:hAnsi="宋体"/>
                <w:kern w:val="0"/>
                <w:sz w:val="24"/>
                <w:szCs w:val="24"/>
              </w:rPr>
            </w:pPr>
            <w:r>
              <w:rPr>
                <w:rFonts w:hint="eastAsia" w:ascii="宋体" w:hAnsi="宋体"/>
                <w:kern w:val="0"/>
                <w:sz w:val="24"/>
                <w:szCs w:val="24"/>
              </w:rPr>
              <w:t>评标专家确定方式：安徽省评标专家库中成员</w:t>
            </w:r>
          </w:p>
        </w:tc>
      </w:tr>
      <w:tr>
        <w:tblPrEx>
          <w:tblCellMar>
            <w:top w:w="0" w:type="dxa"/>
            <w:left w:w="108" w:type="dxa"/>
            <w:bottom w:w="0" w:type="dxa"/>
            <w:right w:w="108" w:type="dxa"/>
          </w:tblCellMar>
        </w:tblPrEx>
        <w:trPr>
          <w:trHeight w:val="694"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28</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是否授权评标委员会推荐成交供应商</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b/>
                <w:bCs/>
                <w:kern w:val="0"/>
                <w:sz w:val="24"/>
                <w:szCs w:val="24"/>
              </w:rPr>
            </w:pPr>
            <w:r>
              <w:rPr>
                <w:rFonts w:hint="eastAsia" w:ascii="宋体" w:hAnsi="宋体"/>
                <w:kern w:val="0"/>
                <w:sz w:val="24"/>
                <w:szCs w:val="24"/>
              </w:rPr>
              <w:t>是</w:t>
            </w:r>
          </w:p>
        </w:tc>
      </w:tr>
      <w:tr>
        <w:tblPrEx>
          <w:tblCellMar>
            <w:top w:w="0" w:type="dxa"/>
            <w:left w:w="108" w:type="dxa"/>
            <w:bottom w:w="0" w:type="dxa"/>
            <w:right w:w="108" w:type="dxa"/>
          </w:tblCellMar>
        </w:tblPrEx>
        <w:trPr>
          <w:trHeight w:val="694"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29</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履约保证金</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履约保证金数额：中标价的2%（人民币）</w:t>
            </w:r>
          </w:p>
          <w:p>
            <w:pPr>
              <w:jc w:val="left"/>
              <w:rPr>
                <w:rFonts w:hint="eastAsia" w:ascii="宋体" w:hAnsi="宋体"/>
                <w:kern w:val="0"/>
                <w:sz w:val="24"/>
                <w:szCs w:val="24"/>
              </w:rPr>
            </w:pPr>
            <w:r>
              <w:rPr>
                <w:rFonts w:hint="eastAsia" w:ascii="宋体" w:hAnsi="宋体"/>
                <w:kern w:val="0"/>
                <w:sz w:val="24"/>
                <w:szCs w:val="24"/>
              </w:rPr>
              <w:t>履约保证金提交时间：中标单位与业主单位签订合同前提交。具体收款单位及账号信息：由业主单位提供。</w:t>
            </w:r>
          </w:p>
          <w:p>
            <w:pPr>
              <w:jc w:val="left"/>
              <w:rPr>
                <w:rFonts w:hint="eastAsia" w:ascii="宋体" w:hAnsi="宋体"/>
                <w:kern w:val="0"/>
                <w:sz w:val="24"/>
                <w:szCs w:val="24"/>
              </w:rPr>
            </w:pPr>
            <w:r>
              <w:rPr>
                <w:rFonts w:hint="eastAsia" w:ascii="宋体" w:hAnsi="宋体"/>
                <w:kern w:val="0"/>
                <w:sz w:val="24"/>
                <w:szCs w:val="24"/>
              </w:rPr>
              <w:t>方案评审工作结束后无息退还。</w:t>
            </w:r>
          </w:p>
        </w:tc>
      </w:tr>
      <w:tr>
        <w:tblPrEx>
          <w:tblCellMar>
            <w:top w:w="0" w:type="dxa"/>
            <w:left w:w="108" w:type="dxa"/>
            <w:bottom w:w="0" w:type="dxa"/>
            <w:right w:w="108" w:type="dxa"/>
          </w:tblCellMar>
        </w:tblPrEx>
        <w:trPr>
          <w:trHeight w:val="520"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30</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olor w:val="000000"/>
                <w:kern w:val="0"/>
                <w:sz w:val="24"/>
                <w:szCs w:val="24"/>
              </w:rPr>
            </w:pPr>
            <w:r>
              <w:rPr>
                <w:rFonts w:hint="eastAsia" w:ascii="宋体" w:hAnsi="宋体"/>
                <w:color w:val="000000"/>
                <w:kern w:val="0"/>
                <w:sz w:val="24"/>
                <w:szCs w:val="24"/>
              </w:rPr>
              <w:t>付款方式</w:t>
            </w:r>
          </w:p>
        </w:tc>
        <w:tc>
          <w:tcPr>
            <w:tcW w:w="6625" w:type="dxa"/>
            <w:tcBorders>
              <w:top w:val="single" w:color="auto" w:sz="4" w:space="0"/>
              <w:left w:val="nil"/>
              <w:bottom w:val="single" w:color="auto" w:sz="4" w:space="0"/>
              <w:right w:val="single" w:color="auto" w:sz="4" w:space="0"/>
            </w:tcBorders>
            <w:noWrap w:val="0"/>
            <w:vAlign w:val="center"/>
          </w:tcPr>
          <w:p>
            <w:pPr>
              <w:rPr>
                <w:rFonts w:hint="eastAsia" w:cs="Times New Roman"/>
                <w:sz w:val="24"/>
                <w:szCs w:val="24"/>
              </w:rPr>
            </w:pPr>
            <w:r>
              <w:rPr>
                <w:rFonts w:hint="eastAsia" w:ascii="宋体" w:hAnsi="宋体"/>
                <w:kern w:val="0"/>
                <w:sz w:val="24"/>
                <w:szCs w:val="24"/>
              </w:rPr>
              <w:t xml:space="preserve">规划方案评审通过后支付合同价的70%，余款待项目申报工作结束后一次性支付（无息）。               </w:t>
            </w:r>
            <w:r>
              <w:rPr>
                <w:rFonts w:hint="eastAsia" w:cs="Times New Roman"/>
                <w:color w:val="0000FF"/>
                <w:sz w:val="24"/>
                <w:szCs w:val="24"/>
              </w:rPr>
              <w:t xml:space="preserve">       </w:t>
            </w:r>
            <w:r>
              <w:rPr>
                <w:rFonts w:hint="eastAsia" w:cs="Times New Roman"/>
                <w:sz w:val="24"/>
                <w:szCs w:val="24"/>
              </w:rPr>
              <w:t xml:space="preserve">  </w:t>
            </w:r>
          </w:p>
        </w:tc>
      </w:tr>
      <w:tr>
        <w:tblPrEx>
          <w:tblCellMar>
            <w:top w:w="0" w:type="dxa"/>
            <w:left w:w="108" w:type="dxa"/>
            <w:bottom w:w="0" w:type="dxa"/>
            <w:right w:w="108" w:type="dxa"/>
          </w:tblCellMar>
        </w:tblPrEx>
        <w:trPr>
          <w:trHeight w:val="516"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31</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其他要求</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本竞争性磋商文件解释权归采购人所有。</w:t>
            </w:r>
          </w:p>
        </w:tc>
      </w:tr>
      <w:tr>
        <w:tblPrEx>
          <w:tblCellMar>
            <w:top w:w="0" w:type="dxa"/>
            <w:left w:w="108" w:type="dxa"/>
            <w:bottom w:w="0" w:type="dxa"/>
            <w:right w:w="108" w:type="dxa"/>
          </w:tblCellMar>
        </w:tblPrEx>
        <w:trPr>
          <w:trHeight w:val="616" w:hRule="atLeast"/>
          <w:jc w:val="center"/>
        </w:trPr>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32</w:t>
            </w:r>
          </w:p>
        </w:tc>
        <w:tc>
          <w:tcPr>
            <w:tcW w:w="2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kern w:val="0"/>
                <w:sz w:val="24"/>
                <w:szCs w:val="24"/>
              </w:rPr>
            </w:pPr>
            <w:r>
              <w:rPr>
                <w:rFonts w:hint="eastAsia" w:ascii="宋体" w:hAnsi="宋体"/>
                <w:kern w:val="0"/>
                <w:sz w:val="24"/>
                <w:szCs w:val="24"/>
              </w:rPr>
              <w:t>代理服务费</w:t>
            </w:r>
          </w:p>
        </w:tc>
        <w:tc>
          <w:tcPr>
            <w:tcW w:w="662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本项目中标服务费由中标单位在中标通知书时一次性支付。</w:t>
            </w:r>
          </w:p>
          <w:p>
            <w:pPr>
              <w:jc w:val="left"/>
              <w:rPr>
                <w:rFonts w:hint="eastAsia" w:ascii="宋体" w:hAnsi="宋体"/>
                <w:kern w:val="0"/>
                <w:sz w:val="24"/>
                <w:szCs w:val="24"/>
              </w:rPr>
            </w:pPr>
            <w:r>
              <w:rPr>
                <w:rFonts w:hint="eastAsia" w:ascii="宋体" w:hAnsi="宋体"/>
                <w:kern w:val="0"/>
                <w:sz w:val="24"/>
                <w:szCs w:val="24"/>
              </w:rPr>
              <w:t>招标代理服务费：按国家计委《招标代理服务收费管理暂行办法》（计价格[2002]1980号）文件收费标准收取，不足叁仟元按叁仟元计取，另专家评审费以实际支付为准（不提供发票）。</w:t>
            </w:r>
          </w:p>
        </w:tc>
      </w:tr>
      <w:tr>
        <w:tblPrEx>
          <w:tblCellMar>
            <w:top w:w="0" w:type="dxa"/>
            <w:left w:w="108" w:type="dxa"/>
            <w:bottom w:w="0" w:type="dxa"/>
            <w:right w:w="108" w:type="dxa"/>
          </w:tblCellMar>
        </w:tblPrEx>
        <w:trPr>
          <w:trHeight w:val="616" w:hRule="atLeast"/>
          <w:jc w:val="center"/>
        </w:trPr>
        <w:tc>
          <w:tcPr>
            <w:tcW w:w="9933"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kern w:val="0"/>
                <w:sz w:val="24"/>
                <w:szCs w:val="24"/>
              </w:rPr>
            </w:pPr>
            <w:r>
              <w:rPr>
                <w:rFonts w:hint="eastAsia" w:ascii="宋体" w:hAnsi="宋体"/>
                <w:kern w:val="0"/>
                <w:sz w:val="24"/>
                <w:szCs w:val="24"/>
              </w:rPr>
              <w:t>注：竞争性磋商文件中如有与磋商须知前附表不一致之处，以磋商须知前附表为准。</w:t>
            </w:r>
          </w:p>
        </w:tc>
      </w:tr>
    </w:tbl>
    <w:p>
      <w:pPr>
        <w:pStyle w:val="2"/>
        <w:rPr>
          <w:rFonts w:hint="eastAsia" w:hAnsi="宋体"/>
        </w:rPr>
      </w:pPr>
    </w:p>
    <w:p>
      <w:pPr>
        <w:rPr>
          <w:rFonts w:hint="eastAsia" w:ascii="宋体" w:hAnsi="宋体"/>
        </w:rPr>
      </w:pPr>
    </w:p>
    <w:p>
      <w:pPr>
        <w:pStyle w:val="5"/>
        <w:numPr>
          <w:ilvl w:val="0"/>
          <w:numId w:val="3"/>
        </w:numPr>
        <w:spacing w:line="240" w:lineRule="atLeast"/>
        <w:ind w:firstLine="0"/>
        <w:rPr>
          <w:rFonts w:hint="eastAsia" w:ascii="宋体" w:hAnsi="宋体" w:eastAsia="宋体"/>
          <w:highlight w:val="white"/>
        </w:rPr>
      </w:pPr>
      <w:r>
        <w:rPr>
          <w:rFonts w:hint="eastAsia" w:ascii="宋体" w:hAnsi="宋体" w:eastAsia="宋体"/>
          <w:highlight w:val="white"/>
        </w:rPr>
        <w:t>采购需求</w:t>
      </w:r>
    </w:p>
    <w:p>
      <w:pPr>
        <w:adjustRightInd w:val="0"/>
        <w:snapToGrid w:val="0"/>
        <w:spacing w:line="360" w:lineRule="auto"/>
        <w:ind w:right="-10"/>
        <w:rPr>
          <w:rFonts w:hint="eastAsia" w:ascii="宋体" w:hAnsi="宋体" w:eastAsia="宋体"/>
          <w:sz w:val="24"/>
          <w:szCs w:val="24"/>
          <w:highlight w:val="white"/>
          <w:lang w:eastAsia="zh-CN"/>
        </w:rPr>
      </w:pPr>
      <w:r>
        <w:rPr>
          <w:rFonts w:hint="eastAsia" w:ascii="宋体" w:hAnsi="宋体"/>
          <w:sz w:val="24"/>
          <w:szCs w:val="24"/>
          <w:highlight w:val="white"/>
        </w:rPr>
        <w:t>一、项目名称：淮南农场有限公司林网规划设计</w:t>
      </w:r>
      <w:r>
        <w:rPr>
          <w:rFonts w:hint="eastAsia" w:ascii="宋体" w:hAnsi="宋体"/>
          <w:sz w:val="24"/>
          <w:szCs w:val="24"/>
          <w:highlight w:val="white"/>
          <w:lang w:eastAsia="zh-CN"/>
        </w:rPr>
        <w:t>项目</w:t>
      </w:r>
    </w:p>
    <w:p>
      <w:pPr>
        <w:adjustRightInd w:val="0"/>
        <w:snapToGrid w:val="0"/>
        <w:spacing w:line="360" w:lineRule="auto"/>
        <w:ind w:right="-10"/>
        <w:rPr>
          <w:rFonts w:hint="eastAsia" w:ascii="宋体" w:hAnsi="宋体"/>
          <w:sz w:val="24"/>
          <w:szCs w:val="24"/>
          <w:highlight w:val="white"/>
        </w:rPr>
      </w:pPr>
      <w:r>
        <w:rPr>
          <w:rFonts w:hint="eastAsia" w:ascii="宋体" w:hAnsi="宋体"/>
          <w:sz w:val="24"/>
          <w:szCs w:val="24"/>
          <w:highlight w:val="white"/>
        </w:rPr>
        <w:t>二、服务内容：淮南农场范围内的林网规划设计编制工作，包含方案评审报批、设计概算编制、可研编制、环评配合、造价咨询配合等设计内容。</w:t>
      </w:r>
    </w:p>
    <w:p>
      <w:pPr>
        <w:adjustRightInd w:val="0"/>
        <w:snapToGrid w:val="0"/>
        <w:spacing w:line="360" w:lineRule="auto"/>
        <w:ind w:right="-10"/>
        <w:rPr>
          <w:rFonts w:hint="eastAsia" w:ascii="宋体" w:hAnsi="宋体"/>
          <w:sz w:val="24"/>
          <w:szCs w:val="24"/>
          <w:highlight w:val="white"/>
        </w:rPr>
      </w:pPr>
      <w:r>
        <w:rPr>
          <w:rFonts w:hint="eastAsia" w:ascii="宋体" w:hAnsi="宋体"/>
          <w:sz w:val="24"/>
          <w:szCs w:val="24"/>
          <w:highlight w:val="white"/>
        </w:rPr>
        <w:t>三、服务期：20日历天。因中标人原因造成工期延误，每拖延一天支付1000元/天违约金，因甲方原因所造成的设计工期延误，工期予以顺延，但延期造成的损失甲方不予承担。</w:t>
      </w:r>
    </w:p>
    <w:p>
      <w:pPr>
        <w:adjustRightInd w:val="0"/>
        <w:snapToGrid w:val="0"/>
        <w:spacing w:line="360" w:lineRule="auto"/>
        <w:ind w:right="-10"/>
        <w:rPr>
          <w:rFonts w:hint="eastAsia" w:ascii="宋体" w:hAnsi="宋体"/>
          <w:sz w:val="24"/>
          <w:szCs w:val="24"/>
          <w:highlight w:val="white"/>
        </w:rPr>
      </w:pPr>
      <w:r>
        <w:rPr>
          <w:rFonts w:hint="eastAsia" w:ascii="宋体" w:hAnsi="宋体"/>
          <w:sz w:val="24"/>
          <w:szCs w:val="24"/>
          <w:highlight w:val="white"/>
        </w:rPr>
        <w:t>四、其他要求：</w:t>
      </w:r>
    </w:p>
    <w:p>
      <w:pPr>
        <w:adjustRightInd w:val="0"/>
        <w:snapToGrid w:val="0"/>
        <w:spacing w:line="360" w:lineRule="auto"/>
        <w:ind w:right="-10"/>
        <w:rPr>
          <w:rFonts w:hint="eastAsia" w:ascii="宋体" w:hAnsi="宋体"/>
          <w:b/>
          <w:bCs/>
          <w:sz w:val="32"/>
          <w:szCs w:val="32"/>
          <w:highlight w:val="white"/>
        </w:rPr>
      </w:pPr>
      <w:r>
        <w:rPr>
          <w:rFonts w:hint="eastAsia" w:ascii="宋体" w:hAnsi="宋体"/>
          <w:sz w:val="24"/>
          <w:szCs w:val="24"/>
          <w:highlight w:val="white"/>
        </w:rPr>
        <w:t xml:space="preserve">付款方式：规划方案评审通过后支付合同价的70%，余款待项目申报工作结束后一次性支付（无息）。 </w:t>
      </w:r>
      <w:r>
        <w:rPr>
          <w:rFonts w:hint="eastAsia"/>
          <w:sz w:val="24"/>
          <w:szCs w:val="24"/>
        </w:rPr>
        <w:t xml:space="preserve"> </w:t>
      </w:r>
    </w:p>
    <w:p>
      <w:pPr>
        <w:pStyle w:val="3"/>
        <w:rPr>
          <w:rFonts w:hint="eastAsia" w:ascii="宋体" w:hAnsi="宋体"/>
          <w:b/>
          <w:bCs/>
          <w:sz w:val="32"/>
          <w:szCs w:val="32"/>
          <w:highlight w:val="white"/>
        </w:rPr>
      </w:pPr>
    </w:p>
    <w:p>
      <w:pPr>
        <w:spacing w:line="500" w:lineRule="exact"/>
        <w:ind w:firstLine="2891" w:firstLineChars="900"/>
        <w:rPr>
          <w:rFonts w:hint="eastAsia" w:ascii="宋体" w:hAnsi="宋体"/>
          <w:sz w:val="24"/>
          <w:szCs w:val="24"/>
        </w:rPr>
      </w:pPr>
      <w:r>
        <w:rPr>
          <w:rFonts w:hint="eastAsia" w:ascii="宋体" w:hAnsi="宋体"/>
          <w:b/>
          <w:bCs/>
          <w:sz w:val="32"/>
          <w:szCs w:val="32"/>
          <w:highlight w:val="white"/>
        </w:rPr>
        <w:t>第四章 评标办法</w:t>
      </w:r>
      <w:bookmarkStart w:id="52" w:name="EB85e39523cc2b4b9cbf8d23e78c066b7a"/>
      <w:bookmarkEnd w:id="52"/>
    </w:p>
    <w:p>
      <w:pPr>
        <w:adjustRightInd w:val="0"/>
        <w:snapToGrid w:val="0"/>
        <w:spacing w:line="360" w:lineRule="auto"/>
        <w:ind w:right="-21" w:rightChars="-10"/>
        <w:jc w:val="center"/>
        <w:rPr>
          <w:rFonts w:hint="eastAsia" w:ascii="宋体" w:hAnsi="宋体"/>
          <w:b/>
          <w:bCs/>
          <w:sz w:val="24"/>
          <w:szCs w:val="24"/>
        </w:rPr>
      </w:pPr>
      <w:r>
        <w:rPr>
          <w:rFonts w:hint="eastAsia" w:ascii="宋体" w:hAnsi="宋体"/>
          <w:b/>
          <w:bCs/>
          <w:sz w:val="24"/>
          <w:szCs w:val="24"/>
          <w:highlight w:val="white"/>
        </w:rPr>
        <w:t>一．总  则</w:t>
      </w:r>
    </w:p>
    <w:p>
      <w:pPr>
        <w:ind w:firstLine="470" w:firstLineChars="196"/>
        <w:rPr>
          <w:rFonts w:hint="eastAsia" w:ascii="宋体" w:hAnsi="宋体"/>
          <w:sz w:val="24"/>
          <w:szCs w:val="24"/>
          <w:highlight w:val="magenta"/>
        </w:rPr>
      </w:pPr>
      <w:bookmarkStart w:id="53" w:name="EBb8c6178d97f243d29a0aeda120a76b87"/>
      <w:bookmarkEnd w:id="53"/>
    </w:p>
    <w:p>
      <w:pPr>
        <w:adjustRightInd w:val="0"/>
        <w:snapToGrid w:val="0"/>
        <w:spacing w:line="360" w:lineRule="auto"/>
        <w:ind w:right="-10"/>
        <w:rPr>
          <w:rFonts w:hint="eastAsia" w:ascii="宋体" w:hAnsi="宋体"/>
          <w:sz w:val="24"/>
          <w:szCs w:val="24"/>
        </w:rPr>
      </w:pPr>
      <w:bookmarkStart w:id="54" w:name="_Toc144974566"/>
      <w:bookmarkEnd w:id="54"/>
      <w:bookmarkStart w:id="55" w:name="_Toc152042376"/>
      <w:bookmarkEnd w:id="55"/>
      <w:bookmarkStart w:id="56" w:name="_Toc152045599"/>
      <w:bookmarkEnd w:id="56"/>
      <w:bookmarkStart w:id="57" w:name="_Toc381974398"/>
      <w:bookmarkEnd w:id="57"/>
      <w:bookmarkStart w:id="58" w:name="EB3d4af2d507734cbc8a3de65689bb2fcc"/>
      <w:r>
        <w:rPr>
          <w:rFonts w:hint="eastAsia" w:ascii="宋体" w:hAnsi="宋体"/>
          <w:b/>
          <w:bCs/>
          <w:sz w:val="24"/>
          <w:szCs w:val="24"/>
          <w:highlight w:val="white"/>
        </w:rPr>
        <w:t xml:space="preserve">第一条 </w:t>
      </w:r>
      <w:bookmarkEnd w:id="58"/>
      <w:r>
        <w:rPr>
          <w:rFonts w:hint="eastAsia" w:ascii="宋体" w:hAnsi="宋体"/>
          <w:sz w:val="24"/>
          <w:szCs w:val="24"/>
          <w:highlight w:val="white"/>
        </w:rPr>
        <w:t>为了做好</w:t>
      </w:r>
      <w:bookmarkStart w:id="59" w:name="EBefd672fb60444b7ea5efc17f86dd5f95"/>
      <w:bookmarkEnd w:id="59"/>
      <w:r>
        <w:rPr>
          <w:rFonts w:hint="eastAsia" w:ascii="宋体" w:hAnsi="宋体"/>
          <w:b/>
          <w:sz w:val="24"/>
          <w:szCs w:val="24"/>
          <w:u w:val="single"/>
        </w:rPr>
        <w:t xml:space="preserve">  淮南农场有限公司林网规划设计</w:t>
      </w:r>
      <w:r>
        <w:rPr>
          <w:rFonts w:hint="eastAsia" w:ascii="宋体" w:hAnsi="宋体"/>
          <w:b/>
          <w:sz w:val="24"/>
          <w:szCs w:val="24"/>
          <w:u w:val="single"/>
          <w:lang w:eastAsia="zh-CN"/>
        </w:rPr>
        <w:t>项目</w:t>
      </w:r>
      <w:r>
        <w:rPr>
          <w:rFonts w:hint="eastAsia" w:ascii="宋体" w:hAnsi="宋体"/>
          <w:b/>
          <w:sz w:val="24"/>
          <w:szCs w:val="24"/>
          <w:u w:val="single"/>
        </w:rPr>
        <w:t xml:space="preserve"> </w:t>
      </w:r>
      <w:r>
        <w:rPr>
          <w:rFonts w:hint="eastAsia" w:ascii="宋体" w:hAnsi="宋体"/>
          <w:bCs/>
          <w:sz w:val="24"/>
          <w:szCs w:val="24"/>
          <w:u w:val="single"/>
        </w:rPr>
        <w:t xml:space="preserve"> </w:t>
      </w:r>
      <w:r>
        <w:rPr>
          <w:rFonts w:hint="eastAsia" w:ascii="宋体" w:hAnsi="宋体"/>
          <w:sz w:val="24"/>
          <w:szCs w:val="24"/>
          <w:highlight w:val="white"/>
        </w:rPr>
        <w:t>采购评标工作，保证项目评审工作的正常有序进行，维护采购人、磋商供应商的合法权益，依据《中华人民共和国政府采购法》和实施条例及其它相关法律法规，本着公开、公平、公正的原则，制定评标办法。</w:t>
      </w:r>
    </w:p>
    <w:p>
      <w:pPr>
        <w:adjustRightInd w:val="0"/>
        <w:snapToGrid w:val="0"/>
        <w:spacing w:line="360" w:lineRule="auto"/>
        <w:ind w:right="-10"/>
        <w:rPr>
          <w:rFonts w:hint="eastAsia" w:ascii="宋体" w:hAnsi="宋体"/>
          <w:sz w:val="24"/>
          <w:szCs w:val="24"/>
        </w:rPr>
      </w:pPr>
      <w:r>
        <w:rPr>
          <w:rFonts w:hint="eastAsia" w:ascii="宋体" w:hAnsi="宋体"/>
          <w:b/>
          <w:bCs/>
          <w:sz w:val="24"/>
          <w:szCs w:val="24"/>
          <w:highlight w:val="white"/>
        </w:rPr>
        <w:t xml:space="preserve">第二条 </w:t>
      </w:r>
      <w:r>
        <w:rPr>
          <w:rFonts w:hint="eastAsia" w:ascii="宋体" w:hAnsi="宋体"/>
          <w:sz w:val="24"/>
          <w:szCs w:val="24"/>
          <w:highlight w:val="white"/>
        </w:rPr>
        <w:t>本次项目评标采用</w:t>
      </w:r>
      <w:r>
        <w:rPr>
          <w:rFonts w:hint="eastAsia" w:ascii="宋体" w:hAnsi="宋体"/>
          <w:sz w:val="24"/>
          <w:szCs w:val="24"/>
          <w:highlight w:val="white"/>
          <w:u w:val="single"/>
        </w:rPr>
        <w:t>综合评分法</w:t>
      </w:r>
      <w:r>
        <w:rPr>
          <w:rFonts w:hint="eastAsia" w:ascii="宋体" w:hAnsi="宋体"/>
          <w:sz w:val="24"/>
          <w:szCs w:val="24"/>
          <w:highlight w:val="white"/>
        </w:rPr>
        <w:t>作为对磋商供应商响应文件的比较方法。</w:t>
      </w:r>
    </w:p>
    <w:p>
      <w:pPr>
        <w:adjustRightInd w:val="0"/>
        <w:snapToGrid w:val="0"/>
        <w:spacing w:line="360" w:lineRule="auto"/>
        <w:rPr>
          <w:rFonts w:hint="eastAsia" w:ascii="宋体" w:hAnsi="宋体"/>
          <w:sz w:val="24"/>
          <w:szCs w:val="24"/>
        </w:rPr>
      </w:pPr>
      <w:r>
        <w:rPr>
          <w:rFonts w:hint="eastAsia" w:ascii="宋体" w:hAnsi="宋体"/>
          <w:b/>
          <w:bCs/>
          <w:sz w:val="24"/>
          <w:szCs w:val="24"/>
          <w:highlight w:val="white"/>
        </w:rPr>
        <w:t xml:space="preserve">第三条 </w:t>
      </w:r>
      <w:r>
        <w:rPr>
          <w:rFonts w:hint="eastAsia" w:ascii="宋体" w:hAnsi="宋体"/>
          <w:sz w:val="24"/>
          <w:szCs w:val="24"/>
          <w:highlight w:val="white"/>
        </w:rPr>
        <w:t>采购人负责抽取组织不少于</w:t>
      </w:r>
      <w:r>
        <w:rPr>
          <w:rFonts w:hint="eastAsia" w:ascii="宋体" w:hAnsi="宋体"/>
          <w:b/>
          <w:bCs/>
          <w:sz w:val="24"/>
          <w:szCs w:val="24"/>
          <w:highlight w:val="white"/>
          <w:u w:val="single"/>
        </w:rPr>
        <w:t>3</w:t>
      </w:r>
      <w:r>
        <w:rPr>
          <w:rFonts w:hint="eastAsia" w:ascii="宋体" w:hAnsi="宋体"/>
          <w:sz w:val="24"/>
          <w:szCs w:val="24"/>
          <w:highlight w:val="white"/>
        </w:rPr>
        <w:t>人</w:t>
      </w:r>
      <w:r>
        <w:rPr>
          <w:rFonts w:hint="eastAsia" w:ascii="宋体" w:hAnsi="宋体"/>
          <w:sz w:val="24"/>
          <w:szCs w:val="24"/>
        </w:rPr>
        <w:t>（含业主评委）</w:t>
      </w:r>
      <w:r>
        <w:rPr>
          <w:rFonts w:hint="eastAsia" w:ascii="宋体" w:hAnsi="宋体"/>
          <w:sz w:val="24"/>
          <w:szCs w:val="24"/>
          <w:highlight w:val="white"/>
        </w:rPr>
        <w:t>组成的评标委员会（以下简称磋商小组），负责本项目的评标工作。</w:t>
      </w:r>
    </w:p>
    <w:p>
      <w:pPr>
        <w:adjustRightInd w:val="0"/>
        <w:snapToGrid w:val="0"/>
        <w:spacing w:line="360" w:lineRule="auto"/>
        <w:ind w:right="-10"/>
        <w:rPr>
          <w:rFonts w:hint="eastAsia" w:ascii="宋体" w:hAnsi="宋体"/>
          <w:sz w:val="24"/>
          <w:szCs w:val="24"/>
          <w:highlight w:val="white"/>
        </w:rPr>
      </w:pPr>
      <w:r>
        <w:rPr>
          <w:rFonts w:hint="eastAsia" w:ascii="宋体" w:hAnsi="宋体"/>
          <w:b/>
          <w:bCs/>
          <w:sz w:val="24"/>
          <w:szCs w:val="24"/>
          <w:highlight w:val="white"/>
        </w:rPr>
        <w:t xml:space="preserve">第四条 </w:t>
      </w:r>
      <w:r>
        <w:rPr>
          <w:rFonts w:hint="eastAsia" w:ascii="宋体" w:hAnsi="宋体"/>
          <w:sz w:val="24"/>
          <w:szCs w:val="24"/>
          <w:highlight w:val="white"/>
        </w:rPr>
        <w:t>磋商小组按照“客观公正，实事求是”的原则，评价参加本次采购的磋商供应商所提供的质量、服务、价格及对竞争性磋商文件的符合性及响应性。</w:t>
      </w:r>
    </w:p>
    <w:p>
      <w:pPr>
        <w:pStyle w:val="2"/>
        <w:rPr>
          <w:rFonts w:hint="eastAsia" w:hAnsi="宋体" w:cs="宋体"/>
        </w:rPr>
      </w:pPr>
    </w:p>
    <w:p>
      <w:pPr>
        <w:adjustRightInd w:val="0"/>
        <w:snapToGrid w:val="0"/>
        <w:spacing w:line="360" w:lineRule="auto"/>
        <w:ind w:right="-10"/>
        <w:jc w:val="center"/>
        <w:rPr>
          <w:rFonts w:hint="eastAsia" w:ascii="宋体" w:hAnsi="宋体"/>
          <w:sz w:val="24"/>
          <w:szCs w:val="24"/>
        </w:rPr>
      </w:pPr>
      <w:r>
        <w:rPr>
          <w:rFonts w:hint="eastAsia" w:ascii="宋体" w:hAnsi="宋体"/>
          <w:b/>
          <w:bCs/>
          <w:sz w:val="24"/>
          <w:szCs w:val="24"/>
          <w:highlight w:val="white"/>
        </w:rPr>
        <w:t>二．   评标程序及评审细则</w:t>
      </w:r>
    </w:p>
    <w:p>
      <w:pPr>
        <w:adjustRightInd w:val="0"/>
        <w:snapToGrid w:val="0"/>
        <w:spacing w:line="360" w:lineRule="auto"/>
        <w:ind w:right="-10"/>
        <w:rPr>
          <w:rFonts w:hint="eastAsia" w:ascii="宋体" w:hAnsi="宋体"/>
          <w:sz w:val="24"/>
          <w:szCs w:val="24"/>
        </w:rPr>
      </w:pPr>
      <w:r>
        <w:rPr>
          <w:rFonts w:hint="eastAsia" w:ascii="宋体" w:hAnsi="宋体"/>
          <w:b/>
          <w:bCs/>
          <w:sz w:val="24"/>
          <w:szCs w:val="24"/>
          <w:highlight w:val="white"/>
        </w:rPr>
        <w:t>第五条</w:t>
      </w:r>
      <w:r>
        <w:rPr>
          <w:rFonts w:hint="eastAsia" w:ascii="宋体" w:hAnsi="宋体"/>
          <w:sz w:val="24"/>
          <w:szCs w:val="24"/>
          <w:highlight w:val="white"/>
        </w:rPr>
        <w:t xml:space="preserve"> 评标工作于开标后进行。磋商小组应认真研究竞争性磋商文件，至少应了解和熟悉以下内容：</w:t>
      </w:r>
    </w:p>
    <w:p>
      <w:pPr>
        <w:spacing w:line="360" w:lineRule="auto"/>
        <w:ind w:right="-10"/>
        <w:rPr>
          <w:rFonts w:hint="eastAsia" w:ascii="宋体" w:hAnsi="宋体"/>
          <w:sz w:val="24"/>
          <w:szCs w:val="24"/>
        </w:rPr>
      </w:pPr>
      <w:r>
        <w:rPr>
          <w:rFonts w:hint="eastAsia" w:ascii="宋体" w:hAnsi="宋体"/>
          <w:sz w:val="24"/>
          <w:szCs w:val="24"/>
          <w:highlight w:val="white"/>
        </w:rPr>
        <w:t>（一）采购的目标；</w:t>
      </w:r>
    </w:p>
    <w:p>
      <w:pPr>
        <w:spacing w:line="360" w:lineRule="auto"/>
        <w:ind w:right="-10"/>
        <w:rPr>
          <w:rFonts w:hint="eastAsia" w:ascii="宋体" w:hAnsi="宋体"/>
          <w:sz w:val="24"/>
          <w:szCs w:val="24"/>
        </w:rPr>
      </w:pPr>
      <w:r>
        <w:rPr>
          <w:rFonts w:hint="eastAsia" w:ascii="宋体" w:hAnsi="宋体"/>
          <w:sz w:val="24"/>
          <w:szCs w:val="24"/>
          <w:highlight w:val="white"/>
        </w:rPr>
        <w:t>（二）采购项目的范围和性质；</w:t>
      </w:r>
    </w:p>
    <w:p>
      <w:pPr>
        <w:spacing w:line="360" w:lineRule="auto"/>
        <w:ind w:right="-10"/>
        <w:rPr>
          <w:rFonts w:hint="eastAsia" w:ascii="宋体" w:hAnsi="宋体"/>
          <w:sz w:val="24"/>
          <w:szCs w:val="24"/>
        </w:rPr>
      </w:pPr>
      <w:r>
        <w:rPr>
          <w:rFonts w:hint="eastAsia" w:ascii="宋体" w:hAnsi="宋体"/>
          <w:sz w:val="24"/>
          <w:szCs w:val="24"/>
          <w:highlight w:val="white"/>
        </w:rPr>
        <w:t>（三）竞争性磋商文件中规定的主要技术要求、标准和商务条款；</w:t>
      </w:r>
    </w:p>
    <w:p>
      <w:pPr>
        <w:pStyle w:val="23"/>
        <w:adjustRightInd w:val="0"/>
        <w:snapToGrid w:val="0"/>
        <w:spacing w:line="324" w:lineRule="auto"/>
        <w:outlineLvl w:val="9"/>
        <w:rPr>
          <w:rFonts w:hint="eastAsia" w:ascii="宋体" w:hAnsi="宋体"/>
          <w:sz w:val="24"/>
          <w:szCs w:val="24"/>
        </w:rPr>
      </w:pPr>
      <w:r>
        <w:rPr>
          <w:rFonts w:hint="eastAsia" w:ascii="宋体" w:hAnsi="宋体"/>
          <w:sz w:val="24"/>
          <w:szCs w:val="24"/>
          <w:highlight w:val="white"/>
        </w:rPr>
        <w:t>（四）竞争性磋商文件规定的评标标准、评标方法和在评标过程中考虑的相关因素。</w:t>
      </w:r>
      <w:bookmarkStart w:id="60" w:name="_Toc527039458"/>
    </w:p>
    <w:p>
      <w:pPr>
        <w:pStyle w:val="23"/>
        <w:adjustRightInd w:val="0"/>
        <w:snapToGrid w:val="0"/>
        <w:spacing w:line="324" w:lineRule="auto"/>
        <w:outlineLvl w:val="9"/>
        <w:rPr>
          <w:rFonts w:hint="eastAsia" w:hAnsi="宋体" w:cs="宋体"/>
          <w:sz w:val="24"/>
          <w:szCs w:val="24"/>
        </w:rPr>
      </w:pPr>
      <w:r>
        <w:rPr>
          <w:rFonts w:hint="eastAsia" w:ascii="宋体" w:hAnsi="宋体"/>
          <w:sz w:val="24"/>
          <w:szCs w:val="24"/>
          <w:highlight w:val="white"/>
        </w:rPr>
        <w:t xml:space="preserve">    </w:t>
      </w:r>
      <w:r>
        <w:rPr>
          <w:rFonts w:hint="eastAsia" w:hAnsi="宋体" w:cs="宋体"/>
          <w:sz w:val="24"/>
          <w:szCs w:val="24"/>
        </w:rPr>
        <w:t>评标委员会依据磋商文件的规定，采购对响应文件的有效性、完整性和对磋商文件的响应程度进行审查，以确定是否对磋商文件的要求做出实质性响应。未对磋商文件做实质性响应的供应商，不得进入具体磋商程序。</w:t>
      </w:r>
      <w:bookmarkEnd w:id="60"/>
    </w:p>
    <w:p>
      <w:pPr>
        <w:pStyle w:val="23"/>
        <w:adjustRightInd w:val="0"/>
        <w:snapToGrid w:val="0"/>
        <w:spacing w:line="324" w:lineRule="auto"/>
        <w:ind w:firstLine="720" w:firstLineChars="300"/>
        <w:outlineLvl w:val="9"/>
        <w:rPr>
          <w:rFonts w:hint="eastAsia" w:hAnsi="宋体" w:cs="宋体"/>
          <w:sz w:val="24"/>
          <w:szCs w:val="24"/>
        </w:rPr>
      </w:pPr>
      <w:bookmarkStart w:id="61" w:name="_Toc527039459"/>
      <w:r>
        <w:rPr>
          <w:rFonts w:hint="eastAsia" w:hAnsi="宋体" w:cs="宋体"/>
          <w:sz w:val="24"/>
          <w:szCs w:val="24"/>
        </w:rPr>
        <w:t>磋商开始，与供应商谈各项内容：</w:t>
      </w:r>
      <w:bookmarkEnd w:id="61"/>
    </w:p>
    <w:p>
      <w:pPr>
        <w:pStyle w:val="23"/>
        <w:snapToGrid w:val="0"/>
        <w:spacing w:line="324" w:lineRule="auto"/>
        <w:ind w:firstLine="480" w:firstLineChars="200"/>
        <w:outlineLvl w:val="9"/>
        <w:rPr>
          <w:rFonts w:hint="eastAsia" w:hAnsi="宋体" w:cs="宋体"/>
          <w:sz w:val="24"/>
          <w:szCs w:val="24"/>
        </w:rPr>
      </w:pPr>
      <w:bookmarkStart w:id="62" w:name="_Toc527039460"/>
      <w:r>
        <w:rPr>
          <w:rFonts w:hint="eastAsia" w:hAnsi="宋体" w:cs="宋体"/>
          <w:sz w:val="24"/>
          <w:szCs w:val="24"/>
        </w:rPr>
        <w:t>评标委员会所有成员集中与单一供应商按照投标签到先后的磋商次序分别进行磋商。评标委员会可根据供应商的报价，响应内容及磋商的情况，给予每个正在参加磋商的供应商相同的磋商机会。</w:t>
      </w:r>
      <w:bookmarkEnd w:id="62"/>
      <w:bookmarkStart w:id="63" w:name="_Toc527039464"/>
    </w:p>
    <w:p>
      <w:pPr>
        <w:pStyle w:val="23"/>
        <w:snapToGrid w:val="0"/>
        <w:spacing w:line="324" w:lineRule="auto"/>
        <w:ind w:firstLine="482" w:firstLineChars="200"/>
        <w:outlineLvl w:val="9"/>
        <w:rPr>
          <w:rFonts w:hint="eastAsia" w:hAnsi="宋体" w:cs="宋体"/>
          <w:b/>
          <w:bCs/>
          <w:sz w:val="24"/>
          <w:szCs w:val="24"/>
          <w:u w:val="single"/>
        </w:rPr>
      </w:pPr>
      <w:r>
        <w:rPr>
          <w:rFonts w:hint="eastAsia" w:hAnsi="宋体" w:cs="宋体"/>
          <w:b/>
          <w:bCs/>
          <w:sz w:val="24"/>
          <w:szCs w:val="24"/>
          <w:u w:val="single"/>
        </w:rPr>
        <w:t>各供应商进行报价：要求参加磋商的供应商在规定时间内提交最后报价，并由全权代表签章。（二次报价或最终报价不得高于首轮报价）。</w:t>
      </w:r>
      <w:bookmarkEnd w:id="63"/>
    </w:p>
    <w:p>
      <w:pPr>
        <w:spacing w:line="360" w:lineRule="auto"/>
        <w:ind w:right="-10"/>
        <w:rPr>
          <w:rFonts w:hint="eastAsia" w:ascii="宋体" w:hAnsi="宋体"/>
          <w:sz w:val="24"/>
          <w:szCs w:val="24"/>
        </w:rPr>
      </w:pPr>
    </w:p>
    <w:p>
      <w:pPr>
        <w:adjustRightInd w:val="0"/>
        <w:snapToGrid w:val="0"/>
        <w:spacing w:line="360" w:lineRule="auto"/>
        <w:ind w:right="-10"/>
        <w:rPr>
          <w:rFonts w:hint="eastAsia" w:ascii="宋体" w:hAnsi="宋体"/>
          <w:sz w:val="24"/>
          <w:szCs w:val="24"/>
        </w:rPr>
      </w:pPr>
      <w:r>
        <w:rPr>
          <w:rFonts w:hint="eastAsia" w:ascii="宋体" w:hAnsi="宋体"/>
          <w:b/>
          <w:bCs/>
          <w:sz w:val="24"/>
          <w:szCs w:val="24"/>
          <w:highlight w:val="white"/>
        </w:rPr>
        <w:t>第六条</w:t>
      </w:r>
      <w:r>
        <w:rPr>
          <w:rFonts w:hint="eastAsia" w:ascii="宋体" w:hAnsi="宋体"/>
          <w:sz w:val="24"/>
          <w:szCs w:val="24"/>
          <w:highlight w:val="white"/>
        </w:rPr>
        <w:t xml:space="preserve"> 有效投标应符合以下原则：</w:t>
      </w:r>
    </w:p>
    <w:p>
      <w:pPr>
        <w:spacing w:line="360" w:lineRule="auto"/>
        <w:ind w:right="-10"/>
        <w:rPr>
          <w:rFonts w:hint="eastAsia" w:ascii="宋体" w:hAnsi="宋体"/>
          <w:sz w:val="24"/>
          <w:szCs w:val="24"/>
        </w:rPr>
      </w:pPr>
      <w:r>
        <w:rPr>
          <w:rFonts w:hint="eastAsia" w:ascii="宋体" w:hAnsi="宋体"/>
          <w:sz w:val="24"/>
          <w:szCs w:val="24"/>
          <w:highlight w:val="white"/>
        </w:rPr>
        <w:t>（一）满足竞争性磋商文件的实质性要求；</w:t>
      </w:r>
    </w:p>
    <w:p>
      <w:pPr>
        <w:spacing w:line="360" w:lineRule="auto"/>
        <w:ind w:right="-10"/>
        <w:rPr>
          <w:rFonts w:hint="eastAsia" w:ascii="宋体" w:hAnsi="宋体"/>
          <w:sz w:val="24"/>
          <w:szCs w:val="24"/>
        </w:rPr>
      </w:pPr>
      <w:r>
        <w:rPr>
          <w:rFonts w:hint="eastAsia" w:ascii="宋体" w:hAnsi="宋体"/>
          <w:sz w:val="24"/>
          <w:szCs w:val="24"/>
          <w:highlight w:val="white"/>
        </w:rPr>
        <w:t>（二）无重大偏离、保留或采购人不能接受的附加条件；</w:t>
      </w:r>
    </w:p>
    <w:p>
      <w:pPr>
        <w:spacing w:line="360" w:lineRule="auto"/>
        <w:ind w:right="-10"/>
        <w:rPr>
          <w:rFonts w:hint="eastAsia" w:ascii="宋体" w:hAnsi="宋体"/>
          <w:sz w:val="24"/>
          <w:szCs w:val="24"/>
        </w:rPr>
      </w:pPr>
      <w:r>
        <w:rPr>
          <w:rFonts w:hint="eastAsia" w:ascii="宋体" w:hAnsi="宋体"/>
          <w:sz w:val="24"/>
          <w:szCs w:val="24"/>
          <w:highlight w:val="white"/>
        </w:rPr>
        <w:t>（三）通过投标有效性评审；</w:t>
      </w:r>
    </w:p>
    <w:p>
      <w:pPr>
        <w:adjustRightInd w:val="0"/>
        <w:snapToGrid w:val="0"/>
        <w:spacing w:line="360" w:lineRule="auto"/>
        <w:ind w:right="-10"/>
        <w:rPr>
          <w:rFonts w:hint="eastAsia" w:ascii="宋体" w:hAnsi="宋体"/>
          <w:sz w:val="24"/>
          <w:szCs w:val="24"/>
        </w:rPr>
      </w:pPr>
      <w:r>
        <w:rPr>
          <w:rFonts w:hint="eastAsia" w:ascii="宋体" w:hAnsi="宋体"/>
          <w:sz w:val="24"/>
          <w:szCs w:val="24"/>
          <w:highlight w:val="white"/>
        </w:rPr>
        <w:t>（四）磋商小组依据竞争性磋商文件认定的其他原则。</w:t>
      </w:r>
    </w:p>
    <w:p>
      <w:pPr>
        <w:snapToGrid w:val="0"/>
        <w:spacing w:line="324" w:lineRule="auto"/>
        <w:ind w:firstLine="482" w:firstLineChars="200"/>
        <w:rPr>
          <w:rFonts w:hint="eastAsia" w:ascii="宋体" w:hAnsi="宋体"/>
          <w:sz w:val="24"/>
          <w:szCs w:val="24"/>
        </w:rPr>
      </w:pPr>
      <w:r>
        <w:rPr>
          <w:rFonts w:hint="eastAsia" w:ascii="宋体" w:hAnsi="宋体"/>
          <w:b/>
          <w:bCs/>
          <w:sz w:val="24"/>
          <w:szCs w:val="24"/>
          <w:highlight w:val="white"/>
        </w:rPr>
        <w:t xml:space="preserve">第七条 </w:t>
      </w:r>
      <w:r>
        <w:rPr>
          <w:rFonts w:hint="eastAsia" w:ascii="宋体" w:hAnsi="宋体"/>
          <w:sz w:val="24"/>
          <w:szCs w:val="24"/>
          <w:highlight w:val="white"/>
        </w:rPr>
        <w:t>磋商小组对竞争性磋商响应文件独立评审，按照综合评审后得分由高到低的原则确定成交供应商。</w:t>
      </w:r>
    </w:p>
    <w:p>
      <w:pPr>
        <w:snapToGrid w:val="0"/>
        <w:spacing w:line="324" w:lineRule="auto"/>
        <w:ind w:firstLine="482" w:firstLineChars="200"/>
        <w:rPr>
          <w:rFonts w:hint="eastAsia" w:ascii="宋体" w:hAnsi="宋体"/>
          <w:b/>
          <w:bCs/>
          <w:sz w:val="24"/>
        </w:rPr>
      </w:pPr>
      <w:r>
        <w:rPr>
          <w:rFonts w:hint="eastAsia" w:ascii="宋体" w:hAnsi="宋体"/>
          <w:b/>
          <w:bCs/>
          <w:sz w:val="24"/>
        </w:rPr>
        <w:t>供应商实际得分为技术标评审和商务标评审两项得分之和。 评标委员会通过综合打分，评定出供应商排名顺序（从高分到低分），评标委员会按照供应商排名顺序，推荐排名第 1 名的供应商作为唯一中标候选人</w:t>
      </w:r>
    </w:p>
    <w:p>
      <w:pPr>
        <w:adjustRightInd w:val="0"/>
        <w:snapToGrid w:val="0"/>
        <w:spacing w:line="360" w:lineRule="auto"/>
        <w:ind w:right="-10"/>
        <w:rPr>
          <w:rFonts w:hint="eastAsia" w:ascii="宋体" w:hAnsi="宋体"/>
          <w:sz w:val="24"/>
          <w:szCs w:val="24"/>
        </w:rPr>
      </w:pPr>
      <w:r>
        <w:rPr>
          <w:rFonts w:hint="eastAsia" w:ascii="宋体" w:hAnsi="宋体"/>
          <w:b/>
          <w:bCs/>
          <w:sz w:val="24"/>
          <w:szCs w:val="24"/>
          <w:highlight w:val="white"/>
        </w:rPr>
        <w:t xml:space="preserve">第八条 </w:t>
      </w:r>
      <w:r>
        <w:rPr>
          <w:rFonts w:hint="eastAsia" w:ascii="宋体" w:hAnsi="宋体"/>
          <w:sz w:val="24"/>
          <w:szCs w:val="24"/>
          <w:highlight w:val="white"/>
        </w:rPr>
        <w:t>评审中，磋商小组发现磋商供应商的竞争性磋商响应文件中对同类问题表述不一致、前后矛盾、有明显文字和计算错误的内容、有可能不符合竞争性磋商文件规定等情况需要澄清时，磋商小组将以询标的方式告知并要求磋商供应商以书面方式进行必要的澄清、说明或补正。对于询标后判定为不符合竞争性磋商文件的竞争性磋商响应文件，评委要提出充足的否定理由。最终对磋商供应商的评审结论分为通过和未通过。</w:t>
      </w:r>
    </w:p>
    <w:p>
      <w:pPr>
        <w:adjustRightInd w:val="0"/>
        <w:snapToGrid w:val="0"/>
        <w:spacing w:line="360" w:lineRule="auto"/>
        <w:ind w:right="-10"/>
        <w:rPr>
          <w:rFonts w:hint="eastAsia" w:ascii="宋体" w:hAnsi="宋体"/>
          <w:b/>
          <w:bCs/>
          <w:sz w:val="24"/>
          <w:szCs w:val="24"/>
          <w:highlight w:val="white"/>
        </w:rPr>
      </w:pPr>
      <w:r>
        <w:rPr>
          <w:rFonts w:hint="eastAsia" w:ascii="宋体" w:hAnsi="宋体"/>
          <w:b/>
          <w:bCs/>
          <w:sz w:val="24"/>
          <w:szCs w:val="24"/>
          <w:highlight w:val="white"/>
        </w:rPr>
        <w:t>第九条</w:t>
      </w:r>
      <w:r>
        <w:rPr>
          <w:rFonts w:hint="eastAsia" w:ascii="宋体" w:hAnsi="宋体"/>
          <w:sz w:val="24"/>
          <w:szCs w:val="24"/>
          <w:highlight w:val="white"/>
        </w:rPr>
        <w:t xml:space="preserve"> 磋商小组按下表内容进行投标有效性评审。</w:t>
      </w:r>
      <w:r>
        <w:rPr>
          <w:rFonts w:hint="eastAsia" w:ascii="宋体" w:hAnsi="宋体"/>
          <w:b/>
          <w:bCs/>
          <w:sz w:val="24"/>
          <w:u w:val="single"/>
        </w:rPr>
        <w:t>根据《财政部关于政府采购竞争性磋商采购方式管理暂行办法有关问题的补充通知》采用竞争性磋商采购方式采购的政府购买服务项目，在采购过程中符合要求的供应商只有2家的，竞争性磋商采购活动可以继续进行。</w:t>
      </w:r>
    </w:p>
    <w:p>
      <w:pPr>
        <w:jc w:val="center"/>
        <w:rPr>
          <w:rFonts w:hint="eastAsia" w:ascii="宋体" w:hAnsi="宋体"/>
          <w:b/>
          <w:bCs/>
          <w:sz w:val="24"/>
          <w:szCs w:val="24"/>
          <w:highlight w:val="white"/>
        </w:rPr>
      </w:pPr>
    </w:p>
    <w:p>
      <w:pPr>
        <w:jc w:val="center"/>
      </w:pPr>
      <w:r>
        <w:rPr>
          <w:rFonts w:hint="eastAsia" w:ascii="宋体" w:hAnsi="宋体"/>
          <w:b/>
          <w:bCs/>
          <w:sz w:val="24"/>
          <w:szCs w:val="24"/>
          <w:highlight w:val="white"/>
        </w:rPr>
        <w:t>一、</w:t>
      </w:r>
      <w:r>
        <w:rPr>
          <w:rFonts w:hint="eastAsia"/>
          <w:sz w:val="32"/>
          <w:szCs w:val="32"/>
        </w:rPr>
        <w:t>评标办法前附表</w:t>
      </w:r>
    </w:p>
    <w:p>
      <w:pPr>
        <w:spacing w:line="360" w:lineRule="auto"/>
        <w:jc w:val="center"/>
        <w:rPr>
          <w:rFonts w:hint="eastAsia" w:ascii="宋体" w:hAnsi="宋体" w:cs="Times New Roman"/>
          <w:sz w:val="24"/>
          <w:szCs w:val="24"/>
          <w:highlight w:val="white"/>
          <w:lang w:val="zh-CN"/>
        </w:rPr>
      </w:pPr>
      <w:r>
        <w:rPr>
          <w:rFonts w:hint="eastAsia" w:ascii="宋体" w:hAnsi="宋体" w:cs="Times New Roman"/>
          <w:sz w:val="24"/>
          <w:szCs w:val="24"/>
          <w:highlight w:val="white"/>
          <w:lang w:val="zh-CN"/>
        </w:rPr>
        <w:t>初步评审表</w:t>
      </w:r>
    </w:p>
    <w:tbl>
      <w:tblPr>
        <w:tblStyle w:val="19"/>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1345"/>
        <w:gridCol w:w="2831"/>
        <w:gridCol w:w="241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42" w:type="dxa"/>
            <w:gridSpan w:val="2"/>
            <w:shd w:val="clear" w:color="auto" w:fill="D7D7D7"/>
            <w:noWrap w:val="0"/>
            <w:vAlign w:val="center"/>
          </w:tcPr>
          <w:p>
            <w:pPr>
              <w:adjustRightInd w:val="0"/>
              <w:snapToGrid w:val="0"/>
              <w:spacing w:line="360" w:lineRule="auto"/>
              <w:ind w:right="-10"/>
              <w:jc w:val="center"/>
              <w:rPr>
                <w:rFonts w:hint="eastAsia" w:ascii="宋体" w:hAnsi="宋体" w:cs="Times New Roman"/>
                <w:kern w:val="0"/>
                <w:sz w:val="24"/>
                <w:szCs w:val="24"/>
                <w:highlight w:val="none"/>
              </w:rPr>
            </w:pPr>
            <w:r>
              <w:rPr>
                <w:rFonts w:hint="eastAsia" w:ascii="宋体" w:hAnsi="宋体" w:cs="Times New Roman"/>
                <w:kern w:val="0"/>
                <w:sz w:val="24"/>
                <w:szCs w:val="24"/>
                <w:highlight w:val="none"/>
              </w:rPr>
              <w:t>条款号</w:t>
            </w:r>
          </w:p>
        </w:tc>
        <w:tc>
          <w:tcPr>
            <w:tcW w:w="1345" w:type="dxa"/>
            <w:shd w:val="clear" w:color="auto" w:fill="D7D7D7"/>
            <w:noWrap w:val="0"/>
            <w:vAlign w:val="center"/>
          </w:tcPr>
          <w:p>
            <w:pPr>
              <w:adjustRightInd w:val="0"/>
              <w:snapToGrid w:val="0"/>
              <w:spacing w:line="360" w:lineRule="auto"/>
              <w:ind w:right="-10"/>
              <w:jc w:val="center"/>
              <w:rPr>
                <w:rFonts w:hint="eastAsia" w:ascii="宋体" w:hAnsi="宋体" w:cs="Times New Roman"/>
                <w:kern w:val="0"/>
                <w:sz w:val="24"/>
                <w:szCs w:val="24"/>
                <w:highlight w:val="none"/>
              </w:rPr>
            </w:pPr>
            <w:r>
              <w:rPr>
                <w:rFonts w:hint="eastAsia" w:ascii="宋体" w:hAnsi="宋体" w:cs="Times New Roman"/>
                <w:kern w:val="0"/>
                <w:sz w:val="24"/>
                <w:szCs w:val="24"/>
                <w:highlight w:val="none"/>
              </w:rPr>
              <w:t>评审项</w:t>
            </w:r>
          </w:p>
        </w:tc>
        <w:tc>
          <w:tcPr>
            <w:tcW w:w="2831" w:type="dxa"/>
            <w:shd w:val="clear" w:color="auto" w:fill="D7D7D7"/>
            <w:noWrap w:val="0"/>
            <w:vAlign w:val="center"/>
          </w:tcPr>
          <w:p>
            <w:pPr>
              <w:adjustRightInd w:val="0"/>
              <w:snapToGrid w:val="0"/>
              <w:spacing w:line="360" w:lineRule="auto"/>
              <w:ind w:right="-10"/>
              <w:jc w:val="center"/>
              <w:rPr>
                <w:rFonts w:hint="eastAsia" w:ascii="宋体" w:hAnsi="宋体" w:cs="Times New Roman"/>
                <w:kern w:val="0"/>
                <w:sz w:val="24"/>
                <w:szCs w:val="24"/>
                <w:highlight w:val="none"/>
              </w:rPr>
            </w:pPr>
            <w:r>
              <w:rPr>
                <w:rFonts w:hint="eastAsia" w:ascii="宋体" w:hAnsi="宋体" w:cs="Times New Roman"/>
                <w:kern w:val="0"/>
                <w:sz w:val="24"/>
                <w:szCs w:val="24"/>
                <w:highlight w:val="none"/>
              </w:rPr>
              <w:t>指标要求</w:t>
            </w:r>
          </w:p>
        </w:tc>
        <w:tc>
          <w:tcPr>
            <w:tcW w:w="2414" w:type="dxa"/>
            <w:shd w:val="clear" w:color="auto" w:fill="D7D7D7"/>
            <w:noWrap w:val="0"/>
            <w:vAlign w:val="center"/>
          </w:tcPr>
          <w:p>
            <w:pPr>
              <w:adjustRightInd w:val="0"/>
              <w:snapToGrid w:val="0"/>
              <w:spacing w:line="360" w:lineRule="auto"/>
              <w:ind w:right="-10"/>
              <w:jc w:val="center"/>
              <w:rPr>
                <w:rFonts w:hint="eastAsia" w:ascii="宋体" w:hAnsi="宋体" w:cs="Times New Roman"/>
                <w:kern w:val="0"/>
                <w:sz w:val="24"/>
                <w:szCs w:val="24"/>
                <w:highlight w:val="none"/>
              </w:rPr>
            </w:pPr>
            <w:r>
              <w:rPr>
                <w:rFonts w:hint="eastAsia" w:ascii="宋体" w:hAnsi="宋体" w:cs="Times New Roman"/>
                <w:kern w:val="0"/>
                <w:sz w:val="24"/>
                <w:szCs w:val="24"/>
                <w:highlight w:val="none"/>
              </w:rPr>
              <w:t>格式或提交资料要求</w:t>
            </w:r>
          </w:p>
        </w:tc>
        <w:tc>
          <w:tcPr>
            <w:tcW w:w="1445" w:type="dxa"/>
            <w:shd w:val="clear" w:color="auto" w:fill="D7D7D7"/>
            <w:noWrap w:val="0"/>
            <w:vAlign w:val="top"/>
          </w:tcPr>
          <w:p>
            <w:pPr>
              <w:adjustRightInd w:val="0"/>
              <w:snapToGrid w:val="0"/>
              <w:spacing w:line="360" w:lineRule="auto"/>
              <w:ind w:right="-10"/>
              <w:jc w:val="center"/>
              <w:rPr>
                <w:rFonts w:hint="eastAsia" w:ascii="宋体" w:hAnsi="宋体" w:cs="Times New Roman"/>
                <w:kern w:val="0"/>
                <w:sz w:val="24"/>
                <w:szCs w:val="24"/>
                <w:highlight w:val="none"/>
              </w:rPr>
            </w:pPr>
            <w:r>
              <w:rPr>
                <w:rFonts w:hint="eastAsia" w:ascii="宋体" w:hAnsi="宋体" w:cs="Times New Roman"/>
                <w:kern w:val="0"/>
                <w:sz w:val="24"/>
                <w:szCs w:val="24"/>
                <w:highlight w:val="none"/>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34" w:type="dxa"/>
            <w:vMerge w:val="restart"/>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1</w:t>
            </w:r>
          </w:p>
        </w:tc>
        <w:tc>
          <w:tcPr>
            <w:tcW w:w="708" w:type="dxa"/>
            <w:vMerge w:val="restart"/>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形式评审</w:t>
            </w:r>
          </w:p>
        </w:tc>
        <w:tc>
          <w:tcPr>
            <w:tcW w:w="1345"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营业执照</w:t>
            </w:r>
          </w:p>
        </w:tc>
        <w:tc>
          <w:tcPr>
            <w:tcW w:w="2831"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合法有效，名称是否与供应商一致</w:t>
            </w:r>
          </w:p>
        </w:tc>
        <w:tc>
          <w:tcPr>
            <w:tcW w:w="2414"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提供三证合一的营业执照扫描件，或者提供营业执照、税务登记证、组织机构代码证扫描件</w:t>
            </w:r>
          </w:p>
        </w:tc>
        <w:tc>
          <w:tcPr>
            <w:tcW w:w="1445" w:type="dxa"/>
            <w:noWrap w:val="0"/>
            <w:vAlign w:val="top"/>
          </w:tcPr>
          <w:p>
            <w:pPr>
              <w:adjustRightInd w:val="0"/>
              <w:snapToGrid w:val="0"/>
              <w:spacing w:line="360" w:lineRule="auto"/>
              <w:ind w:right="-10"/>
              <w:rPr>
                <w:rFonts w:hint="eastAsia" w:ascii="宋体" w:hAnsi="宋体" w:cs="Times New Roman"/>
                <w:kern w:val="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534"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708"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1345"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投标函</w:t>
            </w:r>
          </w:p>
        </w:tc>
        <w:tc>
          <w:tcPr>
            <w:tcW w:w="2831"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符合磋商文件要求</w:t>
            </w:r>
          </w:p>
        </w:tc>
        <w:tc>
          <w:tcPr>
            <w:tcW w:w="2414"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 xml:space="preserve"> </w:t>
            </w:r>
          </w:p>
        </w:tc>
        <w:tc>
          <w:tcPr>
            <w:tcW w:w="1445" w:type="dxa"/>
            <w:noWrap w:val="0"/>
            <w:vAlign w:val="top"/>
          </w:tcPr>
          <w:p>
            <w:pPr>
              <w:adjustRightInd w:val="0"/>
              <w:snapToGrid w:val="0"/>
              <w:spacing w:line="360" w:lineRule="auto"/>
              <w:ind w:right="-10"/>
              <w:rPr>
                <w:rFonts w:hint="eastAsia" w:ascii="宋体" w:hAnsi="宋体" w:cs="Times New Roman"/>
                <w:kern w:val="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534" w:type="dxa"/>
            <w:vMerge w:val="restart"/>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2</w:t>
            </w:r>
          </w:p>
        </w:tc>
        <w:tc>
          <w:tcPr>
            <w:tcW w:w="708" w:type="dxa"/>
            <w:vMerge w:val="restart"/>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资格评审</w:t>
            </w:r>
          </w:p>
        </w:tc>
        <w:tc>
          <w:tcPr>
            <w:tcW w:w="1345"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资质证书</w:t>
            </w:r>
          </w:p>
        </w:tc>
        <w:tc>
          <w:tcPr>
            <w:tcW w:w="2831"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符合磋商文件要求</w:t>
            </w:r>
          </w:p>
        </w:tc>
        <w:tc>
          <w:tcPr>
            <w:tcW w:w="2414"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提供资质证书扫描件</w:t>
            </w:r>
          </w:p>
        </w:tc>
        <w:tc>
          <w:tcPr>
            <w:tcW w:w="1445" w:type="dxa"/>
            <w:noWrap w:val="0"/>
            <w:vAlign w:val="top"/>
          </w:tcPr>
          <w:p>
            <w:pPr>
              <w:adjustRightInd w:val="0"/>
              <w:snapToGrid w:val="0"/>
              <w:spacing w:line="360" w:lineRule="auto"/>
              <w:ind w:right="-10"/>
              <w:rPr>
                <w:rFonts w:hint="eastAsia" w:ascii="宋体" w:hAnsi="宋体" w:cs="Times New Roman"/>
                <w:kern w:val="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534"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708"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1345"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供应商信誉要求</w:t>
            </w:r>
          </w:p>
        </w:tc>
        <w:tc>
          <w:tcPr>
            <w:tcW w:w="2831"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符合磋商公告要求</w:t>
            </w:r>
          </w:p>
        </w:tc>
        <w:tc>
          <w:tcPr>
            <w:tcW w:w="2414"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提供信誉截图或供应商信誉承诺书</w:t>
            </w:r>
          </w:p>
        </w:tc>
        <w:tc>
          <w:tcPr>
            <w:tcW w:w="1445" w:type="dxa"/>
            <w:noWrap w:val="0"/>
            <w:vAlign w:val="top"/>
          </w:tcPr>
          <w:p>
            <w:pPr>
              <w:adjustRightInd w:val="0"/>
              <w:snapToGrid w:val="0"/>
              <w:spacing w:line="360" w:lineRule="auto"/>
              <w:ind w:right="-10"/>
              <w:rPr>
                <w:rFonts w:hint="eastAsia" w:ascii="宋体" w:hAnsi="宋体" w:cs="Times New Roman"/>
                <w:kern w:val="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534" w:type="dxa"/>
            <w:vMerge w:val="restart"/>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3</w:t>
            </w:r>
          </w:p>
        </w:tc>
        <w:tc>
          <w:tcPr>
            <w:tcW w:w="708" w:type="dxa"/>
            <w:vMerge w:val="restart"/>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响应性评审</w:t>
            </w:r>
          </w:p>
        </w:tc>
        <w:tc>
          <w:tcPr>
            <w:tcW w:w="1345"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投标文件响应情况</w:t>
            </w:r>
          </w:p>
        </w:tc>
        <w:tc>
          <w:tcPr>
            <w:tcW w:w="2831"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采购需求响应；服务期响应；质保期响应；投标有效期响应；</w:t>
            </w:r>
          </w:p>
        </w:tc>
        <w:tc>
          <w:tcPr>
            <w:tcW w:w="2414"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1445" w:type="dxa"/>
            <w:noWrap w:val="0"/>
            <w:vAlign w:val="top"/>
          </w:tcPr>
          <w:p>
            <w:pPr>
              <w:adjustRightInd w:val="0"/>
              <w:snapToGrid w:val="0"/>
              <w:spacing w:line="360" w:lineRule="auto"/>
              <w:ind w:right="-10"/>
              <w:rPr>
                <w:rFonts w:hint="eastAsia" w:ascii="宋体" w:hAnsi="宋体" w:cs="Times New Roman"/>
                <w:kern w:val="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534"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708"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1345"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投标报价</w:t>
            </w:r>
          </w:p>
        </w:tc>
        <w:tc>
          <w:tcPr>
            <w:tcW w:w="2831"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投标报价不超过最高限价，且报价唯一</w:t>
            </w:r>
          </w:p>
        </w:tc>
        <w:tc>
          <w:tcPr>
            <w:tcW w:w="2414"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1445" w:type="dxa"/>
            <w:noWrap w:val="0"/>
            <w:vAlign w:val="top"/>
          </w:tcPr>
          <w:p>
            <w:pPr>
              <w:adjustRightInd w:val="0"/>
              <w:snapToGrid w:val="0"/>
              <w:spacing w:line="360" w:lineRule="auto"/>
              <w:ind w:right="-10"/>
              <w:rPr>
                <w:rFonts w:hint="eastAsia" w:ascii="宋体" w:hAnsi="宋体" w:cs="Times New Roman"/>
                <w:kern w:val="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534"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708" w:type="dxa"/>
            <w:vMerge w:val="continue"/>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1345"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投标保证金</w:t>
            </w:r>
          </w:p>
        </w:tc>
        <w:tc>
          <w:tcPr>
            <w:tcW w:w="2831"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提供投标保证金承诺函</w:t>
            </w:r>
          </w:p>
        </w:tc>
        <w:tc>
          <w:tcPr>
            <w:tcW w:w="2414" w:type="dxa"/>
            <w:noWrap w:val="0"/>
            <w:vAlign w:val="center"/>
          </w:tcPr>
          <w:p>
            <w:pPr>
              <w:adjustRightInd w:val="0"/>
              <w:snapToGrid w:val="0"/>
              <w:spacing w:line="360" w:lineRule="auto"/>
              <w:ind w:right="-10"/>
              <w:rPr>
                <w:rFonts w:hint="eastAsia" w:ascii="宋体" w:hAnsi="宋体" w:cs="Times New Roman"/>
                <w:kern w:val="0"/>
                <w:sz w:val="24"/>
                <w:szCs w:val="24"/>
                <w:highlight w:val="white"/>
              </w:rPr>
            </w:pPr>
          </w:p>
        </w:tc>
        <w:tc>
          <w:tcPr>
            <w:tcW w:w="1445" w:type="dxa"/>
            <w:noWrap w:val="0"/>
            <w:vAlign w:val="top"/>
          </w:tcPr>
          <w:p>
            <w:pPr>
              <w:adjustRightInd w:val="0"/>
              <w:snapToGrid w:val="0"/>
              <w:spacing w:line="360" w:lineRule="auto"/>
              <w:ind w:right="-10"/>
              <w:rPr>
                <w:rFonts w:hint="eastAsia" w:ascii="宋体" w:hAnsi="宋体" w:cs="Times New Roman"/>
                <w:kern w:val="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277" w:type="dxa"/>
            <w:gridSpan w:val="6"/>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注：以上资料均须提供扫描件放在投标文件中。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277" w:type="dxa"/>
            <w:gridSpan w:val="6"/>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评审指标通过标准：供应商必须通过上述全部指标，有一项未通过将不进入后续评审。</w:t>
            </w:r>
          </w:p>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注：通过打√，未通过打×。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9277" w:type="dxa"/>
            <w:gridSpan w:val="6"/>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评委签字：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9277" w:type="dxa"/>
            <w:gridSpan w:val="6"/>
            <w:noWrap w:val="0"/>
            <w:vAlign w:val="center"/>
          </w:tcPr>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注：1、若供应商提供虚假材料将依据《政府采购法》及其实施条例追究责任。</w:t>
            </w:r>
          </w:p>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2、扫描件需保证清晰易于辨认，若因为扫描件不清晰影响评标委员会评标的，其后果由供应商自行承担。</w:t>
            </w:r>
          </w:p>
          <w:p>
            <w:pPr>
              <w:adjustRightInd w:val="0"/>
              <w:snapToGrid w:val="0"/>
              <w:spacing w:line="360" w:lineRule="auto"/>
              <w:ind w:right="-10"/>
              <w:rPr>
                <w:rFonts w:hint="eastAsia" w:ascii="宋体" w:hAnsi="宋体" w:cs="Times New Roman"/>
                <w:kern w:val="0"/>
                <w:sz w:val="24"/>
                <w:szCs w:val="24"/>
                <w:highlight w:val="white"/>
              </w:rPr>
            </w:pPr>
            <w:r>
              <w:rPr>
                <w:rFonts w:hint="eastAsia" w:ascii="宋体" w:hAnsi="宋体" w:cs="Times New Roman"/>
                <w:kern w:val="0"/>
                <w:sz w:val="24"/>
                <w:szCs w:val="24"/>
                <w:highlight w:val="white"/>
              </w:rPr>
              <w:t>3、落实政府采购政策进行价格调整的，调整后的价格只参与评审排名，不作为定标合同价。</w:t>
            </w:r>
          </w:p>
        </w:tc>
      </w:tr>
    </w:tbl>
    <w:p>
      <w:pPr>
        <w:jc w:val="center"/>
        <w:rPr>
          <w:rFonts w:hint="eastAsia" w:ascii="宋体" w:hAnsi="宋体"/>
          <w:b/>
          <w:bCs/>
          <w:sz w:val="24"/>
          <w:szCs w:val="24"/>
          <w:highlight w:val="white"/>
        </w:rPr>
      </w:pPr>
      <w:r>
        <w:rPr>
          <w:rFonts w:hint="eastAsia" w:ascii="宋体" w:hAnsi="宋体"/>
          <w:b/>
          <w:bCs/>
          <w:sz w:val="24"/>
          <w:szCs w:val="24"/>
          <w:highlight w:val="white"/>
        </w:rPr>
        <w:t>二、详细评审表</w:t>
      </w:r>
    </w:p>
    <w:p>
      <w:pPr>
        <w:rPr>
          <w:rFonts w:hint="eastAsia" w:ascii="宋体" w:hAnsi="宋体" w:cs="Times New Roman"/>
          <w:kern w:val="0"/>
          <w:sz w:val="24"/>
          <w:szCs w:val="24"/>
          <w:highlight w:val="white"/>
        </w:rPr>
      </w:pPr>
      <w:r>
        <w:rPr>
          <w:rFonts w:hint="eastAsia" w:ascii="宋体" w:hAnsi="宋体" w:cs="Times New Roman"/>
          <w:kern w:val="0"/>
          <w:sz w:val="24"/>
          <w:szCs w:val="24"/>
          <w:highlight w:val="white"/>
        </w:rPr>
        <w:t>初步评审合格的响应文件，磋商小组对其作进一步评审、比较，并量化打分。总分为100分，其中商务标：10分；技术标：90分。技术标分值取磋商小组全部成员的评分平均值作为供应商得分。</w:t>
      </w:r>
    </w:p>
    <w:tbl>
      <w:tblPr>
        <w:tblStyle w:val="19"/>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55"/>
        <w:gridCol w:w="825"/>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spacing w:line="360" w:lineRule="auto"/>
              <w:jc w:val="center"/>
              <w:rPr>
                <w:rFonts w:hint="eastAsia" w:ascii="宋体" w:hAnsi="宋体" w:cs="Times New Roman"/>
                <w:sz w:val="24"/>
                <w:szCs w:val="24"/>
                <w:highlight w:val="white"/>
              </w:rPr>
            </w:pPr>
            <w:bookmarkStart w:id="64" w:name="_Toc256691313"/>
            <w:bookmarkStart w:id="65" w:name="_Toc256695189"/>
            <w:bookmarkStart w:id="66" w:name="_Hlk511216519"/>
            <w:r>
              <w:rPr>
                <w:rFonts w:hint="eastAsia" w:ascii="宋体" w:hAnsi="宋体" w:cs="Times New Roman"/>
                <w:sz w:val="24"/>
                <w:szCs w:val="24"/>
                <w:highlight w:val="white"/>
              </w:rPr>
              <w:t>一</w:t>
            </w:r>
            <w:bookmarkEnd w:id="64"/>
            <w:bookmarkEnd w:id="65"/>
          </w:p>
        </w:tc>
        <w:tc>
          <w:tcPr>
            <w:tcW w:w="1555" w:type="dxa"/>
            <w:noWrap w:val="0"/>
            <w:vAlign w:val="center"/>
          </w:tcPr>
          <w:p>
            <w:pPr>
              <w:spacing w:line="360" w:lineRule="auto"/>
              <w:jc w:val="center"/>
              <w:rPr>
                <w:rFonts w:hint="eastAsia" w:ascii="宋体" w:hAnsi="宋体" w:cs="Times New Roman"/>
                <w:sz w:val="24"/>
                <w:szCs w:val="24"/>
                <w:highlight w:val="white"/>
                <w:lang w:val="zh-CN"/>
              </w:rPr>
            </w:pPr>
            <w:bookmarkStart w:id="67" w:name="_Toc256691314"/>
            <w:bookmarkStart w:id="68" w:name="_Toc256695190"/>
            <w:r>
              <w:rPr>
                <w:rFonts w:hint="eastAsia" w:ascii="宋体" w:hAnsi="宋体" w:cs="Times New Roman"/>
                <w:sz w:val="24"/>
                <w:szCs w:val="24"/>
                <w:highlight w:val="white"/>
                <w:lang w:val="zh-CN"/>
              </w:rPr>
              <w:t>投标报价</w:t>
            </w:r>
            <w:bookmarkEnd w:id="67"/>
            <w:bookmarkEnd w:id="68"/>
          </w:p>
        </w:tc>
        <w:tc>
          <w:tcPr>
            <w:tcW w:w="82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10</w:t>
            </w:r>
          </w:p>
        </w:tc>
        <w:tc>
          <w:tcPr>
            <w:tcW w:w="5970" w:type="dxa"/>
            <w:noWrap w:val="0"/>
            <w:vAlign w:val="center"/>
          </w:tcPr>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lang w:val="zh-CN"/>
              </w:rPr>
              <w:t>偏差率</w:t>
            </w:r>
            <w:r>
              <w:rPr>
                <w:rFonts w:hint="eastAsia" w:ascii="宋体" w:hAnsi="宋体" w:cs="Times New Roman"/>
                <w:sz w:val="24"/>
                <w:szCs w:val="24"/>
                <w:highlight w:val="white"/>
              </w:rPr>
              <w:t>=</w:t>
            </w:r>
            <w:r>
              <w:rPr>
                <w:rFonts w:hint="eastAsia" w:ascii="宋体" w:hAnsi="宋体" w:cs="Times New Roman"/>
                <w:sz w:val="24"/>
                <w:szCs w:val="24"/>
                <w:highlight w:val="white"/>
                <w:lang w:val="zh-CN"/>
              </w:rPr>
              <w:t>（最高投标限价</w:t>
            </w:r>
            <w:r>
              <w:rPr>
                <w:rFonts w:hint="eastAsia" w:ascii="宋体" w:hAnsi="宋体" w:cs="Times New Roman"/>
                <w:sz w:val="24"/>
                <w:szCs w:val="24"/>
                <w:highlight w:val="white"/>
              </w:rPr>
              <w:t>-</w:t>
            </w:r>
            <w:r>
              <w:rPr>
                <w:rFonts w:hint="eastAsia" w:ascii="宋体" w:hAnsi="宋体" w:cs="Times New Roman"/>
                <w:sz w:val="24"/>
                <w:szCs w:val="24"/>
                <w:highlight w:val="white"/>
                <w:lang w:val="zh-CN"/>
              </w:rPr>
              <w:t>有效投标报价）</w:t>
            </w:r>
            <w:r>
              <w:rPr>
                <w:rFonts w:hint="eastAsia" w:ascii="宋体" w:hAnsi="宋体" w:cs="Times New Roman"/>
                <w:sz w:val="24"/>
                <w:szCs w:val="24"/>
                <w:highlight w:val="white"/>
              </w:rPr>
              <w:t>/</w:t>
            </w:r>
            <w:r>
              <w:rPr>
                <w:rFonts w:hint="eastAsia" w:ascii="宋体" w:hAnsi="宋体" w:cs="Times New Roman"/>
                <w:sz w:val="24"/>
                <w:szCs w:val="24"/>
                <w:highlight w:val="white"/>
                <w:lang w:val="zh-CN"/>
              </w:rPr>
              <w:t>最高投标限价</w:t>
            </w:r>
            <w:r>
              <w:rPr>
                <w:rFonts w:hint="eastAsia" w:ascii="宋体" w:hAnsi="宋体" w:cs="Times New Roman"/>
                <w:sz w:val="24"/>
                <w:szCs w:val="24"/>
                <w:highlight w:val="white"/>
              </w:rPr>
              <w:t>*100%。</w:t>
            </w:r>
          </w:p>
          <w:p>
            <w:pPr>
              <w:spacing w:line="360" w:lineRule="auto"/>
              <w:rPr>
                <w:rFonts w:hint="eastAsia" w:ascii="宋体" w:hAnsi="宋体" w:cs="Times New Roman"/>
                <w:sz w:val="24"/>
                <w:szCs w:val="24"/>
                <w:highlight w:val="white"/>
                <w:lang w:val="zh-CN"/>
              </w:rPr>
            </w:pPr>
            <w:r>
              <w:rPr>
                <w:rFonts w:hint="eastAsia" w:ascii="宋体" w:hAnsi="宋体" w:cs="Times New Roman"/>
                <w:sz w:val="24"/>
                <w:szCs w:val="24"/>
                <w:highlight w:val="white"/>
              </w:rPr>
              <w:t>根据投标报价与</w:t>
            </w:r>
            <w:r>
              <w:rPr>
                <w:rFonts w:hint="eastAsia" w:ascii="宋体" w:hAnsi="宋体" w:cs="Times New Roman"/>
                <w:sz w:val="24"/>
                <w:szCs w:val="24"/>
                <w:highlight w:val="white"/>
                <w:lang w:val="zh-CN"/>
              </w:rPr>
              <w:t>最高投标限价</w:t>
            </w:r>
            <w:r>
              <w:rPr>
                <w:rFonts w:hint="eastAsia" w:ascii="宋体" w:hAnsi="宋体" w:cs="Times New Roman"/>
                <w:sz w:val="24"/>
                <w:szCs w:val="24"/>
                <w:highlight w:val="white"/>
              </w:rPr>
              <w:t>的偏差值计算得分，投标报价与控制价相比每下浮1%得2分，不足1%的按插入法计算，下浮5%(或以上）得满分10分。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5" w:type="dxa"/>
            <w:noWrap w:val="0"/>
            <w:vAlign w:val="center"/>
          </w:tcPr>
          <w:p>
            <w:pPr>
              <w:jc w:val="center"/>
              <w:rPr>
                <w:rFonts w:hint="eastAsia" w:ascii="宋体" w:hAnsi="宋体" w:cs="Times New Roman"/>
                <w:kern w:val="0"/>
                <w:sz w:val="24"/>
                <w:szCs w:val="24"/>
                <w:highlight w:val="white"/>
              </w:rPr>
            </w:pPr>
            <w:r>
              <w:rPr>
                <w:rFonts w:hint="eastAsia" w:ascii="宋体" w:hAnsi="宋体" w:cs="Times New Roman"/>
                <w:kern w:val="0"/>
                <w:sz w:val="24"/>
                <w:szCs w:val="24"/>
                <w:highlight w:val="white"/>
              </w:rPr>
              <w:t>二</w:t>
            </w:r>
          </w:p>
        </w:tc>
        <w:tc>
          <w:tcPr>
            <w:tcW w:w="1555" w:type="dxa"/>
            <w:noWrap w:val="0"/>
            <w:vAlign w:val="center"/>
          </w:tcPr>
          <w:p>
            <w:pPr>
              <w:jc w:val="center"/>
              <w:rPr>
                <w:rFonts w:hint="eastAsia" w:ascii="宋体" w:hAnsi="宋体" w:cs="Times New Roman"/>
                <w:kern w:val="0"/>
                <w:sz w:val="24"/>
                <w:szCs w:val="24"/>
                <w:highlight w:val="white"/>
                <w:lang w:val="zh-CN"/>
              </w:rPr>
            </w:pPr>
            <w:r>
              <w:rPr>
                <w:rFonts w:hint="eastAsia" w:ascii="宋体" w:hAnsi="宋体" w:cs="Times New Roman"/>
                <w:kern w:val="0"/>
                <w:sz w:val="24"/>
                <w:szCs w:val="24"/>
                <w:highlight w:val="white"/>
                <w:lang w:val="zh-CN"/>
              </w:rPr>
              <w:t>技术评审</w:t>
            </w:r>
          </w:p>
        </w:tc>
        <w:tc>
          <w:tcPr>
            <w:tcW w:w="825" w:type="dxa"/>
            <w:noWrap w:val="0"/>
            <w:vAlign w:val="center"/>
          </w:tcPr>
          <w:p>
            <w:pPr>
              <w:jc w:val="center"/>
              <w:rPr>
                <w:rFonts w:hint="eastAsia" w:ascii="宋体" w:hAnsi="宋体" w:cs="Times New Roman"/>
                <w:kern w:val="0"/>
                <w:sz w:val="24"/>
                <w:szCs w:val="24"/>
                <w:highlight w:val="white"/>
              </w:rPr>
            </w:pPr>
            <w:r>
              <w:rPr>
                <w:rFonts w:hint="eastAsia" w:ascii="宋体" w:hAnsi="宋体" w:cs="Times New Roman"/>
                <w:kern w:val="0"/>
                <w:sz w:val="24"/>
                <w:szCs w:val="24"/>
                <w:highlight w:val="white"/>
              </w:rPr>
              <w:t>90</w:t>
            </w:r>
          </w:p>
        </w:tc>
        <w:tc>
          <w:tcPr>
            <w:tcW w:w="5970" w:type="dxa"/>
            <w:noWrap w:val="0"/>
            <w:vAlign w:val="center"/>
          </w:tcPr>
          <w:p>
            <w:pPr>
              <w:rPr>
                <w:rFonts w:hint="eastAsia" w:ascii="宋体" w:hAnsi="宋体" w:cs="Times New Roman"/>
                <w:kern w:val="0"/>
                <w:sz w:val="24"/>
                <w:szCs w:val="24"/>
                <w:highlight w:val="whit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spacing w:line="360" w:lineRule="auto"/>
              <w:jc w:val="center"/>
              <w:rPr>
                <w:rFonts w:hint="eastAsia" w:ascii="宋体" w:hAnsi="宋体" w:cs="Times New Roman"/>
                <w:sz w:val="24"/>
                <w:szCs w:val="24"/>
                <w:highlight w:val="white"/>
              </w:rPr>
            </w:pPr>
            <w:bookmarkStart w:id="69" w:name="_Hlk40947597"/>
            <w:r>
              <w:rPr>
                <w:rFonts w:hint="eastAsia" w:ascii="宋体" w:hAnsi="宋体" w:cs="Times New Roman"/>
                <w:sz w:val="24"/>
                <w:szCs w:val="24"/>
                <w:highlight w:val="white"/>
              </w:rPr>
              <w:t>1</w:t>
            </w:r>
          </w:p>
        </w:tc>
        <w:tc>
          <w:tcPr>
            <w:tcW w:w="1555" w:type="dxa"/>
            <w:noWrap w:val="0"/>
            <w:vAlign w:val="center"/>
          </w:tcPr>
          <w:p>
            <w:pPr>
              <w:spacing w:line="360" w:lineRule="auto"/>
              <w:jc w:val="center"/>
              <w:rPr>
                <w:rFonts w:hint="eastAsia" w:ascii="宋体" w:hAnsi="宋体" w:cs="Times New Roman"/>
                <w:sz w:val="24"/>
                <w:szCs w:val="24"/>
                <w:highlight w:val="white"/>
                <w:lang w:val="zh-CN"/>
              </w:rPr>
            </w:pPr>
            <w:r>
              <w:rPr>
                <w:rFonts w:hint="eastAsia" w:ascii="宋体" w:hAnsi="宋体" w:cs="Times New Roman"/>
                <w:sz w:val="24"/>
                <w:szCs w:val="24"/>
                <w:highlight w:val="white"/>
                <w:lang w:val="zh-CN"/>
              </w:rPr>
              <w:t>业绩</w:t>
            </w:r>
          </w:p>
        </w:tc>
        <w:tc>
          <w:tcPr>
            <w:tcW w:w="82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32</w:t>
            </w:r>
          </w:p>
        </w:tc>
        <w:tc>
          <w:tcPr>
            <w:tcW w:w="5970" w:type="dxa"/>
            <w:noWrap w:val="0"/>
            <w:vAlign w:val="center"/>
          </w:tcPr>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投标</w:t>
            </w:r>
            <w:r>
              <w:rPr>
                <w:rFonts w:hint="eastAsia" w:ascii="宋体" w:hAnsi="宋体" w:cs="Times New Roman"/>
                <w:sz w:val="24"/>
                <w:szCs w:val="24"/>
                <w:highlight w:val="white"/>
                <w:lang w:val="zh-CN"/>
              </w:rPr>
              <w:t>供应商每具有一个</w:t>
            </w:r>
            <w:r>
              <w:rPr>
                <w:rFonts w:hint="eastAsia" w:ascii="宋体" w:hAnsi="宋体" w:cs="Times New Roman"/>
                <w:sz w:val="24"/>
                <w:szCs w:val="24"/>
                <w:highlight w:val="white"/>
              </w:rPr>
              <w:t>类似园林景观工程或规划设计工程设计业绩，得8分，满分32分。</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类似业绩：</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2017年1月1日以来，单项设计合同金额不低于10万元的园林景观工程或规划设计工程设计业绩。</w:t>
            </w:r>
          </w:p>
          <w:p>
            <w:pPr>
              <w:spacing w:line="360" w:lineRule="auto"/>
              <w:rPr>
                <w:rFonts w:hint="eastAsia" w:ascii="宋体" w:hAnsi="宋体" w:cs="Times New Roman"/>
                <w:sz w:val="24"/>
                <w:szCs w:val="24"/>
                <w:highlight w:val="white"/>
                <w:lang w:val="zh-CN"/>
              </w:rPr>
            </w:pPr>
            <w:r>
              <w:rPr>
                <w:rFonts w:hint="eastAsia" w:ascii="宋体" w:hAnsi="宋体" w:cs="Times New Roman"/>
                <w:sz w:val="24"/>
                <w:szCs w:val="24"/>
                <w:highlight w:val="white"/>
              </w:rPr>
              <w:t>业绩证明材料需要提供 合同协议书 扫描件，业绩时间以合同协议书签订时间为准。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2</w:t>
            </w:r>
          </w:p>
        </w:tc>
        <w:tc>
          <w:tcPr>
            <w:tcW w:w="155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企业荣誉</w:t>
            </w:r>
          </w:p>
        </w:tc>
        <w:tc>
          <w:tcPr>
            <w:tcW w:w="825" w:type="dxa"/>
            <w:noWrap w:val="0"/>
            <w:vAlign w:val="center"/>
          </w:tcPr>
          <w:p>
            <w:pPr>
              <w:spacing w:line="360" w:lineRule="auto"/>
              <w:jc w:val="center"/>
              <w:rPr>
                <w:rFonts w:hint="eastAsia" w:ascii="宋体" w:hAnsi="宋体" w:cs="Times New Roman"/>
                <w:sz w:val="24"/>
                <w:szCs w:val="24"/>
                <w:highlight w:val="white"/>
                <w:lang w:val="zh-CN"/>
              </w:rPr>
            </w:pPr>
            <w:r>
              <w:rPr>
                <w:rFonts w:hint="eastAsia" w:ascii="宋体" w:hAnsi="宋体" w:cs="Times New Roman"/>
                <w:sz w:val="24"/>
                <w:szCs w:val="24"/>
                <w:highlight w:val="white"/>
              </w:rPr>
              <w:t>8</w:t>
            </w:r>
          </w:p>
        </w:tc>
        <w:tc>
          <w:tcPr>
            <w:tcW w:w="5970" w:type="dxa"/>
            <w:noWrap w:val="0"/>
            <w:vAlign w:val="center"/>
          </w:tcPr>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1、投标人未被淮南市（含一县六区）公共资源交易监督管理部门记不良行为记录的，或者投标人未被淮南市（含一县六区）公共资源交易监督管理部门记录并披露的不良行为记录，的4分。</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 xml:space="preserve">2、投标人信誉良好，获得“A”级及以上信用等级证书的得 4 分。 </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 xml:space="preserve">以上需提供证书扫描件证书须在有效期内。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3</w:t>
            </w:r>
          </w:p>
        </w:tc>
        <w:tc>
          <w:tcPr>
            <w:tcW w:w="1555" w:type="dxa"/>
            <w:noWrap w:val="0"/>
            <w:vAlign w:val="center"/>
          </w:tcPr>
          <w:p>
            <w:pPr>
              <w:spacing w:line="360" w:lineRule="auto"/>
              <w:jc w:val="center"/>
              <w:rPr>
                <w:rFonts w:hint="eastAsia" w:ascii="宋体" w:hAnsi="宋体" w:cs="Times New Roman"/>
                <w:sz w:val="24"/>
                <w:szCs w:val="24"/>
                <w:highlight w:val="white"/>
                <w:lang w:val="zh-CN"/>
              </w:rPr>
            </w:pPr>
            <w:r>
              <w:rPr>
                <w:rFonts w:hint="eastAsia" w:ascii="宋体" w:hAnsi="宋体" w:cs="Times New Roman"/>
                <w:sz w:val="24"/>
                <w:szCs w:val="24"/>
                <w:highlight w:val="white"/>
                <w:lang w:val="zh-CN"/>
              </w:rPr>
              <w:t>人员配置</w:t>
            </w:r>
          </w:p>
        </w:tc>
        <w:tc>
          <w:tcPr>
            <w:tcW w:w="82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14</w:t>
            </w:r>
          </w:p>
        </w:tc>
        <w:tc>
          <w:tcPr>
            <w:tcW w:w="5970" w:type="dxa"/>
            <w:noWrap w:val="0"/>
            <w:vAlign w:val="center"/>
          </w:tcPr>
          <w:p>
            <w:pPr>
              <w:spacing w:line="360" w:lineRule="auto"/>
              <w:rPr>
                <w:rFonts w:hint="eastAsia" w:ascii="宋体" w:hAnsi="宋体" w:cs="Times New Roman"/>
                <w:sz w:val="24"/>
                <w:szCs w:val="24"/>
                <w:highlight w:val="white"/>
                <w:lang w:val="zh-CN"/>
              </w:rPr>
            </w:pPr>
            <w:r>
              <w:rPr>
                <w:rFonts w:hint="eastAsia" w:ascii="宋体" w:hAnsi="宋体" w:cs="Times New Roman"/>
                <w:b/>
                <w:sz w:val="24"/>
                <w:szCs w:val="24"/>
                <w:highlight w:val="white"/>
              </w:rPr>
              <w:t>1、</w:t>
            </w:r>
            <w:r>
              <w:rPr>
                <w:rFonts w:hint="eastAsia" w:ascii="宋体" w:hAnsi="宋体" w:cs="Times New Roman"/>
                <w:b/>
                <w:sz w:val="24"/>
                <w:szCs w:val="24"/>
                <w:highlight w:val="white"/>
                <w:lang w:val="zh-CN"/>
              </w:rPr>
              <w:t>项目负责人</w:t>
            </w:r>
            <w:r>
              <w:rPr>
                <w:rFonts w:hint="eastAsia" w:ascii="宋体" w:hAnsi="宋体" w:cs="Times New Roman"/>
                <w:sz w:val="24"/>
                <w:szCs w:val="24"/>
                <w:highlight w:val="white"/>
                <w:lang w:val="zh-CN"/>
              </w:rPr>
              <w:t>：</w:t>
            </w:r>
          </w:p>
          <w:p>
            <w:pPr>
              <w:spacing w:line="360" w:lineRule="auto"/>
              <w:rPr>
                <w:rFonts w:hint="eastAsia" w:ascii="宋体" w:hAnsi="宋体" w:cs="Times New Roman"/>
                <w:sz w:val="24"/>
                <w:szCs w:val="24"/>
                <w:highlight w:val="white"/>
                <w:lang w:val="zh-CN"/>
              </w:rPr>
            </w:pPr>
            <w:r>
              <w:rPr>
                <w:rFonts w:hint="eastAsia" w:ascii="宋体" w:hAnsi="宋体" w:cs="Times New Roman"/>
                <w:sz w:val="24"/>
                <w:szCs w:val="24"/>
                <w:highlight w:val="white"/>
              </w:rPr>
              <w:t>1.1具有风景园林专业高级工程师（或规划专业注册师）技术职称</w:t>
            </w:r>
            <w:r>
              <w:rPr>
                <w:rFonts w:hint="eastAsia" w:ascii="宋体" w:hAnsi="宋体" w:cs="Times New Roman"/>
                <w:sz w:val="24"/>
                <w:szCs w:val="24"/>
                <w:highlight w:val="white"/>
                <w:lang w:val="zh-CN"/>
              </w:rPr>
              <w:t>证书，得</w:t>
            </w:r>
            <w:r>
              <w:rPr>
                <w:rFonts w:hint="eastAsia" w:ascii="宋体" w:hAnsi="宋体" w:cs="Times New Roman"/>
                <w:sz w:val="24"/>
                <w:szCs w:val="24"/>
                <w:highlight w:val="white"/>
              </w:rPr>
              <w:t>4</w:t>
            </w:r>
            <w:r>
              <w:rPr>
                <w:rFonts w:hint="eastAsia" w:ascii="宋体" w:hAnsi="宋体" w:cs="Times New Roman"/>
                <w:sz w:val="24"/>
                <w:szCs w:val="24"/>
                <w:highlight w:val="white"/>
                <w:lang w:val="zh-CN"/>
              </w:rPr>
              <w:t>分。提供证书扫描件。</w:t>
            </w:r>
          </w:p>
          <w:p>
            <w:pPr>
              <w:spacing w:line="360" w:lineRule="auto"/>
              <w:rPr>
                <w:rFonts w:hint="eastAsia" w:ascii="宋体" w:hAnsi="宋体" w:cs="Times New Roman"/>
                <w:sz w:val="24"/>
                <w:szCs w:val="24"/>
                <w:highlight w:val="white"/>
                <w:lang w:val="zh-CN"/>
              </w:rPr>
            </w:pPr>
            <w:r>
              <w:rPr>
                <w:rFonts w:hint="eastAsia" w:ascii="宋体" w:hAnsi="宋体" w:cs="Times New Roman"/>
                <w:sz w:val="24"/>
                <w:szCs w:val="24"/>
                <w:highlight w:val="white"/>
              </w:rPr>
              <w:t>1.2具有规划专业规划注册师技术职称</w:t>
            </w:r>
            <w:r>
              <w:rPr>
                <w:rFonts w:hint="eastAsia" w:ascii="宋体" w:hAnsi="宋体" w:cs="Times New Roman"/>
                <w:sz w:val="24"/>
                <w:szCs w:val="24"/>
                <w:highlight w:val="white"/>
                <w:lang w:val="zh-CN"/>
              </w:rPr>
              <w:t>证书，得</w:t>
            </w:r>
            <w:r>
              <w:rPr>
                <w:rFonts w:hint="eastAsia" w:ascii="宋体" w:hAnsi="宋体" w:cs="Times New Roman"/>
                <w:sz w:val="24"/>
                <w:szCs w:val="24"/>
                <w:highlight w:val="white"/>
              </w:rPr>
              <w:t>4</w:t>
            </w:r>
            <w:r>
              <w:rPr>
                <w:rFonts w:hint="eastAsia" w:ascii="宋体" w:hAnsi="宋体" w:cs="Times New Roman"/>
                <w:sz w:val="24"/>
                <w:szCs w:val="24"/>
                <w:highlight w:val="white"/>
                <w:lang w:val="zh-CN"/>
              </w:rPr>
              <w:t>分。提供证书扫描件。</w:t>
            </w:r>
          </w:p>
          <w:p>
            <w:pPr>
              <w:spacing w:line="360" w:lineRule="auto"/>
              <w:rPr>
                <w:rFonts w:hint="eastAsia" w:ascii="宋体" w:hAnsi="宋体" w:cs="Times New Roman"/>
                <w:b/>
                <w:sz w:val="24"/>
                <w:szCs w:val="24"/>
                <w:highlight w:val="white"/>
              </w:rPr>
            </w:pPr>
            <w:r>
              <w:rPr>
                <w:rFonts w:hint="eastAsia" w:ascii="宋体" w:hAnsi="宋体" w:cs="Times New Roman"/>
                <w:b/>
                <w:sz w:val="24"/>
                <w:szCs w:val="24"/>
                <w:highlight w:val="white"/>
              </w:rPr>
              <w:t>2、项目团队：</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lang w:val="zh-CN"/>
              </w:rPr>
              <w:t>项目团队（</w:t>
            </w:r>
            <w:r>
              <w:rPr>
                <w:rFonts w:hint="eastAsia" w:ascii="宋体" w:hAnsi="宋体" w:cs="Times New Roman"/>
                <w:sz w:val="24"/>
                <w:szCs w:val="24"/>
                <w:highlight w:val="white"/>
              </w:rPr>
              <w:t>不含项目负责人</w:t>
            </w:r>
            <w:r>
              <w:rPr>
                <w:rFonts w:hint="eastAsia" w:ascii="宋体" w:hAnsi="宋体" w:cs="Times New Roman"/>
                <w:sz w:val="24"/>
                <w:szCs w:val="24"/>
                <w:highlight w:val="white"/>
                <w:lang w:val="zh-CN"/>
              </w:rPr>
              <w:t>）至少</w:t>
            </w:r>
            <w:r>
              <w:rPr>
                <w:rFonts w:hint="eastAsia" w:ascii="宋体" w:hAnsi="宋体" w:cs="Times New Roman"/>
                <w:sz w:val="24"/>
                <w:szCs w:val="24"/>
                <w:highlight w:val="white"/>
              </w:rPr>
              <w:t>5</w:t>
            </w:r>
            <w:r>
              <w:rPr>
                <w:rFonts w:hint="eastAsia" w:ascii="宋体" w:hAnsi="宋体" w:cs="Times New Roman"/>
                <w:sz w:val="24"/>
                <w:szCs w:val="24"/>
                <w:highlight w:val="white"/>
                <w:lang w:val="zh-CN"/>
              </w:rPr>
              <w:t>人，须配备有园林、结构、给排水、</w:t>
            </w:r>
            <w:r>
              <w:rPr>
                <w:rFonts w:hint="eastAsia" w:ascii="宋体" w:hAnsi="宋体" w:cs="Times New Roman"/>
                <w:sz w:val="24"/>
                <w:szCs w:val="24"/>
                <w:highlight w:val="white"/>
              </w:rPr>
              <w:t>电气</w:t>
            </w:r>
            <w:r>
              <w:rPr>
                <w:rFonts w:hint="eastAsia" w:ascii="宋体" w:hAnsi="宋体" w:cs="Times New Roman"/>
                <w:sz w:val="24"/>
                <w:szCs w:val="24"/>
                <w:highlight w:val="white"/>
                <w:lang w:val="zh-CN"/>
              </w:rPr>
              <w:t>专业技术人员各</w:t>
            </w:r>
            <w:r>
              <w:rPr>
                <w:rFonts w:hint="eastAsia" w:ascii="宋体" w:hAnsi="宋体" w:cs="Times New Roman"/>
                <w:sz w:val="24"/>
                <w:szCs w:val="24"/>
                <w:highlight w:val="white"/>
              </w:rPr>
              <w:t>1</w:t>
            </w:r>
            <w:r>
              <w:rPr>
                <w:rFonts w:hint="eastAsia" w:ascii="宋体" w:hAnsi="宋体" w:cs="Times New Roman"/>
                <w:sz w:val="24"/>
                <w:szCs w:val="24"/>
                <w:highlight w:val="white"/>
                <w:lang w:val="zh-CN"/>
              </w:rPr>
              <w:t>名（须</w:t>
            </w:r>
            <w:r>
              <w:rPr>
                <w:rFonts w:hint="eastAsia" w:ascii="宋体" w:hAnsi="宋体" w:cs="Times New Roman"/>
                <w:sz w:val="24"/>
                <w:szCs w:val="24"/>
                <w:highlight w:val="white"/>
              </w:rPr>
              <w:t>中</w:t>
            </w:r>
            <w:r>
              <w:rPr>
                <w:rFonts w:hint="eastAsia" w:ascii="宋体" w:hAnsi="宋体" w:cs="Times New Roman"/>
                <w:sz w:val="24"/>
                <w:szCs w:val="24"/>
                <w:highlight w:val="white"/>
                <w:lang w:val="zh-CN"/>
              </w:rPr>
              <w:t>级</w:t>
            </w:r>
            <w:r>
              <w:rPr>
                <w:rFonts w:hint="eastAsia" w:ascii="宋体" w:hAnsi="宋体" w:cs="Times New Roman"/>
                <w:sz w:val="24"/>
                <w:szCs w:val="24"/>
                <w:highlight w:val="white"/>
              </w:rPr>
              <w:t>及以上</w:t>
            </w:r>
            <w:r>
              <w:rPr>
                <w:rFonts w:hint="eastAsia" w:ascii="宋体" w:hAnsi="宋体" w:cs="Times New Roman"/>
                <w:sz w:val="24"/>
                <w:szCs w:val="24"/>
                <w:highlight w:val="white"/>
                <w:lang w:val="zh-CN"/>
              </w:rPr>
              <w:t>工程师职称资格），</w:t>
            </w:r>
            <w:r>
              <w:rPr>
                <w:rFonts w:hint="eastAsia" w:ascii="宋体" w:hAnsi="宋体" w:cs="Times New Roman"/>
                <w:sz w:val="24"/>
                <w:szCs w:val="24"/>
                <w:highlight w:val="white"/>
              </w:rPr>
              <w:t>规划注册</w:t>
            </w:r>
            <w:r>
              <w:rPr>
                <w:rFonts w:hint="eastAsia" w:ascii="宋体" w:hAnsi="宋体" w:cs="Times New Roman"/>
                <w:sz w:val="24"/>
                <w:szCs w:val="24"/>
                <w:highlight w:val="white"/>
                <w:lang w:val="zh-CN"/>
              </w:rPr>
              <w:t>师，</w:t>
            </w:r>
            <w:r>
              <w:rPr>
                <w:rFonts w:hint="eastAsia" w:ascii="宋体" w:hAnsi="宋体" w:cs="Times New Roman"/>
                <w:sz w:val="24"/>
                <w:szCs w:val="24"/>
                <w:highlight w:val="white"/>
              </w:rPr>
              <w:t>给排水注册</w:t>
            </w:r>
            <w:r>
              <w:rPr>
                <w:rFonts w:hint="eastAsia" w:ascii="宋体" w:hAnsi="宋体" w:cs="Times New Roman"/>
                <w:sz w:val="24"/>
                <w:szCs w:val="24"/>
                <w:highlight w:val="white"/>
                <w:lang w:val="zh-CN"/>
              </w:rPr>
              <w:t>师、</w:t>
            </w:r>
            <w:r>
              <w:rPr>
                <w:rFonts w:hint="eastAsia" w:ascii="宋体" w:hAnsi="宋体" w:cs="Times New Roman"/>
                <w:sz w:val="24"/>
                <w:szCs w:val="24"/>
                <w:highlight w:val="white"/>
              </w:rPr>
              <w:t>供配电注册师</w:t>
            </w:r>
            <w:r>
              <w:rPr>
                <w:rFonts w:hint="eastAsia" w:ascii="宋体" w:hAnsi="宋体" w:cs="Times New Roman"/>
                <w:sz w:val="24"/>
                <w:szCs w:val="24"/>
                <w:highlight w:val="white"/>
                <w:lang w:val="zh-CN"/>
              </w:rPr>
              <w:t>每提供一个专业得</w:t>
            </w:r>
            <w:r>
              <w:rPr>
                <w:rFonts w:hint="eastAsia" w:ascii="宋体" w:hAnsi="宋体" w:cs="Times New Roman"/>
                <w:sz w:val="24"/>
                <w:szCs w:val="24"/>
                <w:highlight w:val="white"/>
              </w:rPr>
              <w:t>2分，最高得10分。</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lang w:val="zh-CN"/>
              </w:rPr>
              <w:t>提供</w:t>
            </w:r>
            <w:r>
              <w:rPr>
                <w:rFonts w:hint="eastAsia" w:ascii="宋体" w:hAnsi="宋体" w:cs="Times New Roman"/>
                <w:sz w:val="24"/>
                <w:szCs w:val="24"/>
                <w:highlight w:val="white"/>
              </w:rPr>
              <w:t>人员配置安排表，并附人员</w:t>
            </w:r>
            <w:r>
              <w:rPr>
                <w:rFonts w:hint="eastAsia" w:ascii="宋体" w:hAnsi="宋体" w:cs="Times New Roman"/>
                <w:sz w:val="24"/>
                <w:szCs w:val="24"/>
                <w:highlight w:val="white"/>
                <w:lang w:val="zh-CN"/>
              </w:rPr>
              <w:t>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4</w:t>
            </w:r>
          </w:p>
        </w:tc>
        <w:tc>
          <w:tcPr>
            <w:tcW w:w="1555" w:type="dxa"/>
            <w:noWrap w:val="0"/>
            <w:vAlign w:val="center"/>
          </w:tcPr>
          <w:p>
            <w:pPr>
              <w:spacing w:line="360" w:lineRule="auto"/>
              <w:jc w:val="center"/>
              <w:rPr>
                <w:rFonts w:hint="default" w:ascii="宋体" w:hAnsi="宋体" w:eastAsia="宋体" w:cs="Times New Roman"/>
                <w:sz w:val="24"/>
                <w:szCs w:val="24"/>
                <w:highlight w:val="white"/>
                <w:lang w:val="en-US" w:eastAsia="zh-CN"/>
              </w:rPr>
            </w:pPr>
            <w:r>
              <w:rPr>
                <w:rFonts w:hint="eastAsia" w:ascii="宋体" w:hAnsi="宋体" w:cs="Times New Roman"/>
                <w:sz w:val="24"/>
                <w:szCs w:val="24"/>
                <w:highlight w:val="white"/>
              </w:rPr>
              <w:t>设计方案</w:t>
            </w:r>
            <w:r>
              <w:rPr>
                <w:rFonts w:hint="eastAsia" w:ascii="宋体" w:hAnsi="宋体" w:cs="Times New Roman"/>
                <w:sz w:val="24"/>
                <w:szCs w:val="24"/>
                <w:highlight w:val="white"/>
                <w:lang w:val="en-US" w:eastAsia="zh-CN"/>
              </w:rPr>
              <w:t>和设计说明</w:t>
            </w:r>
          </w:p>
        </w:tc>
        <w:tc>
          <w:tcPr>
            <w:tcW w:w="825" w:type="dxa"/>
            <w:noWrap w:val="0"/>
            <w:vAlign w:val="center"/>
          </w:tcPr>
          <w:p>
            <w:pPr>
              <w:spacing w:line="360" w:lineRule="auto"/>
              <w:jc w:val="center"/>
              <w:rPr>
                <w:rFonts w:hint="eastAsia" w:ascii="宋体" w:hAnsi="宋体" w:cs="Times New Roman"/>
                <w:sz w:val="24"/>
                <w:szCs w:val="24"/>
                <w:highlight w:val="white"/>
              </w:rPr>
            </w:pPr>
            <w:r>
              <w:rPr>
                <w:rFonts w:hint="eastAsia" w:ascii="宋体" w:hAnsi="宋体" w:cs="Times New Roman"/>
                <w:sz w:val="24"/>
                <w:szCs w:val="24"/>
                <w:highlight w:val="white"/>
              </w:rPr>
              <w:t>36</w:t>
            </w:r>
          </w:p>
        </w:tc>
        <w:tc>
          <w:tcPr>
            <w:tcW w:w="5970" w:type="dxa"/>
            <w:noWrap w:val="0"/>
            <w:vAlign w:val="center"/>
          </w:tcPr>
          <w:p>
            <w:pPr>
              <w:spacing w:line="360" w:lineRule="auto"/>
              <w:rPr>
                <w:rFonts w:hint="eastAsia" w:ascii="宋体" w:hAnsi="宋体" w:cs="Times New Roman"/>
                <w:b/>
                <w:sz w:val="24"/>
                <w:szCs w:val="24"/>
                <w:highlight w:val="white"/>
                <w:lang w:val="zh-CN"/>
              </w:rPr>
            </w:pPr>
            <w:r>
              <w:rPr>
                <w:rFonts w:hint="eastAsia" w:ascii="宋体" w:hAnsi="宋体" w:cs="Times New Roman"/>
                <w:b/>
                <w:sz w:val="24"/>
                <w:szCs w:val="24"/>
                <w:highlight w:val="white"/>
              </w:rPr>
              <w:t>1、</w:t>
            </w:r>
            <w:r>
              <w:rPr>
                <w:rFonts w:hint="eastAsia" w:ascii="宋体" w:hAnsi="宋体" w:cs="Times New Roman"/>
                <w:b/>
                <w:sz w:val="24"/>
                <w:szCs w:val="24"/>
                <w:highlight w:val="white"/>
                <w:lang w:val="zh-CN"/>
              </w:rPr>
              <w:t>设计</w:t>
            </w:r>
            <w:r>
              <w:rPr>
                <w:rFonts w:hint="eastAsia" w:ascii="宋体" w:hAnsi="宋体" w:cs="Times New Roman"/>
                <w:b/>
                <w:sz w:val="24"/>
                <w:szCs w:val="24"/>
                <w:highlight w:val="white"/>
                <w:lang w:val="en-US" w:eastAsia="zh-CN"/>
              </w:rPr>
              <w:t>思路</w:t>
            </w:r>
            <w:r>
              <w:rPr>
                <w:rFonts w:hint="eastAsia" w:ascii="宋体" w:hAnsi="宋体" w:cs="Times New Roman"/>
                <w:b/>
                <w:sz w:val="24"/>
                <w:szCs w:val="24"/>
                <w:highlight w:val="white"/>
                <w:lang w:val="zh-CN"/>
              </w:rPr>
              <w:t>（0～</w:t>
            </w:r>
            <w:r>
              <w:rPr>
                <w:rFonts w:hint="eastAsia" w:ascii="宋体" w:hAnsi="宋体" w:cs="Times New Roman"/>
                <w:b/>
                <w:sz w:val="24"/>
                <w:szCs w:val="24"/>
                <w:highlight w:val="white"/>
                <w:lang w:val="en-US" w:eastAsia="zh-CN"/>
              </w:rPr>
              <w:t>10</w:t>
            </w:r>
            <w:r>
              <w:rPr>
                <w:rFonts w:hint="eastAsia" w:ascii="宋体" w:hAnsi="宋体" w:cs="Times New Roman"/>
                <w:b/>
                <w:sz w:val="24"/>
                <w:szCs w:val="24"/>
                <w:highlight w:val="white"/>
                <w:lang w:val="zh-CN"/>
              </w:rPr>
              <w:t>分）</w:t>
            </w:r>
          </w:p>
          <w:p>
            <w:pPr>
              <w:spacing w:line="360" w:lineRule="auto"/>
              <w:rPr>
                <w:rFonts w:hint="eastAsia" w:ascii="宋体" w:hAnsi="宋体" w:eastAsia="宋体" w:cs="Times New Roman"/>
                <w:sz w:val="24"/>
                <w:szCs w:val="24"/>
                <w:highlight w:val="white"/>
              </w:rPr>
            </w:pPr>
            <w:r>
              <w:rPr>
                <w:rFonts w:hint="eastAsia" w:ascii="宋体" w:hAnsi="宋体" w:eastAsia="宋体" w:cs="Times New Roman"/>
                <w:sz w:val="24"/>
                <w:szCs w:val="24"/>
                <w:highlight w:val="white"/>
                <w:lang w:val="en-US" w:eastAsia="zh-CN"/>
              </w:rPr>
              <w:t>投标人整体</w:t>
            </w:r>
            <w:r>
              <w:rPr>
                <w:rFonts w:hint="eastAsia" w:ascii="宋体" w:hAnsi="宋体" w:cs="Times New Roman"/>
                <w:sz w:val="24"/>
                <w:szCs w:val="24"/>
                <w:highlight w:val="white"/>
              </w:rPr>
              <w:t>规划</w:t>
            </w:r>
            <w:r>
              <w:rPr>
                <w:rFonts w:hint="eastAsia" w:ascii="宋体" w:hAnsi="宋体" w:eastAsia="宋体" w:cs="Times New Roman"/>
                <w:sz w:val="24"/>
                <w:szCs w:val="24"/>
                <w:highlight w:val="white"/>
                <w:lang w:val="en-US" w:eastAsia="zh-CN"/>
              </w:rPr>
              <w:t>设计思路是否清晰。</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根据对投标人提供的</w:t>
            </w:r>
            <w:r>
              <w:rPr>
                <w:rFonts w:hint="eastAsia" w:ascii="宋体" w:hAnsi="宋体" w:eastAsia="宋体" w:cs="Times New Roman"/>
                <w:sz w:val="24"/>
                <w:szCs w:val="24"/>
                <w:highlight w:val="white"/>
                <w:lang w:val="en-US" w:eastAsia="zh-CN"/>
              </w:rPr>
              <w:t>整体</w:t>
            </w:r>
            <w:r>
              <w:rPr>
                <w:rFonts w:hint="eastAsia" w:ascii="宋体" w:hAnsi="宋体" w:cs="Times New Roman"/>
                <w:sz w:val="24"/>
                <w:szCs w:val="24"/>
                <w:highlight w:val="white"/>
              </w:rPr>
              <w:t>规划设计</w:t>
            </w:r>
            <w:r>
              <w:rPr>
                <w:rFonts w:hint="eastAsia" w:ascii="宋体" w:hAnsi="宋体" w:eastAsia="宋体" w:cs="Times New Roman"/>
                <w:sz w:val="24"/>
                <w:szCs w:val="24"/>
                <w:highlight w:val="white"/>
                <w:lang w:val="en-US" w:eastAsia="zh-CN"/>
              </w:rPr>
              <w:t>思路</w:t>
            </w:r>
            <w:r>
              <w:rPr>
                <w:rFonts w:hint="eastAsia" w:ascii="宋体" w:hAnsi="宋体" w:cs="Times New Roman"/>
                <w:sz w:val="24"/>
                <w:szCs w:val="24"/>
                <w:highlight w:val="white"/>
              </w:rPr>
              <w:t xml:space="preserve">综合评比，由评标委员会进行综合评分： </w:t>
            </w:r>
          </w:p>
          <w:p>
            <w:pPr>
              <w:spacing w:line="360" w:lineRule="auto"/>
              <w:rPr>
                <w:rFonts w:hint="eastAsia" w:ascii="宋体" w:hAnsi="宋体" w:eastAsia="宋体" w:cs="Times New Roman"/>
                <w:sz w:val="24"/>
                <w:szCs w:val="24"/>
                <w:highlight w:val="white"/>
              </w:rPr>
            </w:pPr>
            <w:r>
              <w:rPr>
                <w:rFonts w:hint="eastAsia" w:ascii="宋体" w:hAnsi="宋体" w:eastAsia="宋体" w:cs="Times New Roman"/>
                <w:sz w:val="24"/>
                <w:szCs w:val="24"/>
                <w:highlight w:val="white"/>
                <w:lang w:val="en-US" w:eastAsia="zh-CN"/>
              </w:rPr>
              <w:t xml:space="preserve">整体思路清晰，得9-10分；较好得7-8分；一般5-6分，没有得0 分。 </w:t>
            </w:r>
          </w:p>
          <w:p>
            <w:pPr>
              <w:spacing w:line="360" w:lineRule="auto"/>
              <w:rPr>
                <w:rFonts w:hint="eastAsia" w:ascii="宋体" w:hAnsi="宋体" w:cs="Times New Roman"/>
                <w:b/>
                <w:sz w:val="24"/>
                <w:szCs w:val="24"/>
                <w:highlight w:val="white"/>
                <w:lang w:val="zh-CN"/>
              </w:rPr>
            </w:pPr>
            <w:r>
              <w:rPr>
                <w:rFonts w:hint="eastAsia" w:ascii="宋体" w:hAnsi="宋体" w:cs="Times New Roman"/>
                <w:b/>
                <w:sz w:val="24"/>
                <w:szCs w:val="24"/>
                <w:highlight w:val="white"/>
              </w:rPr>
              <w:t>2、设计方案</w:t>
            </w:r>
            <w:r>
              <w:rPr>
                <w:rFonts w:hint="eastAsia" w:ascii="宋体" w:hAnsi="宋体" w:cs="Times New Roman"/>
                <w:b/>
                <w:sz w:val="24"/>
                <w:szCs w:val="24"/>
                <w:highlight w:val="white"/>
                <w:lang w:val="zh-CN"/>
              </w:rPr>
              <w:t>（0～</w:t>
            </w:r>
            <w:r>
              <w:rPr>
                <w:rFonts w:hint="eastAsia" w:ascii="宋体" w:hAnsi="宋体" w:cs="Times New Roman"/>
                <w:b/>
                <w:sz w:val="24"/>
                <w:szCs w:val="24"/>
                <w:highlight w:val="white"/>
              </w:rPr>
              <w:t>6</w:t>
            </w:r>
            <w:r>
              <w:rPr>
                <w:rFonts w:hint="eastAsia" w:ascii="宋体" w:hAnsi="宋体" w:cs="Times New Roman"/>
                <w:b/>
                <w:sz w:val="24"/>
                <w:szCs w:val="24"/>
                <w:highlight w:val="white"/>
                <w:lang w:val="zh-CN"/>
              </w:rPr>
              <w:t>分）</w:t>
            </w:r>
          </w:p>
          <w:p>
            <w:pPr>
              <w:spacing w:line="360" w:lineRule="auto"/>
              <w:rPr>
                <w:rFonts w:hint="eastAsia" w:ascii="宋体" w:hAnsi="宋体" w:eastAsia="宋体" w:cs="Times New Roman"/>
                <w:sz w:val="24"/>
                <w:szCs w:val="24"/>
                <w:highlight w:val="white"/>
                <w:lang w:val="en-US" w:eastAsia="zh-CN"/>
              </w:rPr>
            </w:pPr>
            <w:r>
              <w:rPr>
                <w:rFonts w:hint="eastAsia" w:ascii="宋体" w:hAnsi="宋体" w:eastAsia="宋体" w:cs="Times New Roman"/>
                <w:sz w:val="24"/>
                <w:szCs w:val="24"/>
                <w:highlight w:val="white"/>
                <w:lang w:val="en-US" w:eastAsia="zh-CN"/>
              </w:rPr>
              <w:t>投标人整体</w:t>
            </w:r>
            <w:r>
              <w:rPr>
                <w:rFonts w:hint="eastAsia" w:ascii="宋体" w:hAnsi="宋体" w:cs="Times New Roman"/>
                <w:sz w:val="24"/>
                <w:szCs w:val="24"/>
                <w:highlight w:val="white"/>
              </w:rPr>
              <w:t>规划</w:t>
            </w:r>
            <w:r>
              <w:rPr>
                <w:rFonts w:hint="eastAsia" w:ascii="宋体" w:hAnsi="宋体" w:eastAsia="宋体" w:cs="Times New Roman"/>
                <w:sz w:val="24"/>
                <w:szCs w:val="24"/>
                <w:highlight w:val="white"/>
                <w:lang w:val="en-US" w:eastAsia="zh-CN"/>
              </w:rPr>
              <w:t>设计方案的阐述是否</w:t>
            </w:r>
            <w:r>
              <w:rPr>
                <w:rFonts w:hint="eastAsia" w:ascii="宋体" w:hAnsi="宋体" w:cs="Times New Roman"/>
                <w:sz w:val="24"/>
                <w:szCs w:val="24"/>
                <w:highlight w:val="white"/>
              </w:rPr>
              <w:t>具体、成熟</w:t>
            </w:r>
            <w:r>
              <w:rPr>
                <w:rFonts w:hint="eastAsia" w:ascii="宋体" w:hAnsi="宋体" w:eastAsia="宋体" w:cs="Times New Roman"/>
                <w:sz w:val="24"/>
                <w:szCs w:val="24"/>
                <w:highlight w:val="white"/>
                <w:lang w:val="en-US" w:eastAsia="zh-CN"/>
              </w:rPr>
              <w:t>。</w:t>
            </w:r>
          </w:p>
          <w:p>
            <w:pPr>
              <w:pStyle w:val="2"/>
              <w:rPr>
                <w:rFonts w:hint="eastAsia"/>
                <w:lang w:val="en-US" w:eastAsia="zh-CN"/>
              </w:rPr>
            </w:pPr>
            <w:r>
              <w:rPr>
                <w:rFonts w:hint="eastAsia" w:ascii="宋体" w:hAnsi="宋体" w:cs="Times New Roman"/>
                <w:sz w:val="24"/>
                <w:szCs w:val="24"/>
                <w:highlight w:val="white"/>
              </w:rPr>
              <w:t>根据对投标人提供的</w:t>
            </w:r>
            <w:r>
              <w:rPr>
                <w:rFonts w:hint="eastAsia" w:ascii="宋体" w:hAnsi="宋体" w:eastAsia="宋体" w:cs="Times New Roman"/>
                <w:sz w:val="24"/>
                <w:szCs w:val="24"/>
                <w:highlight w:val="white"/>
                <w:lang w:val="en-US" w:eastAsia="zh-CN"/>
              </w:rPr>
              <w:t>整体</w:t>
            </w:r>
            <w:r>
              <w:rPr>
                <w:rFonts w:hint="eastAsia" w:ascii="宋体" w:hAnsi="宋体" w:cs="Times New Roman"/>
                <w:sz w:val="24"/>
                <w:szCs w:val="24"/>
                <w:highlight w:val="white"/>
              </w:rPr>
              <w:t>规划设计</w:t>
            </w:r>
            <w:r>
              <w:rPr>
                <w:rFonts w:hint="eastAsia" w:ascii="宋体" w:hAnsi="宋体" w:eastAsia="宋体" w:cs="Times New Roman"/>
                <w:sz w:val="24"/>
                <w:szCs w:val="24"/>
                <w:highlight w:val="white"/>
                <w:lang w:val="en-US" w:eastAsia="zh-CN"/>
              </w:rPr>
              <w:t>方案</w:t>
            </w:r>
            <w:r>
              <w:rPr>
                <w:rFonts w:hint="eastAsia" w:ascii="宋体" w:hAnsi="宋体" w:cs="Times New Roman"/>
                <w:sz w:val="24"/>
                <w:szCs w:val="24"/>
                <w:highlight w:val="white"/>
              </w:rPr>
              <w:t>综合评比，由评标委员会进行综合评分：</w:t>
            </w:r>
          </w:p>
          <w:p>
            <w:pPr>
              <w:spacing w:line="360" w:lineRule="auto"/>
              <w:rPr>
                <w:rFonts w:hint="eastAsia" w:ascii="宋体" w:hAnsi="宋体" w:eastAsia="宋体" w:cs="Times New Roman"/>
                <w:sz w:val="24"/>
                <w:szCs w:val="24"/>
                <w:highlight w:val="white"/>
                <w:lang w:val="en-US" w:eastAsia="zh-CN"/>
              </w:rPr>
            </w:pPr>
            <w:r>
              <w:rPr>
                <w:rFonts w:hint="eastAsia" w:ascii="宋体" w:hAnsi="宋体" w:eastAsia="宋体" w:cs="Times New Roman"/>
                <w:sz w:val="24"/>
                <w:szCs w:val="24"/>
                <w:highlight w:val="white"/>
                <w:lang w:val="en-US" w:eastAsia="zh-CN"/>
              </w:rPr>
              <w:t>整体</w:t>
            </w:r>
            <w:r>
              <w:rPr>
                <w:rFonts w:hint="eastAsia" w:ascii="宋体" w:hAnsi="宋体" w:cs="Times New Roman"/>
                <w:sz w:val="24"/>
                <w:szCs w:val="24"/>
                <w:highlight w:val="white"/>
              </w:rPr>
              <w:t>规划设计方案</w:t>
            </w:r>
            <w:r>
              <w:rPr>
                <w:rFonts w:hint="eastAsia" w:ascii="宋体" w:hAnsi="宋体" w:cs="Times New Roman"/>
                <w:sz w:val="24"/>
                <w:szCs w:val="24"/>
                <w:highlight w:val="white"/>
                <w:lang w:val="en-US" w:eastAsia="zh-CN"/>
              </w:rPr>
              <w:t>阐述</w:t>
            </w:r>
            <w:r>
              <w:rPr>
                <w:rFonts w:hint="eastAsia" w:ascii="宋体" w:hAnsi="宋体" w:cs="Times New Roman"/>
                <w:sz w:val="24"/>
                <w:szCs w:val="24"/>
                <w:highlight w:val="white"/>
              </w:rPr>
              <w:t>具体、成熟；得 5-6 分；</w:t>
            </w:r>
            <w:r>
              <w:rPr>
                <w:rFonts w:hint="eastAsia" w:ascii="宋体" w:hAnsi="宋体" w:eastAsia="宋体" w:cs="Times New Roman"/>
                <w:sz w:val="24"/>
                <w:szCs w:val="24"/>
                <w:highlight w:val="white"/>
                <w:lang w:val="en-US" w:eastAsia="zh-CN"/>
              </w:rPr>
              <w:t xml:space="preserve">较好得3-4分；一般1-2分，没有得0 分。 </w:t>
            </w:r>
          </w:p>
          <w:p>
            <w:pPr>
              <w:spacing w:line="360" w:lineRule="auto"/>
              <w:rPr>
                <w:rFonts w:hint="eastAsia" w:ascii="宋体" w:hAnsi="宋体" w:cs="Times New Roman"/>
                <w:b/>
                <w:sz w:val="24"/>
                <w:szCs w:val="24"/>
                <w:highlight w:val="white"/>
                <w:lang w:val="zh-CN"/>
              </w:rPr>
            </w:pPr>
            <w:r>
              <w:rPr>
                <w:rFonts w:hint="eastAsia" w:ascii="宋体" w:hAnsi="宋体" w:cs="Times New Roman"/>
                <w:b/>
                <w:sz w:val="24"/>
                <w:szCs w:val="24"/>
                <w:highlight w:val="white"/>
              </w:rPr>
              <w:t>3、</w:t>
            </w:r>
            <w:r>
              <w:rPr>
                <w:rFonts w:hint="eastAsia" w:ascii="宋体" w:hAnsi="宋体" w:cs="Times New Roman"/>
                <w:b/>
                <w:sz w:val="24"/>
                <w:szCs w:val="24"/>
                <w:highlight w:val="white"/>
                <w:lang w:val="en-US" w:eastAsia="zh-CN"/>
              </w:rPr>
              <w:t>设计说明</w:t>
            </w:r>
            <w:r>
              <w:rPr>
                <w:rFonts w:hint="eastAsia" w:ascii="宋体" w:hAnsi="宋体" w:cs="Times New Roman"/>
                <w:b/>
                <w:sz w:val="24"/>
                <w:szCs w:val="24"/>
                <w:highlight w:val="white"/>
                <w:lang w:val="zh-CN"/>
              </w:rPr>
              <w:t>（0～</w:t>
            </w:r>
            <w:r>
              <w:rPr>
                <w:rFonts w:hint="eastAsia" w:ascii="宋体" w:hAnsi="宋体" w:cs="Times New Roman"/>
                <w:b/>
                <w:sz w:val="24"/>
                <w:szCs w:val="24"/>
                <w:highlight w:val="white"/>
                <w:lang w:val="en-US" w:eastAsia="zh-CN"/>
              </w:rPr>
              <w:t>6</w:t>
            </w:r>
            <w:r>
              <w:rPr>
                <w:rFonts w:hint="eastAsia" w:ascii="宋体" w:hAnsi="宋体" w:cs="Times New Roman"/>
                <w:b/>
                <w:sz w:val="24"/>
                <w:szCs w:val="24"/>
                <w:highlight w:val="white"/>
                <w:lang w:val="zh-CN"/>
              </w:rPr>
              <w:t>分）</w:t>
            </w:r>
          </w:p>
          <w:p>
            <w:pPr>
              <w:spacing w:line="360" w:lineRule="auto"/>
              <w:rPr>
                <w:rFonts w:hint="eastAsia" w:ascii="宋体" w:hAnsi="宋体" w:eastAsia="宋体" w:cs="Times New Roman"/>
                <w:sz w:val="24"/>
                <w:szCs w:val="24"/>
                <w:highlight w:val="white"/>
                <w:lang w:val="en-US" w:eastAsia="zh-CN"/>
              </w:rPr>
            </w:pPr>
            <w:r>
              <w:rPr>
                <w:rFonts w:hint="eastAsia" w:ascii="宋体" w:hAnsi="宋体" w:eastAsia="宋体" w:cs="Times New Roman"/>
                <w:sz w:val="24"/>
                <w:szCs w:val="24"/>
                <w:highlight w:val="white"/>
                <w:lang w:val="en-US" w:eastAsia="zh-CN"/>
              </w:rPr>
              <w:t>投标人整体</w:t>
            </w:r>
            <w:r>
              <w:rPr>
                <w:rFonts w:hint="eastAsia" w:ascii="宋体" w:hAnsi="宋体" w:cs="Times New Roman"/>
                <w:sz w:val="24"/>
                <w:szCs w:val="24"/>
                <w:highlight w:val="white"/>
              </w:rPr>
              <w:t>规划</w:t>
            </w:r>
            <w:r>
              <w:rPr>
                <w:rFonts w:hint="eastAsia" w:ascii="宋体" w:hAnsi="宋体" w:eastAsia="宋体" w:cs="Times New Roman"/>
                <w:sz w:val="24"/>
                <w:szCs w:val="24"/>
                <w:highlight w:val="white"/>
                <w:lang w:val="en-US" w:eastAsia="zh-CN"/>
              </w:rPr>
              <w:t>设计说明是否全面。</w:t>
            </w:r>
          </w:p>
          <w:p>
            <w:pPr>
              <w:pStyle w:val="2"/>
              <w:rPr>
                <w:rFonts w:hint="eastAsia"/>
              </w:rPr>
            </w:pPr>
            <w:r>
              <w:rPr>
                <w:rFonts w:hint="eastAsia" w:ascii="宋体" w:hAnsi="宋体" w:cs="Times New Roman"/>
                <w:sz w:val="24"/>
                <w:szCs w:val="24"/>
                <w:highlight w:val="white"/>
              </w:rPr>
              <w:t>根据对投标人提供的</w:t>
            </w:r>
            <w:r>
              <w:rPr>
                <w:rFonts w:hint="eastAsia" w:ascii="宋体" w:hAnsi="宋体" w:eastAsia="宋体" w:cs="Times New Roman"/>
                <w:sz w:val="24"/>
                <w:szCs w:val="24"/>
                <w:highlight w:val="white"/>
                <w:lang w:val="en-US" w:eastAsia="zh-CN"/>
              </w:rPr>
              <w:t>整体</w:t>
            </w:r>
            <w:r>
              <w:rPr>
                <w:rFonts w:hint="eastAsia" w:ascii="宋体" w:hAnsi="宋体" w:cs="Times New Roman"/>
                <w:sz w:val="24"/>
                <w:szCs w:val="24"/>
                <w:highlight w:val="white"/>
              </w:rPr>
              <w:t>规划设计</w:t>
            </w:r>
            <w:r>
              <w:rPr>
                <w:rFonts w:hint="eastAsia" w:hAnsi="宋体" w:eastAsia="宋体" w:cs="Times New Roman"/>
                <w:sz w:val="24"/>
                <w:szCs w:val="24"/>
                <w:highlight w:val="white"/>
                <w:lang w:val="en-US" w:eastAsia="zh-CN"/>
              </w:rPr>
              <w:t>说明</w:t>
            </w:r>
            <w:r>
              <w:rPr>
                <w:rFonts w:hint="eastAsia" w:ascii="宋体" w:hAnsi="宋体" w:cs="Times New Roman"/>
                <w:sz w:val="24"/>
                <w:szCs w:val="24"/>
                <w:highlight w:val="white"/>
              </w:rPr>
              <w:t>综合评比，由评标委员会进行综合评分：</w:t>
            </w:r>
          </w:p>
          <w:p>
            <w:pPr>
              <w:spacing w:line="360" w:lineRule="auto"/>
              <w:rPr>
                <w:rFonts w:hint="eastAsia" w:ascii="宋体" w:hAnsi="宋体" w:cs="Times New Roman"/>
                <w:sz w:val="24"/>
                <w:szCs w:val="24"/>
                <w:highlight w:val="white"/>
              </w:rPr>
            </w:pPr>
            <w:r>
              <w:rPr>
                <w:rFonts w:hint="eastAsia" w:ascii="宋体" w:hAnsi="宋体" w:eastAsia="宋体" w:cs="Times New Roman"/>
                <w:sz w:val="24"/>
                <w:szCs w:val="24"/>
                <w:highlight w:val="white"/>
                <w:lang w:val="en-US" w:eastAsia="zh-CN"/>
              </w:rPr>
              <w:t>整体</w:t>
            </w:r>
            <w:r>
              <w:rPr>
                <w:rFonts w:hint="eastAsia" w:ascii="宋体" w:hAnsi="宋体" w:cs="Times New Roman"/>
                <w:sz w:val="24"/>
                <w:szCs w:val="24"/>
                <w:highlight w:val="white"/>
              </w:rPr>
              <w:t>规划</w:t>
            </w:r>
            <w:r>
              <w:rPr>
                <w:rFonts w:hint="eastAsia" w:ascii="宋体" w:hAnsi="宋体" w:eastAsia="宋体" w:cs="Times New Roman"/>
                <w:sz w:val="24"/>
                <w:szCs w:val="24"/>
                <w:highlight w:val="white"/>
                <w:lang w:val="en-US" w:eastAsia="zh-CN"/>
              </w:rPr>
              <w:t>设计说明全面、得当</w:t>
            </w:r>
            <w:r>
              <w:rPr>
                <w:rFonts w:hint="eastAsia" w:ascii="宋体" w:hAnsi="宋体" w:cs="Times New Roman"/>
                <w:sz w:val="24"/>
                <w:szCs w:val="24"/>
                <w:highlight w:val="white"/>
              </w:rPr>
              <w:t xml:space="preserve">，得 </w:t>
            </w:r>
            <w:r>
              <w:rPr>
                <w:rFonts w:hint="eastAsia" w:ascii="宋体" w:hAnsi="宋体" w:cs="Times New Roman"/>
                <w:sz w:val="24"/>
                <w:szCs w:val="24"/>
                <w:highlight w:val="white"/>
                <w:lang w:val="en-US" w:eastAsia="zh-CN"/>
              </w:rPr>
              <w:t>5</w:t>
            </w:r>
            <w:r>
              <w:rPr>
                <w:rFonts w:hint="eastAsia" w:ascii="宋体" w:hAnsi="宋体" w:cs="Times New Roman"/>
                <w:sz w:val="24"/>
                <w:szCs w:val="24"/>
                <w:highlight w:val="white"/>
              </w:rPr>
              <w:t>-</w:t>
            </w:r>
            <w:r>
              <w:rPr>
                <w:rFonts w:hint="eastAsia" w:ascii="宋体" w:hAnsi="宋体" w:cs="Times New Roman"/>
                <w:sz w:val="24"/>
                <w:szCs w:val="24"/>
                <w:highlight w:val="white"/>
                <w:lang w:val="en-US" w:eastAsia="zh-CN"/>
              </w:rPr>
              <w:t>6</w:t>
            </w:r>
            <w:r>
              <w:rPr>
                <w:rFonts w:hint="eastAsia" w:ascii="宋体" w:hAnsi="宋体" w:cs="Times New Roman"/>
                <w:sz w:val="24"/>
                <w:szCs w:val="24"/>
                <w:highlight w:val="white"/>
              </w:rPr>
              <w:t xml:space="preserve"> 分；</w:t>
            </w:r>
            <w:r>
              <w:rPr>
                <w:rFonts w:hint="eastAsia" w:ascii="宋体" w:hAnsi="宋体" w:eastAsia="宋体" w:cs="Times New Roman"/>
                <w:sz w:val="24"/>
                <w:szCs w:val="24"/>
                <w:highlight w:val="white"/>
                <w:lang w:val="en-US" w:eastAsia="zh-CN"/>
              </w:rPr>
              <w:t xml:space="preserve">较好得3-4分；一般1-2分，没有得0 分。 </w:t>
            </w:r>
          </w:p>
        </w:tc>
      </w:tr>
      <w:bookmark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25" w:type="dxa"/>
            <w:gridSpan w:val="4"/>
            <w:noWrap w:val="0"/>
            <w:vAlign w:val="center"/>
          </w:tcPr>
          <w:p>
            <w:pPr>
              <w:spacing w:line="360" w:lineRule="auto"/>
              <w:rPr>
                <w:rFonts w:hint="eastAsia" w:ascii="宋体" w:hAnsi="宋体" w:cs="Times New Roman"/>
                <w:sz w:val="24"/>
                <w:szCs w:val="24"/>
                <w:highlight w:val="white"/>
                <w:lang w:val="zh-CN"/>
              </w:rPr>
            </w:pPr>
            <w:r>
              <w:rPr>
                <w:rFonts w:hint="eastAsia" w:ascii="宋体" w:hAnsi="宋体" w:cs="Times New Roman"/>
                <w:sz w:val="24"/>
                <w:szCs w:val="24"/>
                <w:highlight w:val="white"/>
                <w:lang w:val="zh-CN"/>
              </w:rPr>
              <w:t>注：1、若供应商提供虚假材料将依据《政府采购法》及其实施条例追究责任。</w:t>
            </w:r>
          </w:p>
          <w:p>
            <w:pPr>
              <w:spacing w:line="360" w:lineRule="auto"/>
              <w:rPr>
                <w:rFonts w:hint="eastAsia" w:ascii="宋体" w:hAnsi="宋体" w:cs="Times New Roman"/>
                <w:sz w:val="24"/>
                <w:szCs w:val="24"/>
                <w:highlight w:val="white"/>
                <w:lang w:val="zh-CN"/>
              </w:rPr>
            </w:pPr>
            <w:r>
              <w:rPr>
                <w:rFonts w:hint="eastAsia" w:ascii="宋体" w:hAnsi="宋体" w:cs="Times New Roman"/>
                <w:sz w:val="24"/>
                <w:szCs w:val="24"/>
                <w:highlight w:val="white"/>
                <w:lang w:val="zh-CN"/>
              </w:rPr>
              <w:t>2、扫描件需保证清晰易于辨认，若因为扫描件不清晰影响评标委员会评标的，其后果由供应商自行承担。</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lang w:val="zh-CN"/>
              </w:rPr>
              <w:t>3、中标后，采购人有权对中标人投标文件的各项材料进行审查、核对，如发现中标人以他人的名义投标、串通投标、以行贿手段谋取中标或者以其他弄虚作假方式(如在资质、业绩、证书等方面)骗取中标的以及所提供的资料有虚假的，采购人有权取消其中标资格或者解除已签订的合同，由此造成的一切损失由中标人自负，同时履约保证金不再返还，未付合同价款再支付。</w:t>
            </w:r>
          </w:p>
        </w:tc>
      </w:tr>
      <w:bookmarkEnd w:id="66"/>
    </w:tbl>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说明：</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1、投标文件需有相应的业绩材料、人员证书等资料扫描件作为证明材料，未提供证明材料或者所提供证明材料无法辨认的均不予计分。</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2、投标人提供的与投标有关的各类证书、证明、文件、资料等的真实性、合法性由投标人负全责。评标时评标委员会发现投标人存在弄虚作假嫌疑的，或者由其他投标人和其他利害关系人投诉举报发现投标人存在弄虚作假行为的，提请招投标有关行政监督部门另行立案调查，评标工作正常进行；有关行政监督部门调查确认弄虚作假情况属实的，如果该投标人已被确定为中标候选人的，由招标人依相关规定取消该投标人中标资格，不再退还投标保证金，投标保证金归招标人所有，招标人有权从其他中标候选人中依照推荐次序另行确定中标人，或重新招标。</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3、错误报价修正:</w:t>
      </w:r>
      <w:r>
        <w:rPr>
          <w:rFonts w:hint="eastAsia" w:ascii="宋体" w:hAnsi="宋体" w:cs="Times New Roman"/>
          <w:sz w:val="24"/>
          <w:szCs w:val="24"/>
          <w:highlight w:val="white"/>
        </w:rPr>
        <w:tab/>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3.1计算上的算术错误。修正错误的原则如下:</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(1)投标文件中开标一览表(报价表)内容与投标文件中明细表内容不一致的，以开标一览表(报价表)为准。</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(2)如果数字表示的金额和用文字表示的金额不一致时，以文字表示的金额为准;</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(3)如果单价与数量的乘积和总价不一致，以单价为准。当小数点有明显的错误时，评标小组将以总价为准，并修正其单价。</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(4)评标小组将允许投标供应商修改其投标中不构成重大偏离的微小的、非正规的、不一致的或不规则的地方，但这些修改不能影响任何投标供应商的名次相应排列。</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3.2 报价关键漏（缺）项处理：</w:t>
      </w:r>
    </w:p>
    <w:p>
      <w:pPr>
        <w:spacing w:line="360" w:lineRule="auto"/>
        <w:rPr>
          <w:rFonts w:hint="eastAsia" w:ascii="宋体" w:hAnsi="宋体" w:cs="Times New Roman"/>
          <w:sz w:val="24"/>
          <w:szCs w:val="24"/>
          <w:highlight w:val="white"/>
        </w:rPr>
      </w:pPr>
      <w:r>
        <w:rPr>
          <w:rFonts w:hint="eastAsia" w:ascii="宋体" w:hAnsi="宋体" w:cs="Times New Roman"/>
          <w:sz w:val="24"/>
          <w:szCs w:val="24"/>
          <w:highlight w:val="white"/>
        </w:rPr>
        <w:t>评标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评标小组按照招标文件规定对投标供应商报价进行调整修正，调整后的价格对投标供应商具有约束力。如果投标供应商不接受修正后的报价，则其报价将被拒绝，其投标响应文件为无效投标响应文件。</w:t>
      </w:r>
    </w:p>
    <w:p>
      <w:pPr>
        <w:spacing w:line="360" w:lineRule="auto"/>
        <w:rPr>
          <w:rFonts w:hint="eastAsia" w:ascii="宋体" w:hAnsi="宋体" w:cs="Times New Roman"/>
          <w:sz w:val="24"/>
          <w:szCs w:val="24"/>
          <w:highlight w:val="white"/>
          <w:lang w:val="zh-CN"/>
        </w:rPr>
      </w:pPr>
      <w:r>
        <w:rPr>
          <w:rFonts w:hint="eastAsia" w:ascii="宋体" w:hAnsi="宋体" w:cs="Times New Roman"/>
          <w:sz w:val="24"/>
          <w:szCs w:val="24"/>
          <w:highlight w:val="white"/>
          <w:lang w:val="zh-CN"/>
        </w:rPr>
        <w:t>3.3招标过程中，如果评标小组一致认定投标人报价不合理的，可以要求投标人提供合理说明，否则评标小组可以认定其报价无效。</w:t>
      </w:r>
    </w:p>
    <w:p>
      <w:pPr>
        <w:spacing w:line="360" w:lineRule="auto"/>
        <w:rPr>
          <w:rFonts w:hint="eastAsia" w:ascii="宋体" w:hAnsi="宋体"/>
          <w:b/>
          <w:bCs/>
          <w:kern w:val="0"/>
        </w:rPr>
      </w:pPr>
      <w:r>
        <w:rPr>
          <w:rFonts w:hint="eastAsia" w:ascii="宋体" w:hAnsi="宋体" w:cs="Times New Roman"/>
          <w:sz w:val="24"/>
          <w:szCs w:val="24"/>
          <w:highlight w:val="white"/>
        </w:rPr>
        <w:t>3.4  如出现并列排名时，依照技术标得分高的为中标候选人，如技术标得分仍相同时，则由评委进行综合判定确定第一中标候选人。</w:t>
      </w:r>
    </w:p>
    <w:p>
      <w:pPr>
        <w:pStyle w:val="8"/>
        <w:spacing w:line="360" w:lineRule="auto"/>
        <w:ind w:right="-10" w:firstLine="0"/>
        <w:rPr>
          <w:rFonts w:ascii="宋体" w:hAnsi="宋体" w:eastAsia="宋体"/>
          <w:b/>
          <w:bCs/>
          <w:sz w:val="24"/>
          <w:szCs w:val="24"/>
        </w:rPr>
      </w:pPr>
      <w:r>
        <w:rPr>
          <w:rFonts w:hint="eastAsia" w:ascii="宋体" w:hAnsi="宋体" w:eastAsia="宋体"/>
          <w:b/>
          <w:bCs/>
          <w:sz w:val="24"/>
          <w:szCs w:val="24"/>
          <w:highlight w:val="white"/>
        </w:rPr>
        <w:t xml:space="preserve">第十条 </w:t>
      </w:r>
      <w:r>
        <w:rPr>
          <w:rFonts w:hint="eastAsia" w:ascii="宋体" w:hAnsi="宋体" w:eastAsia="宋体"/>
          <w:sz w:val="24"/>
          <w:szCs w:val="24"/>
          <w:highlight w:val="white"/>
        </w:rPr>
        <w:t>评委独立评审后，磋商小组对磋商供应商某项指标如有不同意见，按照少数服从多数的原则，确定该项指标是否通过。符合初审指标及评审指标通过标准的，为有效投标。</w:t>
      </w:r>
    </w:p>
    <w:p>
      <w:pPr>
        <w:spacing w:line="360" w:lineRule="auto"/>
        <w:rPr>
          <w:rFonts w:ascii="宋体" w:hAnsi="宋体"/>
          <w:sz w:val="24"/>
          <w:szCs w:val="24"/>
        </w:rPr>
      </w:pPr>
      <w:r>
        <w:rPr>
          <w:rFonts w:hint="eastAsia" w:ascii="宋体" w:hAnsi="宋体"/>
          <w:b/>
          <w:bCs/>
          <w:sz w:val="24"/>
          <w:szCs w:val="24"/>
          <w:highlight w:val="white"/>
        </w:rPr>
        <w:t xml:space="preserve">第十一条 </w:t>
      </w:r>
      <w:r>
        <w:rPr>
          <w:rFonts w:hint="eastAsia" w:ascii="宋体" w:hAnsi="宋体" w:cs="Times New Roman"/>
          <w:sz w:val="24"/>
          <w:szCs w:val="24"/>
          <w:highlight w:val="white"/>
          <w:lang w:val="zh-CN"/>
        </w:rPr>
        <w:t>评标委员会首先对投标人进行资格评审、符合性评审，再对通过的投标人针对本评标办法附表内容进行技术标打分（包括信用评定）,然后进行商务标符合性评审，最后进行商务标打分，评审结束后按商务标+技术标得分总分由高到低进行排序推荐</w:t>
      </w:r>
      <w:r>
        <w:rPr>
          <w:rFonts w:hint="eastAsia" w:ascii="宋体" w:hAnsi="宋体" w:cs="Times New Roman"/>
          <w:sz w:val="24"/>
          <w:szCs w:val="24"/>
        </w:rPr>
        <w:t>1</w:t>
      </w:r>
      <w:r>
        <w:rPr>
          <w:rFonts w:hint="eastAsia" w:ascii="宋体" w:hAnsi="宋体" w:cs="Times New Roman"/>
          <w:sz w:val="24"/>
          <w:szCs w:val="24"/>
          <w:lang w:val="zh-CN"/>
        </w:rPr>
        <w:t>名中标候选人</w:t>
      </w:r>
      <w:r>
        <w:rPr>
          <w:rFonts w:hint="eastAsia" w:ascii="宋体" w:hAnsi="宋体" w:cs="Times New Roman"/>
          <w:sz w:val="24"/>
          <w:szCs w:val="24"/>
          <w:highlight w:val="white"/>
          <w:lang w:val="zh-CN"/>
        </w:rPr>
        <w:t>。计算分数时，保留小数点后二位，第三位四舍五入。总得分相同时，技术标得分高的优先。如出现总得分相同、技术标得分也相同时，报价低的优先。若出现总得分相同、技术标得分、报价得分都相同时，则由投标人授权代表按签到顺序号现场摇号确定其排名顺序。</w:t>
      </w:r>
    </w:p>
    <w:p>
      <w:pPr>
        <w:adjustRightInd w:val="0"/>
        <w:snapToGrid w:val="0"/>
        <w:spacing w:line="360" w:lineRule="auto"/>
        <w:ind w:right="-10"/>
        <w:rPr>
          <w:rFonts w:ascii="宋体" w:hAnsi="宋体"/>
          <w:b/>
          <w:bCs/>
          <w:sz w:val="24"/>
          <w:szCs w:val="24"/>
        </w:rPr>
      </w:pPr>
      <w:r>
        <w:rPr>
          <w:rFonts w:hint="eastAsia" w:ascii="宋体" w:hAnsi="宋体"/>
          <w:b/>
          <w:bCs/>
          <w:sz w:val="24"/>
          <w:szCs w:val="24"/>
          <w:highlight w:val="white"/>
        </w:rPr>
        <w:t xml:space="preserve">第十二条 </w:t>
      </w:r>
      <w:r>
        <w:rPr>
          <w:rFonts w:hint="eastAsia" w:ascii="宋体" w:hAnsi="宋体"/>
          <w:sz w:val="24"/>
          <w:szCs w:val="24"/>
          <w:highlight w:val="white"/>
        </w:rPr>
        <w:t>磋商小组在评标过程中发现的问题，应当及时作出处理或者向采购人提出处理建议，并作书面记录。</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 xml:space="preserve">第十三条 </w:t>
      </w:r>
      <w:r>
        <w:rPr>
          <w:rFonts w:hint="eastAsia" w:ascii="宋体" w:hAnsi="宋体"/>
          <w:sz w:val="24"/>
          <w:szCs w:val="24"/>
          <w:highlight w:val="white"/>
        </w:rPr>
        <w:t>在评审过程中，磋商小组发现磋商供应商的报价或者某些分项报价明显不合理或者低于成本，有可能影响商品质量和不能诚信履约的，应当要求其在规定的期限内提供文件予以解释说明，并提交相关证明材料；否则，磋商小组可以取消该磋商供应商的中标候选资格，按顺序由排在后面的成交供应商候选人递补，以此类推。</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第十四条</w:t>
      </w:r>
      <w:r>
        <w:rPr>
          <w:rFonts w:hint="eastAsia" w:ascii="宋体" w:hAnsi="宋体"/>
          <w:sz w:val="24"/>
          <w:szCs w:val="24"/>
          <w:highlight w:val="white"/>
        </w:rPr>
        <w:t xml:space="preserve"> 磋商供应商投标报价与公布的预算价（或控制价)相比降幅过小，或磋商供应商投标报价明显缺乏竞争性的，磋商小组可以否决所有投标。</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第十五条</w:t>
      </w:r>
      <w:r>
        <w:rPr>
          <w:rFonts w:hint="eastAsia" w:ascii="宋体" w:hAnsi="宋体"/>
          <w:sz w:val="24"/>
          <w:szCs w:val="24"/>
          <w:highlight w:val="white"/>
        </w:rPr>
        <w:t xml:space="preserve">  评标后，磋商小组应制作评标报告。磋商小组全体成员及监督员均须在评标报告上签字。评审报告应如实记录本次评标的主要过程，全面反映评标过程中的各种不同的意见，以及其他澄清、说明、补正事项。</w:t>
      </w:r>
    </w:p>
    <w:p>
      <w:pPr>
        <w:adjustRightInd w:val="0"/>
        <w:snapToGrid w:val="0"/>
        <w:spacing w:line="360" w:lineRule="auto"/>
        <w:ind w:right="-10"/>
        <w:jc w:val="center"/>
        <w:rPr>
          <w:rFonts w:ascii="宋体" w:hAnsi="宋体"/>
          <w:sz w:val="24"/>
          <w:szCs w:val="24"/>
        </w:rPr>
      </w:pPr>
      <w:r>
        <w:rPr>
          <w:rFonts w:hint="eastAsia" w:ascii="宋体" w:hAnsi="宋体"/>
          <w:b/>
          <w:bCs/>
          <w:sz w:val="24"/>
          <w:szCs w:val="24"/>
          <w:highlight w:val="white"/>
        </w:rPr>
        <w:t>四．评标纪律</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第十六条</w:t>
      </w:r>
      <w:r>
        <w:rPr>
          <w:rFonts w:hint="eastAsia" w:ascii="宋体" w:hAnsi="宋体"/>
          <w:sz w:val="24"/>
          <w:szCs w:val="24"/>
          <w:highlight w:val="white"/>
        </w:rPr>
        <w:t xml:space="preserve"> 磋商小组和评标工作人员应严格遵守国家的法律、法规和规章制度；严格按照本次竞争性磋商文件进行评标；公正廉洁、不徇私情，不得损害国家利益；保护招、磋商供应商的合法权益。</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第十七条</w:t>
      </w:r>
      <w:r>
        <w:rPr>
          <w:rFonts w:hint="eastAsia" w:ascii="宋体" w:hAnsi="宋体"/>
          <w:sz w:val="24"/>
          <w:szCs w:val="24"/>
          <w:highlight w:val="white"/>
        </w:rPr>
        <w:t xml:space="preserve"> 在评标过程中，评委、秘书组及其他评标工作人员必须对评标情况严格保密，任何人不得将评标情况透露给与磋商供应商有关的单位和个人。如有违反评标纪律的情况发生，将依据《中华人民共和国政府采购法》及其他有关法律法规的规定，追究有关当事人的责任。</w:t>
      </w:r>
    </w:p>
    <w:p>
      <w:pPr>
        <w:rPr>
          <w:rFonts w:hint="eastAsia"/>
        </w:rPr>
      </w:pPr>
      <w:r>
        <w:rPr>
          <w:rFonts w:hint="eastAsia" w:ascii="宋体" w:hAnsi="宋体"/>
          <w:b/>
          <w:bCs/>
          <w:sz w:val="24"/>
          <w:szCs w:val="24"/>
          <w:highlight w:val="white"/>
        </w:rPr>
        <w:t xml:space="preserve">第十八条 </w:t>
      </w:r>
      <w:r>
        <w:rPr>
          <w:rFonts w:hint="eastAsia" w:ascii="宋体" w:hAnsi="宋体"/>
          <w:sz w:val="24"/>
          <w:szCs w:val="24"/>
          <w:highlight w:val="white"/>
        </w:rPr>
        <w:t>本评标办法的解释权属于采购人。</w:t>
      </w:r>
    </w:p>
    <w:p>
      <w:pPr>
        <w:pStyle w:val="5"/>
        <w:ind w:firstLine="0"/>
        <w:rPr>
          <w:rFonts w:ascii="宋体" w:hAnsi="宋体" w:eastAsia="宋体"/>
        </w:rPr>
      </w:pPr>
      <w:r>
        <w:rPr>
          <w:rFonts w:hint="eastAsia" w:ascii="宋体" w:hAnsi="宋体" w:eastAsia="宋体"/>
          <w:highlight w:val="white"/>
        </w:rPr>
        <w:t>第五章 磋商供应商须知</w:t>
      </w:r>
    </w:p>
    <w:p>
      <w:pPr>
        <w:pStyle w:val="6"/>
        <w:spacing w:line="500" w:lineRule="exact"/>
        <w:rPr>
          <w:rFonts w:hAnsi="宋体"/>
          <w:sz w:val="28"/>
          <w:szCs w:val="28"/>
        </w:rPr>
      </w:pPr>
      <w:bookmarkStart w:id="70" w:name="_Hlt509649722"/>
      <w:bookmarkEnd w:id="70"/>
      <w:bookmarkStart w:id="71" w:name="_Hlt509650955"/>
      <w:bookmarkEnd w:id="71"/>
      <w:bookmarkStart w:id="72" w:name="_Hlt509650126"/>
      <w:bookmarkEnd w:id="72"/>
      <w:bookmarkStart w:id="73" w:name="_Hlt509650686"/>
      <w:bookmarkEnd w:id="73"/>
      <w:bookmarkStart w:id="74" w:name="_Hlt509649998"/>
      <w:bookmarkEnd w:id="74"/>
      <w:bookmarkStart w:id="75" w:name="_Hlt526418143"/>
      <w:bookmarkEnd w:id="75"/>
      <w:bookmarkStart w:id="76" w:name="_Toc407096150"/>
      <w:r>
        <w:rPr>
          <w:rFonts w:hint="eastAsia" w:hAnsi="宋体"/>
          <w:sz w:val="28"/>
          <w:szCs w:val="28"/>
          <w:highlight w:val="white"/>
        </w:rPr>
        <w:t>一．总    则</w:t>
      </w:r>
      <w:bookmarkEnd w:id="76"/>
    </w:p>
    <w:p>
      <w:pPr>
        <w:spacing w:line="360" w:lineRule="auto"/>
        <w:rPr>
          <w:rFonts w:ascii="宋体" w:hAnsi="宋体"/>
          <w:b/>
          <w:bCs/>
          <w:sz w:val="24"/>
          <w:szCs w:val="24"/>
        </w:rPr>
      </w:pPr>
      <w:r>
        <w:rPr>
          <w:rFonts w:hint="eastAsia" w:ascii="宋体" w:hAnsi="宋体"/>
          <w:b/>
          <w:bCs/>
          <w:sz w:val="24"/>
          <w:szCs w:val="24"/>
          <w:highlight w:val="white"/>
        </w:rPr>
        <w:t>1.适用范围</w:t>
      </w:r>
    </w:p>
    <w:p>
      <w:pPr>
        <w:spacing w:line="360" w:lineRule="auto"/>
        <w:rPr>
          <w:rFonts w:ascii="宋体" w:hAnsi="宋体"/>
          <w:sz w:val="24"/>
          <w:szCs w:val="24"/>
        </w:rPr>
      </w:pPr>
      <w:r>
        <w:rPr>
          <w:rFonts w:hint="eastAsia" w:ascii="宋体" w:hAnsi="宋体"/>
          <w:sz w:val="24"/>
          <w:szCs w:val="24"/>
          <w:highlight w:val="white"/>
        </w:rPr>
        <w:t>1.1本竞争性磋商文件仅适用于本次竞争性磋商所述的服务项目采购。</w:t>
      </w:r>
    </w:p>
    <w:p>
      <w:pPr>
        <w:spacing w:line="360" w:lineRule="auto"/>
        <w:rPr>
          <w:rFonts w:ascii="宋体" w:hAnsi="宋体"/>
          <w:b/>
          <w:bCs/>
          <w:sz w:val="24"/>
          <w:szCs w:val="24"/>
        </w:rPr>
      </w:pPr>
      <w:r>
        <w:rPr>
          <w:rFonts w:hint="eastAsia" w:ascii="宋体" w:hAnsi="宋体"/>
          <w:b/>
          <w:bCs/>
          <w:sz w:val="24"/>
          <w:szCs w:val="24"/>
          <w:highlight w:val="white"/>
        </w:rPr>
        <w:t>2.有关定义</w:t>
      </w:r>
    </w:p>
    <w:p>
      <w:pPr>
        <w:spacing w:line="360" w:lineRule="auto"/>
        <w:rPr>
          <w:rFonts w:ascii="宋体" w:hAnsi="宋体"/>
          <w:sz w:val="24"/>
          <w:szCs w:val="24"/>
        </w:rPr>
      </w:pPr>
      <w:r>
        <w:rPr>
          <w:rFonts w:hint="eastAsia" w:ascii="宋体" w:hAnsi="宋体"/>
          <w:sz w:val="24"/>
          <w:szCs w:val="24"/>
          <w:highlight w:val="white"/>
        </w:rPr>
        <w:t>2.1采购人：系指本次采购项目的业主方。</w:t>
      </w:r>
    </w:p>
    <w:p>
      <w:pPr>
        <w:spacing w:line="360" w:lineRule="auto"/>
        <w:rPr>
          <w:rFonts w:ascii="宋体" w:hAnsi="宋体"/>
          <w:sz w:val="24"/>
          <w:szCs w:val="24"/>
        </w:rPr>
      </w:pPr>
      <w:r>
        <w:rPr>
          <w:rFonts w:hint="eastAsia" w:ascii="宋体" w:hAnsi="宋体"/>
          <w:sz w:val="24"/>
          <w:szCs w:val="24"/>
          <w:highlight w:val="white"/>
        </w:rPr>
        <w:t>2.2委托人：系指本次采购项目的委托方。</w:t>
      </w:r>
    </w:p>
    <w:p>
      <w:pPr>
        <w:spacing w:line="360" w:lineRule="auto"/>
        <w:rPr>
          <w:rFonts w:ascii="宋体" w:hAnsi="宋体"/>
          <w:sz w:val="24"/>
          <w:szCs w:val="24"/>
        </w:rPr>
      </w:pPr>
      <w:r>
        <w:rPr>
          <w:rFonts w:hint="eastAsia" w:ascii="宋体" w:hAnsi="宋体"/>
          <w:sz w:val="24"/>
          <w:szCs w:val="24"/>
          <w:highlight w:val="white"/>
        </w:rPr>
        <w:t>2.3磋商供应商：系指购买了本竞争性磋商文件，且已经提交或准备提交本次竞争性磋商响应文件的制造商、供应商或服务商。</w:t>
      </w:r>
    </w:p>
    <w:p>
      <w:pPr>
        <w:spacing w:line="360" w:lineRule="auto"/>
        <w:rPr>
          <w:rFonts w:ascii="宋体" w:hAnsi="宋体"/>
          <w:sz w:val="24"/>
          <w:szCs w:val="24"/>
        </w:rPr>
      </w:pPr>
      <w:r>
        <w:rPr>
          <w:rFonts w:hint="eastAsia" w:ascii="宋体" w:hAnsi="宋体"/>
          <w:sz w:val="24"/>
          <w:szCs w:val="24"/>
          <w:highlight w:val="white"/>
        </w:rPr>
        <w:t>2.4服务：系指除货物和工程以外的其他政府采购对象，包括咨询、调研、评估、规划、设计、监理、审计、保险、租赁、印刷、维修、检测、物业管理等。</w:t>
      </w:r>
    </w:p>
    <w:p>
      <w:pPr>
        <w:spacing w:line="360" w:lineRule="auto"/>
        <w:rPr>
          <w:rFonts w:ascii="宋体" w:hAnsi="宋体"/>
          <w:sz w:val="24"/>
          <w:szCs w:val="24"/>
        </w:rPr>
      </w:pPr>
      <w:r>
        <w:rPr>
          <w:rFonts w:hint="eastAsia" w:ascii="宋体" w:hAnsi="宋体"/>
          <w:sz w:val="24"/>
          <w:szCs w:val="24"/>
          <w:highlight w:val="white"/>
        </w:rPr>
        <w:t>2.5近X年内：系指从开标之日向前追溯X年（“X”为“一”及以后整数）起算。除非本竞争性磋商文件另有规定，否则均以合同签订之日为追溯结点。</w:t>
      </w:r>
    </w:p>
    <w:p>
      <w:pPr>
        <w:spacing w:line="360" w:lineRule="auto"/>
        <w:rPr>
          <w:rFonts w:ascii="宋体" w:hAnsi="宋体"/>
        </w:rPr>
      </w:pPr>
      <w:r>
        <w:rPr>
          <w:rFonts w:hint="eastAsia" w:ascii="宋体" w:hAnsi="宋体"/>
          <w:sz w:val="24"/>
          <w:szCs w:val="24"/>
          <w:highlight w:val="white"/>
        </w:rPr>
        <w:t>2.6业绩：系指符合本竞争性磋商文件规定且已服务（安装）完毕的合同及相关证明。磋商供应商与其关联公司（如母公司、控股公司、参股公司、分公司、子公司、同一法人代表的公司等）之间签订的合同，均不予认可。</w:t>
      </w:r>
    </w:p>
    <w:p>
      <w:pPr>
        <w:spacing w:line="360" w:lineRule="auto"/>
        <w:rPr>
          <w:rFonts w:ascii="宋体" w:hAnsi="宋体"/>
          <w:b/>
          <w:bCs/>
          <w:sz w:val="24"/>
          <w:szCs w:val="24"/>
        </w:rPr>
      </w:pPr>
      <w:r>
        <w:rPr>
          <w:rFonts w:hint="eastAsia" w:ascii="宋体" w:hAnsi="宋体"/>
          <w:b/>
          <w:bCs/>
          <w:sz w:val="24"/>
          <w:szCs w:val="24"/>
          <w:highlight w:val="white"/>
        </w:rPr>
        <w:t>3.投标费用</w:t>
      </w:r>
    </w:p>
    <w:p>
      <w:pPr>
        <w:spacing w:line="360" w:lineRule="auto"/>
        <w:rPr>
          <w:rFonts w:ascii="宋体" w:hAnsi="宋体"/>
          <w:sz w:val="24"/>
          <w:szCs w:val="24"/>
        </w:rPr>
      </w:pPr>
      <w:r>
        <w:rPr>
          <w:rFonts w:hint="eastAsia" w:ascii="宋体" w:hAnsi="宋体"/>
          <w:sz w:val="24"/>
          <w:szCs w:val="24"/>
          <w:highlight w:val="white"/>
        </w:rPr>
        <w:t>3.1无论投标结果如何，磋商供应商应自行承担其编制与递交竞争性磋商响应文件所涉及的一切费用。</w:t>
      </w:r>
    </w:p>
    <w:p>
      <w:pPr>
        <w:spacing w:line="360" w:lineRule="auto"/>
        <w:rPr>
          <w:rFonts w:ascii="宋体" w:hAnsi="宋体"/>
          <w:b/>
          <w:bCs/>
          <w:sz w:val="24"/>
          <w:szCs w:val="24"/>
        </w:rPr>
      </w:pPr>
      <w:r>
        <w:rPr>
          <w:rFonts w:hint="eastAsia" w:ascii="宋体" w:hAnsi="宋体"/>
          <w:b/>
          <w:bCs/>
          <w:sz w:val="24"/>
          <w:szCs w:val="24"/>
          <w:highlight w:val="white"/>
        </w:rPr>
        <w:t>4.合格的磋商供应商</w:t>
      </w:r>
    </w:p>
    <w:p>
      <w:pPr>
        <w:spacing w:line="360" w:lineRule="auto"/>
        <w:rPr>
          <w:rFonts w:ascii="宋体" w:hAnsi="宋体"/>
          <w:sz w:val="24"/>
          <w:szCs w:val="24"/>
        </w:rPr>
      </w:pPr>
      <w:r>
        <w:rPr>
          <w:rFonts w:hint="eastAsia" w:ascii="宋体" w:hAnsi="宋体"/>
          <w:sz w:val="24"/>
          <w:szCs w:val="24"/>
          <w:highlight w:val="white"/>
        </w:rPr>
        <w:t>4.1合格的磋商供应商应符合竞争性磋商文件载明的投标资格。</w:t>
      </w:r>
    </w:p>
    <w:p>
      <w:pPr>
        <w:spacing w:line="360" w:lineRule="auto"/>
        <w:rPr>
          <w:rFonts w:ascii="宋体" w:hAnsi="宋体"/>
          <w:sz w:val="24"/>
          <w:szCs w:val="24"/>
        </w:rPr>
      </w:pPr>
      <w:r>
        <w:rPr>
          <w:rFonts w:hint="eastAsia" w:ascii="宋体" w:hAnsi="宋体"/>
          <w:sz w:val="24"/>
          <w:szCs w:val="24"/>
          <w:highlight w:val="white"/>
        </w:rPr>
        <w:t>4.2磋商供应商之间如果存在下列情形之一的，不得同时参加同一标段（包别）或者不分标段（包别）的同一项目投标：</w:t>
      </w:r>
    </w:p>
    <w:p>
      <w:pPr>
        <w:spacing w:line="360" w:lineRule="auto"/>
        <w:rPr>
          <w:rFonts w:ascii="宋体" w:hAnsi="宋体"/>
          <w:sz w:val="24"/>
          <w:szCs w:val="24"/>
        </w:rPr>
      </w:pPr>
      <w:r>
        <w:rPr>
          <w:rFonts w:hint="eastAsia" w:ascii="宋体" w:hAnsi="宋体"/>
          <w:sz w:val="24"/>
          <w:szCs w:val="24"/>
          <w:highlight w:val="white"/>
        </w:rPr>
        <w:t>4.2.1法定代表人为同一个人的两个及两个以上法人；</w:t>
      </w:r>
    </w:p>
    <w:p>
      <w:pPr>
        <w:spacing w:line="360" w:lineRule="auto"/>
        <w:rPr>
          <w:rFonts w:ascii="宋体" w:hAnsi="宋体"/>
          <w:sz w:val="24"/>
          <w:szCs w:val="24"/>
        </w:rPr>
      </w:pPr>
      <w:r>
        <w:rPr>
          <w:rFonts w:hint="eastAsia" w:ascii="宋体" w:hAnsi="宋体"/>
          <w:sz w:val="24"/>
          <w:szCs w:val="24"/>
          <w:highlight w:val="white"/>
        </w:rPr>
        <w:t>4.2.2母公司、全资子公司及其控股公司；</w:t>
      </w:r>
    </w:p>
    <w:p>
      <w:pPr>
        <w:spacing w:line="360" w:lineRule="auto"/>
        <w:rPr>
          <w:rFonts w:ascii="宋体" w:hAnsi="宋体"/>
          <w:sz w:val="24"/>
          <w:szCs w:val="24"/>
        </w:rPr>
      </w:pPr>
      <w:r>
        <w:rPr>
          <w:rFonts w:hint="eastAsia" w:ascii="宋体" w:hAnsi="宋体"/>
          <w:sz w:val="24"/>
          <w:szCs w:val="24"/>
          <w:highlight w:val="white"/>
        </w:rPr>
        <w:t>4.2.3参加投标的其他组织之间存在特殊的利害关系的；</w:t>
      </w:r>
    </w:p>
    <w:p>
      <w:pPr>
        <w:spacing w:line="360" w:lineRule="auto"/>
        <w:rPr>
          <w:rFonts w:ascii="宋体" w:hAnsi="宋体"/>
          <w:sz w:val="24"/>
          <w:szCs w:val="24"/>
        </w:rPr>
      </w:pPr>
      <w:r>
        <w:rPr>
          <w:rFonts w:hint="eastAsia" w:ascii="宋体" w:hAnsi="宋体"/>
          <w:sz w:val="24"/>
          <w:szCs w:val="24"/>
          <w:highlight w:val="white"/>
        </w:rPr>
        <w:t>4.2.4法律和行政法规规定的其他情形。</w:t>
      </w:r>
    </w:p>
    <w:p>
      <w:pPr>
        <w:spacing w:line="360" w:lineRule="auto"/>
        <w:rPr>
          <w:rFonts w:ascii="宋体" w:hAnsi="宋体"/>
          <w:b/>
          <w:bCs/>
          <w:sz w:val="24"/>
          <w:szCs w:val="24"/>
        </w:rPr>
      </w:pPr>
      <w:r>
        <w:rPr>
          <w:rFonts w:hint="eastAsia" w:ascii="宋体" w:hAnsi="宋体"/>
          <w:b/>
          <w:bCs/>
          <w:sz w:val="24"/>
          <w:szCs w:val="24"/>
          <w:highlight w:val="white"/>
        </w:rPr>
        <w:t>5.勘察现场</w:t>
      </w:r>
    </w:p>
    <w:p>
      <w:pPr>
        <w:spacing w:line="360" w:lineRule="auto"/>
        <w:rPr>
          <w:rFonts w:ascii="宋体" w:hAnsi="宋体"/>
          <w:sz w:val="24"/>
          <w:szCs w:val="24"/>
        </w:rPr>
      </w:pPr>
      <w:r>
        <w:rPr>
          <w:rFonts w:hint="eastAsia" w:ascii="宋体" w:hAnsi="宋体"/>
          <w:sz w:val="24"/>
          <w:szCs w:val="24"/>
          <w:highlight w:val="white"/>
        </w:rPr>
        <w:t>5.1磋商供应商应自行对服务现场和周围环境进行勘察，以获取编制竞争性磋商响应文件和签署合同所需的资料。勘察现场的方式、地址及联系方式见磋商供应商须知前附表。</w:t>
      </w:r>
    </w:p>
    <w:p>
      <w:pPr>
        <w:spacing w:line="360" w:lineRule="auto"/>
        <w:rPr>
          <w:rFonts w:ascii="宋体" w:hAnsi="宋体"/>
          <w:sz w:val="24"/>
          <w:szCs w:val="24"/>
        </w:rPr>
      </w:pPr>
      <w:r>
        <w:rPr>
          <w:rFonts w:hint="eastAsia" w:ascii="宋体" w:hAnsi="宋体"/>
          <w:sz w:val="24"/>
          <w:szCs w:val="24"/>
          <w:highlight w:val="white"/>
        </w:rPr>
        <w:t>5.2勘察现场所发生的费用由磋商供应商自行承担。采购人向磋商供应商提供的有关服务现场的资料和数据，是采购人现有的能使磋商供应商利用的资料。采购人对磋商供应商由此而做出的推论、理解和结论概不负责。磋商供应商未到服务现场实地踏勘的，中标后签订合同时和履约过程中，不得以不完全了解现场情况为由，提出任何形式的增加合同价款或索赔的要求。</w:t>
      </w:r>
    </w:p>
    <w:p>
      <w:pPr>
        <w:spacing w:line="360" w:lineRule="auto"/>
        <w:rPr>
          <w:rFonts w:ascii="宋体" w:hAnsi="宋体"/>
          <w:sz w:val="24"/>
          <w:szCs w:val="24"/>
        </w:rPr>
      </w:pPr>
      <w:r>
        <w:rPr>
          <w:rFonts w:hint="eastAsia" w:ascii="宋体" w:hAnsi="宋体"/>
          <w:sz w:val="24"/>
          <w:szCs w:val="24"/>
          <w:highlight w:val="white"/>
        </w:rPr>
        <w:t>5.3除非有特殊要求，竞争性磋商文件不单独提供服务使用地的自然环境、气候条件、公用设施等情况，磋商供应商被视为熟悉上述与履行合同有关的一切情况。</w:t>
      </w:r>
    </w:p>
    <w:p>
      <w:pPr>
        <w:spacing w:line="360" w:lineRule="auto"/>
        <w:rPr>
          <w:rFonts w:ascii="宋体" w:hAnsi="宋体"/>
          <w:sz w:val="24"/>
          <w:szCs w:val="24"/>
        </w:rPr>
      </w:pPr>
      <w:r>
        <w:rPr>
          <w:rFonts w:hint="eastAsia" w:ascii="宋体" w:hAnsi="宋体"/>
          <w:b/>
          <w:bCs/>
          <w:sz w:val="24"/>
          <w:szCs w:val="24"/>
          <w:highlight w:val="white"/>
        </w:rPr>
        <w:t>6.知识产权</w:t>
      </w:r>
    </w:p>
    <w:p>
      <w:pPr>
        <w:spacing w:line="360" w:lineRule="auto"/>
        <w:rPr>
          <w:rFonts w:ascii="宋体" w:hAnsi="宋体"/>
          <w:sz w:val="24"/>
          <w:szCs w:val="24"/>
        </w:rPr>
      </w:pPr>
      <w:r>
        <w:rPr>
          <w:rFonts w:hint="eastAsia" w:ascii="宋体" w:hAnsi="宋体"/>
          <w:sz w:val="24"/>
          <w:szCs w:val="24"/>
          <w:highlight w:val="white"/>
        </w:rPr>
        <w:t>6.1磋商供应商须保证，采购人在中华人民共和国境内使用投标货物、资料、技术、服务或其任何一部分时，享有不受限制的无偿使用权，不会产生因第三方提出侵犯其专利权、商标权或其它知识产权而引起的法律或经济纠纷。如磋商供应商不拥有相应的知识产权，则在投标报价中必须包括合法获取该知识产权的一切相关费用。如因此导致采购人损失的，磋商供应商须承担全部赔偿责任。</w:t>
      </w:r>
    </w:p>
    <w:p>
      <w:pPr>
        <w:spacing w:line="360" w:lineRule="auto"/>
        <w:rPr>
          <w:rFonts w:ascii="宋体" w:hAnsi="宋体"/>
          <w:sz w:val="24"/>
          <w:szCs w:val="24"/>
        </w:rPr>
      </w:pPr>
      <w:r>
        <w:rPr>
          <w:rFonts w:hint="eastAsia" w:ascii="宋体" w:hAnsi="宋体"/>
          <w:sz w:val="24"/>
          <w:szCs w:val="24"/>
          <w:highlight w:val="white"/>
        </w:rPr>
        <w:t>6.2磋商供应商如欲在项目实施过程中采用自有知识成果，须在竞争性磋商响应文件中声明，并提供相关知识产权证明文件。使用该知识成果后，磋商供应商须提供开发接口和开发手册等技术文档。</w:t>
      </w:r>
    </w:p>
    <w:p>
      <w:pPr>
        <w:spacing w:line="360" w:lineRule="auto"/>
        <w:rPr>
          <w:rFonts w:ascii="宋体" w:hAnsi="宋体"/>
          <w:b/>
          <w:bCs/>
          <w:sz w:val="24"/>
          <w:szCs w:val="24"/>
        </w:rPr>
      </w:pPr>
      <w:r>
        <w:rPr>
          <w:rFonts w:hint="eastAsia" w:ascii="宋体" w:hAnsi="宋体"/>
          <w:b/>
          <w:bCs/>
          <w:sz w:val="24"/>
          <w:szCs w:val="24"/>
          <w:highlight w:val="white"/>
        </w:rPr>
        <w:t>7.纪律与保密</w:t>
      </w:r>
    </w:p>
    <w:p>
      <w:pPr>
        <w:spacing w:line="360" w:lineRule="auto"/>
        <w:rPr>
          <w:rFonts w:ascii="宋体" w:hAnsi="宋体"/>
          <w:sz w:val="24"/>
          <w:szCs w:val="24"/>
        </w:rPr>
      </w:pPr>
      <w:r>
        <w:rPr>
          <w:rFonts w:hint="eastAsia" w:ascii="宋体" w:hAnsi="宋体"/>
          <w:sz w:val="24"/>
          <w:szCs w:val="24"/>
          <w:highlight w:val="white"/>
        </w:rPr>
        <w:t>7.1磋商供应商的投标行为应遵守中国的有关法律、法规和规章。</w:t>
      </w:r>
    </w:p>
    <w:p>
      <w:pPr>
        <w:spacing w:line="360" w:lineRule="auto"/>
        <w:rPr>
          <w:rFonts w:ascii="宋体" w:hAnsi="宋体"/>
          <w:sz w:val="24"/>
          <w:szCs w:val="24"/>
        </w:rPr>
      </w:pPr>
      <w:r>
        <w:rPr>
          <w:rFonts w:hint="eastAsia" w:ascii="宋体" w:hAnsi="宋体"/>
          <w:sz w:val="24"/>
          <w:szCs w:val="24"/>
          <w:highlight w:val="white"/>
        </w:rPr>
        <w:t>7.2磋商供应商不得相互串通投标报价，不得妨碍其他磋商供应商的公平竞争，不得损害采购人或其他磋商供应商的合法权益，磋商供应商不得以向采购人、磋商小组成员行贿或者采取其他不正当手段谋取中标。</w:t>
      </w:r>
    </w:p>
    <w:p>
      <w:pPr>
        <w:spacing w:line="360" w:lineRule="auto"/>
        <w:rPr>
          <w:rFonts w:ascii="宋体" w:hAnsi="宋体"/>
          <w:sz w:val="24"/>
          <w:szCs w:val="24"/>
        </w:rPr>
      </w:pPr>
      <w:r>
        <w:rPr>
          <w:rFonts w:hint="eastAsia" w:ascii="宋体" w:hAnsi="宋体"/>
          <w:sz w:val="24"/>
          <w:szCs w:val="24"/>
          <w:highlight w:val="white"/>
        </w:rPr>
        <w:t>7.2.1有下列情形之一的，属于磋商供应商相互串通投标：</w:t>
      </w:r>
    </w:p>
    <w:p>
      <w:pPr>
        <w:spacing w:line="360" w:lineRule="auto"/>
        <w:rPr>
          <w:rFonts w:ascii="宋体" w:hAnsi="宋体"/>
          <w:sz w:val="24"/>
          <w:szCs w:val="24"/>
        </w:rPr>
      </w:pPr>
      <w:r>
        <w:rPr>
          <w:rFonts w:hint="eastAsia" w:ascii="宋体" w:hAnsi="宋体"/>
          <w:sz w:val="24"/>
          <w:szCs w:val="24"/>
          <w:highlight w:val="white"/>
        </w:rPr>
        <w:t>7.2.1.1磋商供应商之间协商投标报价等竞争性磋商响应文件的实质性内容；</w:t>
      </w:r>
    </w:p>
    <w:p>
      <w:pPr>
        <w:spacing w:line="360" w:lineRule="auto"/>
        <w:rPr>
          <w:rFonts w:ascii="宋体" w:hAnsi="宋体"/>
          <w:sz w:val="24"/>
          <w:szCs w:val="24"/>
        </w:rPr>
      </w:pPr>
      <w:r>
        <w:rPr>
          <w:rFonts w:hint="eastAsia" w:ascii="宋体" w:hAnsi="宋体"/>
          <w:sz w:val="24"/>
          <w:szCs w:val="24"/>
          <w:highlight w:val="white"/>
        </w:rPr>
        <w:t>7.2.1.2磋商供应商之间约定成交供应商；</w:t>
      </w:r>
    </w:p>
    <w:p>
      <w:pPr>
        <w:spacing w:line="360" w:lineRule="auto"/>
        <w:rPr>
          <w:rFonts w:ascii="宋体" w:hAnsi="宋体"/>
          <w:sz w:val="24"/>
          <w:szCs w:val="24"/>
        </w:rPr>
      </w:pPr>
      <w:r>
        <w:rPr>
          <w:rFonts w:hint="eastAsia" w:ascii="宋体" w:hAnsi="宋体"/>
          <w:sz w:val="24"/>
          <w:szCs w:val="24"/>
          <w:highlight w:val="white"/>
        </w:rPr>
        <w:t>7.2.1.3磋商供应商之间约定部分磋商供应商放弃投标或者中标；</w:t>
      </w:r>
    </w:p>
    <w:p>
      <w:pPr>
        <w:spacing w:line="360" w:lineRule="auto"/>
        <w:rPr>
          <w:rFonts w:ascii="宋体" w:hAnsi="宋体"/>
          <w:sz w:val="24"/>
          <w:szCs w:val="24"/>
        </w:rPr>
      </w:pPr>
      <w:r>
        <w:rPr>
          <w:rFonts w:hint="eastAsia" w:ascii="宋体" w:hAnsi="宋体"/>
          <w:sz w:val="24"/>
          <w:szCs w:val="24"/>
          <w:highlight w:val="white"/>
        </w:rPr>
        <w:t>7.2.1.4属于同一集团、协会、商会等组织成员的磋商供应商按照该组织要求协同投标；</w:t>
      </w:r>
    </w:p>
    <w:p>
      <w:pPr>
        <w:spacing w:line="360" w:lineRule="auto"/>
        <w:rPr>
          <w:rFonts w:ascii="宋体" w:hAnsi="宋体"/>
          <w:sz w:val="24"/>
          <w:szCs w:val="24"/>
        </w:rPr>
      </w:pPr>
      <w:r>
        <w:rPr>
          <w:rFonts w:hint="eastAsia" w:ascii="宋体" w:hAnsi="宋体"/>
          <w:sz w:val="24"/>
          <w:szCs w:val="24"/>
          <w:highlight w:val="white"/>
        </w:rPr>
        <w:t>7.2.1.5磋商供应商之间为谋取中标或者排斥特定磋商供应商而采取的其他联合行动。</w:t>
      </w:r>
    </w:p>
    <w:p>
      <w:pPr>
        <w:spacing w:line="360" w:lineRule="auto"/>
        <w:rPr>
          <w:rFonts w:ascii="宋体" w:hAnsi="宋体"/>
          <w:sz w:val="24"/>
          <w:szCs w:val="24"/>
        </w:rPr>
      </w:pPr>
      <w:r>
        <w:rPr>
          <w:rFonts w:hint="eastAsia" w:ascii="宋体" w:hAnsi="宋体"/>
          <w:sz w:val="24"/>
          <w:szCs w:val="24"/>
          <w:highlight w:val="white"/>
        </w:rPr>
        <w:t>7.2.2 有下列情形之一的，视为磋商供应商相互串通投标：</w:t>
      </w:r>
    </w:p>
    <w:p>
      <w:pPr>
        <w:spacing w:line="360" w:lineRule="auto"/>
        <w:rPr>
          <w:rFonts w:ascii="宋体" w:hAnsi="宋体"/>
          <w:sz w:val="24"/>
          <w:szCs w:val="24"/>
        </w:rPr>
      </w:pPr>
      <w:r>
        <w:rPr>
          <w:rFonts w:hint="eastAsia" w:ascii="宋体" w:hAnsi="宋体"/>
          <w:sz w:val="24"/>
          <w:szCs w:val="24"/>
          <w:highlight w:val="white"/>
        </w:rPr>
        <w:t>7.2.2.1不同磋商供应商的竞争性磋商响应文件由同一单位或者个人编制；</w:t>
      </w:r>
    </w:p>
    <w:p>
      <w:pPr>
        <w:spacing w:line="360" w:lineRule="auto"/>
        <w:rPr>
          <w:rFonts w:ascii="宋体" w:hAnsi="宋体"/>
          <w:sz w:val="24"/>
          <w:szCs w:val="24"/>
        </w:rPr>
      </w:pPr>
      <w:r>
        <w:rPr>
          <w:rFonts w:hint="eastAsia" w:ascii="宋体" w:hAnsi="宋体"/>
          <w:sz w:val="24"/>
          <w:szCs w:val="24"/>
          <w:highlight w:val="white"/>
        </w:rPr>
        <w:t>7.2.2.2不同磋商供应商委托同一单位或者个人办理投标事宜；</w:t>
      </w:r>
    </w:p>
    <w:p>
      <w:pPr>
        <w:spacing w:line="360" w:lineRule="auto"/>
        <w:rPr>
          <w:rFonts w:ascii="宋体" w:hAnsi="宋体"/>
          <w:sz w:val="24"/>
          <w:szCs w:val="24"/>
        </w:rPr>
      </w:pPr>
      <w:r>
        <w:rPr>
          <w:rFonts w:hint="eastAsia" w:ascii="宋体" w:hAnsi="宋体"/>
          <w:sz w:val="24"/>
          <w:szCs w:val="24"/>
          <w:highlight w:val="white"/>
        </w:rPr>
        <w:t>7.2.2.3不同磋商供应商的竞争性磋商响应文件载明的项目管理成员为同一人；</w:t>
      </w:r>
    </w:p>
    <w:p>
      <w:pPr>
        <w:spacing w:line="360" w:lineRule="auto"/>
        <w:rPr>
          <w:rFonts w:ascii="宋体" w:hAnsi="宋体"/>
          <w:sz w:val="24"/>
          <w:szCs w:val="24"/>
        </w:rPr>
      </w:pPr>
      <w:r>
        <w:rPr>
          <w:rFonts w:hint="eastAsia" w:ascii="宋体" w:hAnsi="宋体"/>
          <w:sz w:val="24"/>
          <w:szCs w:val="24"/>
          <w:highlight w:val="white"/>
        </w:rPr>
        <w:t>7.2.2.4不同磋商供应商的竞争性磋商响应文件异常一致或者投标报价呈规律性差异；</w:t>
      </w:r>
    </w:p>
    <w:p>
      <w:pPr>
        <w:spacing w:line="360" w:lineRule="auto"/>
        <w:rPr>
          <w:rFonts w:ascii="宋体" w:hAnsi="宋体"/>
          <w:sz w:val="24"/>
          <w:szCs w:val="24"/>
        </w:rPr>
      </w:pPr>
      <w:r>
        <w:rPr>
          <w:rFonts w:hint="eastAsia" w:ascii="宋体" w:hAnsi="宋体"/>
          <w:sz w:val="24"/>
          <w:szCs w:val="24"/>
          <w:highlight w:val="white"/>
        </w:rPr>
        <w:t>7.2.2.5不同磋商供应商的竞争性磋商响应文件相互混装；</w:t>
      </w:r>
    </w:p>
    <w:p>
      <w:pPr>
        <w:spacing w:line="360" w:lineRule="auto"/>
        <w:rPr>
          <w:rFonts w:ascii="宋体" w:hAnsi="宋体"/>
          <w:sz w:val="24"/>
          <w:szCs w:val="24"/>
        </w:rPr>
      </w:pPr>
      <w:r>
        <w:rPr>
          <w:rFonts w:hint="eastAsia" w:ascii="宋体" w:hAnsi="宋体"/>
          <w:sz w:val="24"/>
          <w:szCs w:val="24"/>
          <w:highlight w:val="white"/>
        </w:rPr>
        <w:t>7.2.2.6不同磋商供应商的投标保证金从同一单位或者个人的账户转出。</w:t>
      </w:r>
    </w:p>
    <w:p>
      <w:pPr>
        <w:spacing w:line="360" w:lineRule="auto"/>
        <w:rPr>
          <w:rFonts w:ascii="宋体" w:hAnsi="宋体"/>
          <w:sz w:val="24"/>
          <w:szCs w:val="24"/>
        </w:rPr>
      </w:pPr>
      <w:r>
        <w:rPr>
          <w:rFonts w:hint="eastAsia" w:ascii="宋体" w:hAnsi="宋体"/>
          <w:sz w:val="24"/>
          <w:szCs w:val="24"/>
          <w:highlight w:val="white"/>
        </w:rPr>
        <w:t>7.3在确定成交供应商之前，磋商供应商不得与采购人就投标价格、投标方案等实质性内容进行磋商，也不得私下接触磋商小组成员。</w:t>
      </w:r>
    </w:p>
    <w:p>
      <w:pPr>
        <w:spacing w:line="360" w:lineRule="auto"/>
        <w:rPr>
          <w:rFonts w:ascii="宋体" w:hAnsi="宋体"/>
          <w:sz w:val="24"/>
          <w:szCs w:val="24"/>
        </w:rPr>
      </w:pPr>
      <w:r>
        <w:rPr>
          <w:rFonts w:hint="eastAsia" w:ascii="宋体" w:hAnsi="宋体"/>
          <w:sz w:val="24"/>
          <w:szCs w:val="24"/>
          <w:highlight w:val="white"/>
        </w:rPr>
        <w:t>7.4在确定成交供应商之前，磋商供应商试图在竞争性磋商响应文件审查、澄清、比较和评价时对磋商小组施加任何影响都可能导致其投标无效。</w:t>
      </w:r>
    </w:p>
    <w:p>
      <w:pPr>
        <w:spacing w:line="360" w:lineRule="auto"/>
        <w:rPr>
          <w:rFonts w:ascii="宋体" w:hAnsi="宋体"/>
          <w:sz w:val="24"/>
          <w:szCs w:val="24"/>
          <w:highlight w:val="white"/>
        </w:rPr>
      </w:pPr>
      <w:r>
        <w:rPr>
          <w:rFonts w:hint="eastAsia" w:ascii="宋体" w:hAnsi="宋体"/>
          <w:sz w:val="24"/>
          <w:szCs w:val="24"/>
          <w:highlight w:val="white"/>
        </w:rPr>
        <w:t>7.5由采购人向磋商供应商提供的图纸、详细资料等资料，被视为保密资料，仅被用于它所规定的用途。除非得到采购人的同意，不能向任何第三方透露。</w:t>
      </w:r>
    </w:p>
    <w:p>
      <w:pPr>
        <w:spacing w:line="360" w:lineRule="auto"/>
        <w:rPr>
          <w:rFonts w:ascii="宋体" w:hAnsi="宋体"/>
          <w:b/>
          <w:bCs/>
          <w:sz w:val="24"/>
          <w:szCs w:val="24"/>
        </w:rPr>
      </w:pPr>
      <w:r>
        <w:rPr>
          <w:rFonts w:hint="eastAsia" w:ascii="宋体" w:hAnsi="宋体"/>
          <w:b/>
          <w:bCs/>
          <w:sz w:val="24"/>
          <w:szCs w:val="24"/>
          <w:highlight w:val="white"/>
        </w:rPr>
        <w:t>8.联合体投标</w:t>
      </w:r>
    </w:p>
    <w:p>
      <w:pPr>
        <w:spacing w:line="360" w:lineRule="auto"/>
        <w:rPr>
          <w:rFonts w:ascii="宋体" w:hAnsi="宋体"/>
          <w:sz w:val="24"/>
          <w:szCs w:val="24"/>
        </w:rPr>
      </w:pPr>
      <w:r>
        <w:rPr>
          <w:rFonts w:hint="eastAsia" w:ascii="宋体" w:hAnsi="宋体"/>
          <w:sz w:val="24"/>
          <w:szCs w:val="24"/>
          <w:highlight w:val="white"/>
        </w:rPr>
        <w:t>8.1除非本项目明确要求不接受联合体形式投标外，两个或两个以上供应商可以组成一个联合体投标，以一个磋商供应商的身份投标。</w:t>
      </w:r>
    </w:p>
    <w:p>
      <w:pPr>
        <w:spacing w:line="360" w:lineRule="auto"/>
        <w:rPr>
          <w:rFonts w:ascii="宋体" w:hAnsi="宋体"/>
          <w:b/>
          <w:bCs/>
          <w:sz w:val="24"/>
          <w:szCs w:val="24"/>
        </w:rPr>
      </w:pPr>
      <w:r>
        <w:rPr>
          <w:rFonts w:hint="eastAsia" w:ascii="宋体" w:hAnsi="宋体"/>
          <w:sz w:val="24"/>
          <w:szCs w:val="24"/>
          <w:highlight w:val="white"/>
        </w:rPr>
        <w:t>8.2以联合体形式参加投标的，联合体各方均应当符合《政府采购法》第二十二条第一款规定的条件，根据采购项目的特殊要求规定磋商供应商特定条件的，联合体各方中至少应当有一方符合。</w:t>
      </w:r>
    </w:p>
    <w:p>
      <w:pPr>
        <w:spacing w:line="360" w:lineRule="auto"/>
        <w:rPr>
          <w:rFonts w:ascii="宋体" w:hAnsi="宋体"/>
          <w:sz w:val="24"/>
          <w:szCs w:val="24"/>
        </w:rPr>
      </w:pPr>
      <w:r>
        <w:rPr>
          <w:rFonts w:hint="eastAsia" w:ascii="宋体" w:hAnsi="宋体"/>
          <w:sz w:val="24"/>
          <w:szCs w:val="24"/>
          <w:highlight w:val="white"/>
        </w:rPr>
        <w:t>8.3联合体各方之间应当签订联合体协议，明确约定联合体各方应当承担的工作和相应的责任，并将联合体协议连同竞争性磋商响应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rPr>
          <w:rFonts w:ascii="宋体" w:hAnsi="宋体"/>
          <w:sz w:val="24"/>
          <w:szCs w:val="24"/>
        </w:rPr>
      </w:pPr>
      <w:r>
        <w:rPr>
          <w:rFonts w:hint="eastAsia" w:ascii="宋体" w:hAnsi="宋体"/>
          <w:sz w:val="24"/>
          <w:szCs w:val="24"/>
          <w:highlight w:val="white"/>
        </w:rPr>
        <w:t>8.4联合体投标的，可以由联合体中的一方或者共同提交投标保证金，以一方名义提交保证金的，对联合体各方均具有约束力。</w:t>
      </w:r>
    </w:p>
    <w:p>
      <w:pPr>
        <w:spacing w:line="360" w:lineRule="auto"/>
        <w:rPr>
          <w:rFonts w:ascii="宋体" w:hAnsi="宋体"/>
          <w:b/>
          <w:bCs/>
          <w:sz w:val="24"/>
          <w:szCs w:val="24"/>
        </w:rPr>
      </w:pPr>
      <w:r>
        <w:rPr>
          <w:rFonts w:hint="eastAsia" w:ascii="宋体" w:hAnsi="宋体"/>
          <w:b/>
          <w:bCs/>
          <w:sz w:val="24"/>
          <w:szCs w:val="24"/>
          <w:highlight w:val="white"/>
        </w:rPr>
        <w:t>9.合同标的转让</w:t>
      </w:r>
    </w:p>
    <w:p>
      <w:pPr>
        <w:spacing w:line="360" w:lineRule="auto"/>
        <w:rPr>
          <w:rFonts w:ascii="宋体" w:hAnsi="宋体"/>
          <w:sz w:val="24"/>
          <w:szCs w:val="24"/>
        </w:rPr>
      </w:pPr>
      <w:r>
        <w:rPr>
          <w:rFonts w:hint="eastAsia" w:ascii="宋体" w:hAnsi="宋体"/>
          <w:sz w:val="24"/>
          <w:szCs w:val="24"/>
          <w:highlight w:val="white"/>
        </w:rPr>
        <w:t xml:space="preserve">9.1合同未约定或者未经采购人同意，成交供应商不得向他人转让中标项目，也不得将中标项目肢解后分别向他人转让。 </w:t>
      </w:r>
    </w:p>
    <w:p>
      <w:pPr>
        <w:spacing w:line="360" w:lineRule="auto"/>
        <w:rPr>
          <w:rFonts w:ascii="宋体" w:hAnsi="宋体"/>
          <w:sz w:val="24"/>
          <w:szCs w:val="24"/>
        </w:rPr>
      </w:pPr>
      <w:r>
        <w:rPr>
          <w:rFonts w:hint="eastAsia" w:ascii="宋体" w:hAnsi="宋体"/>
          <w:sz w:val="24"/>
          <w:szCs w:val="24"/>
          <w:highlight w:val="white"/>
        </w:rPr>
        <w:t>9.2合同约定或者经采购人同意，成交供应商可以将中标项目的部分非主体、非关键性工作分包给他人完成。接受分包的人应当具备相应的资格条件，并不得再次分包。如果本项目允许分包，采购人根据采购项目的实际情况，拟在中标后将中标项目的非主体、非关键性工作交由他人完成的，应在竞争性磋商响应文件中载明。</w:t>
      </w:r>
    </w:p>
    <w:p>
      <w:pPr>
        <w:spacing w:line="360" w:lineRule="auto"/>
        <w:rPr>
          <w:rFonts w:ascii="宋体" w:hAnsi="宋体"/>
          <w:sz w:val="24"/>
          <w:szCs w:val="24"/>
        </w:rPr>
      </w:pPr>
      <w:r>
        <w:rPr>
          <w:rFonts w:hint="eastAsia" w:ascii="宋体" w:hAnsi="宋体"/>
          <w:sz w:val="24"/>
          <w:szCs w:val="24"/>
          <w:highlight w:val="white"/>
        </w:rPr>
        <w:t>9.3成交供应商应当就分包项目向采购人负责，接受分包的人就分包项目承担连带责任。</w:t>
      </w:r>
    </w:p>
    <w:p>
      <w:pPr>
        <w:pStyle w:val="6"/>
        <w:spacing w:line="360" w:lineRule="auto"/>
        <w:ind w:firstLine="628"/>
        <w:rPr>
          <w:rFonts w:hAnsi="宋体"/>
          <w:sz w:val="28"/>
          <w:szCs w:val="28"/>
        </w:rPr>
      </w:pPr>
      <w:bookmarkStart w:id="77" w:name="_Hlt509650690"/>
      <w:bookmarkEnd w:id="77"/>
      <w:bookmarkStart w:id="78" w:name="_Hlt526418153"/>
      <w:bookmarkEnd w:id="78"/>
      <w:bookmarkStart w:id="79" w:name="_Hlt509649678"/>
      <w:bookmarkEnd w:id="79"/>
      <w:bookmarkStart w:id="80" w:name="_Hlt509650929"/>
      <w:bookmarkEnd w:id="80"/>
      <w:bookmarkStart w:id="81" w:name="_Hlt509649669"/>
      <w:bookmarkEnd w:id="81"/>
      <w:bookmarkStart w:id="82" w:name="_Hlt509649645"/>
      <w:bookmarkEnd w:id="82"/>
      <w:bookmarkStart w:id="83" w:name="_Hlt509650103"/>
      <w:bookmarkEnd w:id="83"/>
      <w:bookmarkStart w:id="84" w:name="_Hlt509650116"/>
      <w:bookmarkEnd w:id="84"/>
      <w:bookmarkStart w:id="85" w:name="_Hlt509650961"/>
      <w:bookmarkEnd w:id="85"/>
      <w:bookmarkStart w:id="86" w:name="_Hlt509650333"/>
      <w:bookmarkEnd w:id="86"/>
      <w:bookmarkStart w:id="87" w:name="_Hlt509650932"/>
      <w:bookmarkEnd w:id="87"/>
      <w:bookmarkStart w:id="88" w:name="_Hlt509650936"/>
      <w:bookmarkEnd w:id="88"/>
      <w:bookmarkStart w:id="89" w:name="_Hlt509649330"/>
      <w:bookmarkEnd w:id="89"/>
      <w:bookmarkStart w:id="90" w:name="_Hlt509649795"/>
      <w:bookmarkEnd w:id="90"/>
      <w:bookmarkStart w:id="91" w:name="_Toc407096151"/>
      <w:r>
        <w:rPr>
          <w:rFonts w:hint="eastAsia" w:hAnsi="宋体"/>
          <w:sz w:val="28"/>
          <w:szCs w:val="28"/>
          <w:highlight w:val="white"/>
        </w:rPr>
        <w:t>二．竞争性磋商文件</w:t>
      </w:r>
      <w:bookmarkEnd w:id="91"/>
      <w:bookmarkStart w:id="92" w:name="_Hlt509650361"/>
      <w:bookmarkEnd w:id="92"/>
      <w:bookmarkStart w:id="93" w:name="_Hlt509649791"/>
      <w:bookmarkEnd w:id="93"/>
      <w:bookmarkStart w:id="94" w:name="_Hlt509649930"/>
      <w:bookmarkEnd w:id="94"/>
    </w:p>
    <w:p>
      <w:pPr>
        <w:spacing w:line="360" w:lineRule="auto"/>
        <w:rPr>
          <w:rFonts w:ascii="宋体" w:hAnsi="宋体"/>
          <w:b/>
          <w:bCs/>
          <w:sz w:val="24"/>
          <w:szCs w:val="24"/>
        </w:rPr>
      </w:pPr>
      <w:bookmarkStart w:id="95" w:name="_Hlt509650734"/>
      <w:bookmarkEnd w:id="95"/>
      <w:r>
        <w:rPr>
          <w:rFonts w:hint="eastAsia" w:ascii="宋体" w:hAnsi="宋体"/>
          <w:b/>
          <w:bCs/>
          <w:sz w:val="24"/>
          <w:szCs w:val="24"/>
          <w:highlight w:val="white"/>
        </w:rPr>
        <w:t>10.竞争性磋商文件构成</w:t>
      </w:r>
    </w:p>
    <w:p>
      <w:pPr>
        <w:spacing w:line="312" w:lineRule="auto"/>
        <w:rPr>
          <w:rFonts w:ascii="宋体" w:hAnsi="宋体"/>
          <w:sz w:val="24"/>
          <w:szCs w:val="24"/>
        </w:rPr>
      </w:pPr>
      <w:r>
        <w:rPr>
          <w:rFonts w:hint="eastAsia" w:ascii="宋体" w:hAnsi="宋体"/>
          <w:sz w:val="24"/>
          <w:szCs w:val="24"/>
          <w:highlight w:val="white"/>
        </w:rPr>
        <w:t>10.1竞争性磋商文件包括以下部分：</w:t>
      </w:r>
    </w:p>
    <w:p>
      <w:pPr>
        <w:spacing w:line="312" w:lineRule="auto"/>
        <w:rPr>
          <w:rFonts w:ascii="宋体" w:hAnsi="宋体"/>
          <w:sz w:val="24"/>
          <w:szCs w:val="24"/>
        </w:rPr>
      </w:pPr>
      <w:r>
        <w:rPr>
          <w:rFonts w:hint="eastAsia" w:ascii="宋体" w:hAnsi="宋体"/>
          <w:sz w:val="24"/>
          <w:szCs w:val="24"/>
          <w:highlight w:val="white"/>
        </w:rPr>
        <w:t>10.1.1第一章：竞争性磋商公告；</w:t>
      </w:r>
    </w:p>
    <w:p>
      <w:pPr>
        <w:spacing w:line="312" w:lineRule="auto"/>
        <w:rPr>
          <w:rFonts w:ascii="宋体" w:hAnsi="宋体"/>
          <w:sz w:val="24"/>
          <w:szCs w:val="24"/>
        </w:rPr>
      </w:pPr>
      <w:r>
        <w:rPr>
          <w:rFonts w:hint="eastAsia" w:ascii="宋体" w:hAnsi="宋体"/>
          <w:sz w:val="24"/>
          <w:szCs w:val="24"/>
          <w:highlight w:val="white"/>
        </w:rPr>
        <w:t>10.1.2第二章：</w:t>
      </w:r>
      <w:bookmarkStart w:id="96" w:name="_Hlt509650925"/>
      <w:bookmarkEnd w:id="96"/>
      <w:r>
        <w:rPr>
          <w:rFonts w:hint="eastAsia" w:ascii="宋体" w:hAnsi="宋体"/>
          <w:sz w:val="24"/>
          <w:szCs w:val="24"/>
          <w:highlight w:val="white"/>
        </w:rPr>
        <w:t>磋商供应商须知前附表；</w:t>
      </w:r>
    </w:p>
    <w:p>
      <w:pPr>
        <w:spacing w:line="312" w:lineRule="auto"/>
        <w:rPr>
          <w:rFonts w:ascii="宋体" w:hAnsi="宋体"/>
          <w:sz w:val="24"/>
          <w:szCs w:val="24"/>
        </w:rPr>
      </w:pPr>
      <w:r>
        <w:rPr>
          <w:rFonts w:hint="eastAsia" w:ascii="宋体" w:hAnsi="宋体"/>
          <w:sz w:val="24"/>
          <w:szCs w:val="24"/>
          <w:highlight w:val="white"/>
        </w:rPr>
        <w:t>10.1.3第三章：采购需求；</w:t>
      </w:r>
    </w:p>
    <w:p>
      <w:pPr>
        <w:spacing w:line="312" w:lineRule="auto"/>
        <w:rPr>
          <w:rFonts w:ascii="宋体" w:hAnsi="宋体"/>
          <w:sz w:val="24"/>
          <w:szCs w:val="24"/>
        </w:rPr>
      </w:pPr>
      <w:r>
        <w:rPr>
          <w:rFonts w:hint="eastAsia" w:ascii="宋体" w:hAnsi="宋体"/>
          <w:sz w:val="24"/>
          <w:szCs w:val="24"/>
          <w:highlight w:val="white"/>
        </w:rPr>
        <w:t>10.1.4第四章：评标办法；</w:t>
      </w:r>
    </w:p>
    <w:p>
      <w:pPr>
        <w:spacing w:line="312" w:lineRule="auto"/>
        <w:rPr>
          <w:rFonts w:ascii="宋体" w:hAnsi="宋体"/>
          <w:sz w:val="24"/>
          <w:szCs w:val="24"/>
        </w:rPr>
      </w:pPr>
      <w:r>
        <w:rPr>
          <w:rFonts w:hint="eastAsia" w:ascii="宋体" w:hAnsi="宋体"/>
          <w:sz w:val="24"/>
          <w:szCs w:val="24"/>
          <w:highlight w:val="white"/>
        </w:rPr>
        <w:t>10.1.5第五章：磋商供应商须知；</w:t>
      </w:r>
    </w:p>
    <w:p>
      <w:pPr>
        <w:spacing w:line="312" w:lineRule="auto"/>
        <w:rPr>
          <w:rFonts w:ascii="宋体" w:hAnsi="宋体"/>
          <w:sz w:val="24"/>
          <w:szCs w:val="24"/>
        </w:rPr>
      </w:pPr>
      <w:r>
        <w:rPr>
          <w:rFonts w:hint="eastAsia" w:ascii="宋体" w:hAnsi="宋体"/>
          <w:sz w:val="24"/>
          <w:szCs w:val="24"/>
          <w:highlight w:val="white"/>
        </w:rPr>
        <w:t>10.1.6第六章：采购合同；</w:t>
      </w:r>
    </w:p>
    <w:p>
      <w:pPr>
        <w:spacing w:line="312" w:lineRule="auto"/>
        <w:rPr>
          <w:rFonts w:ascii="宋体" w:hAnsi="宋体"/>
          <w:sz w:val="24"/>
          <w:szCs w:val="24"/>
        </w:rPr>
      </w:pPr>
      <w:r>
        <w:rPr>
          <w:rFonts w:hint="eastAsia" w:ascii="宋体" w:hAnsi="宋体"/>
          <w:sz w:val="24"/>
          <w:szCs w:val="24"/>
          <w:highlight w:val="white"/>
        </w:rPr>
        <w:t>10.1.7第七章：竞争性磋商响应文件格式；</w:t>
      </w:r>
    </w:p>
    <w:p>
      <w:pPr>
        <w:spacing w:line="312" w:lineRule="auto"/>
        <w:rPr>
          <w:rFonts w:ascii="宋体" w:hAnsi="宋体"/>
          <w:sz w:val="24"/>
          <w:szCs w:val="24"/>
        </w:rPr>
      </w:pPr>
      <w:r>
        <w:rPr>
          <w:rFonts w:hint="eastAsia" w:ascii="宋体" w:hAnsi="宋体"/>
          <w:sz w:val="24"/>
          <w:szCs w:val="24"/>
          <w:highlight w:val="white"/>
        </w:rPr>
        <w:t>10.1.8采购人发布的图纸、答疑、补遗、补充通知等。</w:t>
      </w:r>
    </w:p>
    <w:p>
      <w:pPr>
        <w:spacing w:line="360" w:lineRule="auto"/>
        <w:rPr>
          <w:rFonts w:ascii="宋体" w:hAnsi="宋体"/>
          <w:sz w:val="24"/>
          <w:szCs w:val="24"/>
        </w:rPr>
      </w:pPr>
      <w:r>
        <w:rPr>
          <w:rFonts w:hint="eastAsia" w:ascii="宋体" w:hAnsi="宋体"/>
          <w:sz w:val="24"/>
          <w:szCs w:val="24"/>
          <w:highlight w:val="white"/>
        </w:rPr>
        <w:t>10.2 磋商供应商应认真阅读竞争性磋商文件中所有的事项、格式、条件、条款和规范等要求。</w:t>
      </w:r>
    </w:p>
    <w:p>
      <w:pPr>
        <w:spacing w:line="360" w:lineRule="auto"/>
        <w:rPr>
          <w:rFonts w:ascii="宋体" w:hAnsi="宋体"/>
          <w:sz w:val="24"/>
          <w:szCs w:val="24"/>
        </w:rPr>
      </w:pPr>
      <w:r>
        <w:rPr>
          <w:rFonts w:hint="eastAsia" w:ascii="宋体" w:hAnsi="宋体"/>
          <w:sz w:val="24"/>
          <w:szCs w:val="24"/>
          <w:highlight w:val="white"/>
        </w:rPr>
        <w:t>10.3磋商供应商应当按照竞争性磋商文件的要求编制竞争性磋商响应文件。竞争性磋商响应文件应对竞争性磋商文件提出的要求和条件作出实质性响应。</w:t>
      </w:r>
    </w:p>
    <w:p>
      <w:pPr>
        <w:spacing w:line="360" w:lineRule="auto"/>
        <w:rPr>
          <w:rFonts w:ascii="宋体" w:hAnsi="宋体"/>
          <w:sz w:val="24"/>
          <w:szCs w:val="24"/>
        </w:rPr>
      </w:pPr>
      <w:r>
        <w:rPr>
          <w:rFonts w:hint="eastAsia" w:ascii="宋体" w:hAnsi="宋体"/>
          <w:sz w:val="24"/>
          <w:szCs w:val="24"/>
          <w:highlight w:val="white"/>
        </w:rPr>
        <w:t>10.4磋商供应商获取竞争性磋商文件后，应仔细检查竞争性磋商文件的所有内容，如有残缺等问题应在获得竞争性磋商文件5日内向采购人或采购代理机构提出，否则，由此引起的损失由磋商供应商自行承担。</w:t>
      </w:r>
    </w:p>
    <w:p>
      <w:pPr>
        <w:spacing w:line="360" w:lineRule="auto"/>
        <w:rPr>
          <w:rFonts w:ascii="宋体" w:hAnsi="宋体"/>
          <w:b/>
          <w:bCs/>
          <w:sz w:val="24"/>
          <w:szCs w:val="24"/>
        </w:rPr>
      </w:pPr>
      <w:r>
        <w:rPr>
          <w:rFonts w:hint="eastAsia" w:ascii="宋体" w:hAnsi="宋体"/>
          <w:b/>
          <w:bCs/>
          <w:sz w:val="24"/>
          <w:szCs w:val="24"/>
          <w:highlight w:val="white"/>
        </w:rPr>
        <w:t>11.答疑及竞争性磋商文件的澄清与修改</w:t>
      </w:r>
    </w:p>
    <w:p>
      <w:pPr>
        <w:spacing w:line="360" w:lineRule="auto"/>
        <w:rPr>
          <w:rFonts w:ascii="宋体" w:hAnsi="宋体"/>
          <w:sz w:val="24"/>
          <w:szCs w:val="24"/>
          <w:highlight w:val="white"/>
        </w:rPr>
      </w:pPr>
      <w:r>
        <w:rPr>
          <w:rFonts w:hint="eastAsia" w:ascii="宋体" w:hAnsi="宋体"/>
          <w:sz w:val="24"/>
          <w:szCs w:val="24"/>
          <w:highlight w:val="white"/>
        </w:rPr>
        <w:t>11.1磋商供应商如果对竞争性磋商文件等竞争性磋商文件的其他任何内容有相关疑问，可以于磋商供应商须知前附表列明的答疑接受时间前，以网上形式向采购人和采购代理机构提出。</w:t>
      </w:r>
    </w:p>
    <w:p>
      <w:pPr>
        <w:spacing w:line="360" w:lineRule="auto"/>
        <w:rPr>
          <w:rFonts w:ascii="宋体" w:hAnsi="宋体"/>
          <w:sz w:val="24"/>
          <w:szCs w:val="24"/>
        </w:rPr>
      </w:pPr>
      <w:r>
        <w:rPr>
          <w:rFonts w:hint="eastAsia" w:ascii="宋体" w:hAnsi="宋体"/>
          <w:sz w:val="24"/>
          <w:szCs w:val="24"/>
          <w:highlight w:val="white"/>
        </w:rPr>
        <w:t>11.3采购代理机构对竞争性磋商文件进行的澄清、更正或更改，将在网站上及时发布，该公告内容为竞争性磋商文件的组成部分，对磋商供应商具有同样约束力效力。磋商供应商应主动上网查询。采购人和采购代理机构不承担磋商供应商未及时关注相关信息引发的相关责任。</w:t>
      </w:r>
    </w:p>
    <w:p>
      <w:pPr>
        <w:spacing w:line="360" w:lineRule="auto"/>
        <w:rPr>
          <w:rFonts w:ascii="宋体" w:hAnsi="宋体"/>
          <w:sz w:val="24"/>
          <w:szCs w:val="24"/>
        </w:rPr>
      </w:pPr>
      <w:r>
        <w:rPr>
          <w:rFonts w:hint="eastAsia" w:ascii="宋体" w:hAnsi="宋体"/>
          <w:sz w:val="24"/>
          <w:szCs w:val="24"/>
        </w:rPr>
        <w:t>11.4在投标截止时间前，采购人和采购代理机构可以视采购具体情况，延长投标截止时间和开标时间，并在竞争性磋商文件要求提交竞争性磋商响应文件的截止时间五日前，在网站上发布变更公告。在上述情况下，采购人和磋商供应商在投标截止期方面的全部权力、责任和义务，将适用于延长后新的投标截止期。</w:t>
      </w:r>
    </w:p>
    <w:p>
      <w:pPr>
        <w:spacing w:line="360" w:lineRule="auto"/>
        <w:rPr>
          <w:rFonts w:ascii="宋体" w:hAnsi="宋体"/>
          <w:sz w:val="28"/>
          <w:szCs w:val="28"/>
        </w:rPr>
      </w:pPr>
      <w:r>
        <w:rPr>
          <w:rFonts w:hint="eastAsia" w:ascii="宋体" w:hAnsi="宋体"/>
          <w:sz w:val="24"/>
          <w:szCs w:val="24"/>
          <w:highlight w:val="white"/>
        </w:rPr>
        <w:t>11.5特殊情况下，采购人和采购代理机构发布澄清、更正或更改公告后，征得磋商供应商同意，可不改变投标截止时间和开标时间。</w:t>
      </w:r>
    </w:p>
    <w:p>
      <w:pPr>
        <w:pStyle w:val="6"/>
        <w:spacing w:line="360" w:lineRule="auto"/>
        <w:ind w:firstLine="628"/>
        <w:rPr>
          <w:rFonts w:hAnsi="宋体"/>
          <w:sz w:val="28"/>
          <w:szCs w:val="28"/>
        </w:rPr>
      </w:pPr>
      <w:bookmarkStart w:id="97" w:name="_Hlt509649724"/>
      <w:bookmarkEnd w:id="97"/>
      <w:bookmarkStart w:id="98" w:name="_Hlt510342861"/>
      <w:bookmarkEnd w:id="98"/>
      <w:bookmarkStart w:id="99" w:name="_Hlt509650697"/>
      <w:bookmarkEnd w:id="99"/>
      <w:bookmarkStart w:id="100" w:name="_Toc407096152"/>
      <w:r>
        <w:rPr>
          <w:rFonts w:hint="eastAsia" w:hAnsi="宋体"/>
          <w:sz w:val="28"/>
          <w:szCs w:val="28"/>
          <w:highlight w:val="white"/>
        </w:rPr>
        <w:t>三．竞争性磋商响应文件的编制</w:t>
      </w:r>
      <w:bookmarkEnd w:id="100"/>
    </w:p>
    <w:p>
      <w:pPr>
        <w:spacing w:line="360" w:lineRule="auto"/>
        <w:rPr>
          <w:rFonts w:ascii="宋体" w:hAnsi="宋体"/>
          <w:b/>
          <w:bCs/>
          <w:sz w:val="24"/>
          <w:szCs w:val="24"/>
        </w:rPr>
      </w:pPr>
      <w:r>
        <w:rPr>
          <w:rFonts w:hint="eastAsia" w:ascii="宋体" w:hAnsi="宋体"/>
          <w:b/>
          <w:bCs/>
          <w:sz w:val="24"/>
          <w:szCs w:val="24"/>
          <w:highlight w:val="white"/>
        </w:rPr>
        <w:t>12.竞争性磋商响应文件构成与格式</w:t>
      </w:r>
    </w:p>
    <w:p>
      <w:pPr>
        <w:spacing w:line="360" w:lineRule="auto"/>
        <w:rPr>
          <w:rFonts w:ascii="宋体" w:hAnsi="宋体"/>
          <w:sz w:val="24"/>
          <w:szCs w:val="24"/>
        </w:rPr>
      </w:pPr>
      <w:bookmarkStart w:id="101" w:name="_Hlt509650345"/>
      <w:bookmarkEnd w:id="101"/>
      <w:r>
        <w:rPr>
          <w:rFonts w:hint="eastAsia" w:ascii="宋体" w:hAnsi="宋体"/>
          <w:sz w:val="24"/>
          <w:szCs w:val="24"/>
          <w:highlight w:val="white"/>
        </w:rPr>
        <w:t>12.1竞争性磋商响应文件是对竞争性磋商文件的实质性响应及承诺文件。</w:t>
      </w:r>
    </w:p>
    <w:p>
      <w:pPr>
        <w:spacing w:line="360" w:lineRule="auto"/>
        <w:rPr>
          <w:rFonts w:ascii="宋体" w:hAnsi="宋体"/>
          <w:sz w:val="24"/>
          <w:szCs w:val="24"/>
        </w:rPr>
      </w:pPr>
      <w:r>
        <w:rPr>
          <w:rFonts w:hint="eastAsia" w:ascii="宋体" w:hAnsi="宋体"/>
          <w:sz w:val="24"/>
          <w:szCs w:val="24"/>
          <w:highlight w:val="white"/>
        </w:rPr>
        <w:t>12.2除非注明“磋商供应商可自行制作格式”，竞争性磋商响应文件应使用竞争性磋商文件提供的格式。</w:t>
      </w:r>
    </w:p>
    <w:p>
      <w:pPr>
        <w:spacing w:line="360" w:lineRule="auto"/>
        <w:rPr>
          <w:rFonts w:ascii="宋体" w:hAnsi="宋体"/>
          <w:sz w:val="24"/>
          <w:szCs w:val="24"/>
        </w:rPr>
      </w:pPr>
      <w:r>
        <w:rPr>
          <w:rFonts w:hint="eastAsia" w:ascii="宋体" w:hAnsi="宋体"/>
          <w:sz w:val="24"/>
          <w:szCs w:val="24"/>
          <w:highlight w:val="white"/>
        </w:rPr>
        <w:t>12.3除专用术语外，竞争性磋商响应文件以及磋商供应商与采购人就有关投标的往来函电均应使用中文。磋商供应商提交的支持性文件和印制的文件可以用另一种语言，但相应内容应翻译成中文，对不同文字文本竞争性磋商响应文件的解释发生异议的，以中文文本为准。</w:t>
      </w:r>
    </w:p>
    <w:p>
      <w:pPr>
        <w:spacing w:line="360" w:lineRule="auto"/>
        <w:rPr>
          <w:rFonts w:ascii="宋体" w:hAnsi="宋体"/>
          <w:sz w:val="24"/>
          <w:szCs w:val="24"/>
        </w:rPr>
      </w:pPr>
      <w:r>
        <w:rPr>
          <w:rFonts w:hint="eastAsia" w:ascii="宋体" w:hAnsi="宋体"/>
          <w:sz w:val="24"/>
          <w:szCs w:val="24"/>
          <w:highlight w:val="white"/>
        </w:rPr>
        <w:t>12.4除非竞争性磋商文件另有规定，竞争性磋商响应文件应使用中华人民共和国法定计量单位。</w:t>
      </w:r>
    </w:p>
    <w:p>
      <w:pPr>
        <w:spacing w:line="360" w:lineRule="auto"/>
        <w:rPr>
          <w:rFonts w:ascii="宋体" w:hAnsi="宋体"/>
          <w:sz w:val="24"/>
          <w:szCs w:val="24"/>
          <w:highlight w:val="white"/>
        </w:rPr>
      </w:pPr>
      <w:r>
        <w:rPr>
          <w:rFonts w:hint="eastAsia" w:ascii="宋体" w:hAnsi="宋体"/>
          <w:sz w:val="24"/>
          <w:szCs w:val="24"/>
          <w:highlight w:val="white"/>
        </w:rPr>
        <w:t>12.5除非竞争性磋商文件另有规定，竞争性磋商响应文件应使用人民币填报所有报价。允许以多种货币报价的，或涉及合同金额等计算的，均按照中国银行在开标日公布的汇率中间价换算成人民币。</w:t>
      </w:r>
    </w:p>
    <w:p>
      <w:pPr>
        <w:spacing w:line="360" w:lineRule="auto"/>
        <w:rPr>
          <w:rFonts w:ascii="宋体" w:hAnsi="宋体"/>
          <w:sz w:val="24"/>
          <w:szCs w:val="24"/>
        </w:rPr>
      </w:pPr>
      <w:r>
        <w:rPr>
          <w:rFonts w:hint="eastAsia" w:ascii="宋体" w:hAnsi="宋体"/>
          <w:sz w:val="24"/>
          <w:szCs w:val="24"/>
          <w:highlight w:val="white"/>
        </w:rPr>
        <w:t>12.6磋商供应商资质证书（或资格证明）处于换证、升级、变更等期间，除非法律法规或发证机构有书面材料明确表明磋商供应商资质（或资格)有效，否则一律不予认可。</w:t>
      </w:r>
    </w:p>
    <w:p>
      <w:pPr>
        <w:spacing w:line="360" w:lineRule="auto"/>
        <w:rPr>
          <w:rFonts w:ascii="宋体" w:hAnsi="宋体"/>
          <w:sz w:val="24"/>
          <w:szCs w:val="24"/>
        </w:rPr>
      </w:pPr>
      <w:r>
        <w:rPr>
          <w:rFonts w:hint="eastAsia" w:ascii="宋体" w:hAnsi="宋体"/>
          <w:sz w:val="24"/>
          <w:szCs w:val="24"/>
          <w:highlight w:val="white"/>
        </w:rPr>
        <w:t>12.7纸质竞争性磋商响应文件（如有）应编制连续页码，除特殊规格的图纸或方案、图片资料等外，均应按A4规格制作，为节约和环保，建议纸质竞争性磋商响应文件双面打印。</w:t>
      </w:r>
    </w:p>
    <w:p>
      <w:pPr>
        <w:spacing w:line="360" w:lineRule="auto"/>
        <w:rPr>
          <w:rFonts w:ascii="宋体" w:hAnsi="宋体"/>
          <w:sz w:val="24"/>
          <w:szCs w:val="24"/>
        </w:rPr>
      </w:pPr>
      <w:r>
        <w:rPr>
          <w:rFonts w:hint="eastAsia" w:ascii="宋体" w:hAnsi="宋体"/>
          <w:sz w:val="24"/>
          <w:szCs w:val="24"/>
          <w:highlight w:val="white"/>
        </w:rPr>
        <w:t>12.8电报、电话、传真形式的投标概不接受。</w:t>
      </w:r>
    </w:p>
    <w:p>
      <w:pPr>
        <w:spacing w:line="360" w:lineRule="auto"/>
        <w:rPr>
          <w:rFonts w:ascii="宋体" w:hAnsi="宋体"/>
          <w:sz w:val="24"/>
          <w:szCs w:val="24"/>
        </w:rPr>
      </w:pPr>
      <w:r>
        <w:rPr>
          <w:rFonts w:hint="eastAsia" w:ascii="宋体" w:hAnsi="宋体"/>
          <w:sz w:val="24"/>
          <w:szCs w:val="24"/>
          <w:highlight w:val="white"/>
        </w:rPr>
        <w:t>12.9采购人一律不予退还磋商供应商的竞争性磋商响应文件。</w:t>
      </w:r>
    </w:p>
    <w:p>
      <w:pPr>
        <w:spacing w:line="360" w:lineRule="auto"/>
        <w:rPr>
          <w:rFonts w:ascii="宋体" w:hAnsi="宋体"/>
          <w:sz w:val="24"/>
          <w:szCs w:val="24"/>
        </w:rPr>
      </w:pPr>
      <w:r>
        <w:rPr>
          <w:rFonts w:hint="eastAsia" w:ascii="宋体" w:hAnsi="宋体"/>
          <w:b/>
          <w:bCs/>
          <w:sz w:val="24"/>
          <w:szCs w:val="24"/>
          <w:highlight w:val="white"/>
        </w:rPr>
        <w:t>13.报价</w:t>
      </w:r>
    </w:p>
    <w:p>
      <w:pPr>
        <w:spacing w:line="360" w:lineRule="auto"/>
        <w:rPr>
          <w:rFonts w:ascii="宋体" w:hAnsi="宋体"/>
          <w:sz w:val="24"/>
          <w:szCs w:val="24"/>
        </w:rPr>
      </w:pPr>
      <w:r>
        <w:rPr>
          <w:rFonts w:hint="eastAsia" w:ascii="宋体" w:hAnsi="宋体"/>
          <w:sz w:val="24"/>
          <w:szCs w:val="24"/>
          <w:highlight w:val="white"/>
        </w:rPr>
        <w:t>13.1磋商供应商应以“包”为报价的基本单位。若整个需求分为若干包，则磋商供应商可选择其中的部分或所有包报价。包内所有项目均应报价（免费赠送的除外），否则将导致投标无效。</w:t>
      </w:r>
    </w:p>
    <w:p>
      <w:pPr>
        <w:spacing w:line="360" w:lineRule="auto"/>
        <w:rPr>
          <w:rFonts w:ascii="宋体" w:hAnsi="宋体"/>
          <w:sz w:val="24"/>
          <w:szCs w:val="24"/>
        </w:rPr>
      </w:pPr>
      <w:r>
        <w:rPr>
          <w:rFonts w:hint="eastAsia" w:ascii="宋体" w:hAnsi="宋体"/>
          <w:sz w:val="24"/>
          <w:szCs w:val="24"/>
          <w:highlight w:val="white"/>
        </w:rPr>
        <w:t>13.2</w:t>
      </w:r>
      <w:bookmarkStart w:id="102" w:name="EB616bfadcee8947c09e287939cf58f192"/>
      <w:bookmarkEnd w:id="102"/>
      <w:r>
        <w:rPr>
          <w:rFonts w:hint="eastAsia" w:ascii="宋体" w:hAnsi="宋体"/>
          <w:sz w:val="24"/>
          <w:szCs w:val="24"/>
          <w:highlight w:val="white"/>
        </w:rPr>
        <w:t>磋商供应商的报价应包含所投服务所发生的一切应有费用。投标报价为签订合同的依据。</w:t>
      </w:r>
    </w:p>
    <w:p>
      <w:pPr>
        <w:spacing w:line="360" w:lineRule="auto"/>
        <w:rPr>
          <w:rFonts w:ascii="宋体" w:hAnsi="宋体"/>
          <w:sz w:val="24"/>
          <w:szCs w:val="24"/>
        </w:rPr>
      </w:pPr>
      <w:r>
        <w:rPr>
          <w:rFonts w:hint="eastAsia" w:ascii="宋体" w:hAnsi="宋体"/>
          <w:sz w:val="24"/>
          <w:szCs w:val="24"/>
          <w:highlight w:val="white"/>
        </w:rPr>
        <w:t>13.3磋商供应商应在竞争性磋商响应文件中注明拟提服务的单价明细和总价。</w:t>
      </w:r>
    </w:p>
    <w:p>
      <w:pPr>
        <w:spacing w:line="360" w:lineRule="auto"/>
        <w:rPr>
          <w:rFonts w:ascii="宋体" w:hAnsi="宋体"/>
          <w:sz w:val="24"/>
          <w:szCs w:val="24"/>
        </w:rPr>
      </w:pPr>
      <w:r>
        <w:rPr>
          <w:rFonts w:hint="eastAsia" w:ascii="宋体" w:hAnsi="宋体"/>
          <w:sz w:val="24"/>
          <w:szCs w:val="24"/>
          <w:highlight w:val="white"/>
        </w:rPr>
        <w:t>13.4除非竞争性磋商文件另有规定，每一包只允许有一个最终报价，任何有选择的报价或替代方案将导致投标无效。</w:t>
      </w:r>
    </w:p>
    <w:p>
      <w:pPr>
        <w:spacing w:line="360" w:lineRule="auto"/>
        <w:rPr>
          <w:rFonts w:ascii="宋体" w:hAnsi="宋体"/>
          <w:sz w:val="24"/>
          <w:szCs w:val="24"/>
        </w:rPr>
      </w:pPr>
      <w:r>
        <w:rPr>
          <w:rFonts w:hint="eastAsia" w:ascii="宋体" w:hAnsi="宋体"/>
          <w:sz w:val="24"/>
          <w:szCs w:val="24"/>
          <w:highlight w:val="white"/>
        </w:rPr>
        <w:t>13.5采购人不建议磋商供应商采用总价优惠或以总价百分比优惠的方式进行投标报价，其优惠可直接计算并体现在各项投标报价的单价中。</w:t>
      </w:r>
    </w:p>
    <w:p>
      <w:pPr>
        <w:spacing w:line="360" w:lineRule="auto"/>
        <w:rPr>
          <w:rFonts w:ascii="宋体" w:hAnsi="宋体"/>
          <w:sz w:val="24"/>
          <w:szCs w:val="24"/>
        </w:rPr>
      </w:pPr>
      <w:r>
        <w:rPr>
          <w:rFonts w:hint="eastAsia" w:ascii="宋体" w:hAnsi="宋体"/>
          <w:sz w:val="24"/>
          <w:szCs w:val="24"/>
          <w:highlight w:val="white"/>
        </w:rPr>
        <w:t>13.6除政策性文件规定以外，磋商供应商所报价格在合同实施期间不因市场变化因素而变动。</w:t>
      </w:r>
    </w:p>
    <w:p>
      <w:pPr>
        <w:spacing w:line="360" w:lineRule="auto"/>
        <w:rPr>
          <w:rFonts w:ascii="宋体" w:hAnsi="宋体"/>
          <w:b/>
          <w:bCs/>
          <w:sz w:val="24"/>
          <w:szCs w:val="24"/>
        </w:rPr>
      </w:pPr>
      <w:r>
        <w:rPr>
          <w:rFonts w:hint="eastAsia" w:ascii="宋体" w:hAnsi="宋体"/>
          <w:b/>
          <w:bCs/>
          <w:sz w:val="24"/>
          <w:szCs w:val="24"/>
          <w:highlight w:val="white"/>
        </w:rPr>
        <w:t>14.投标内容填写及说明</w:t>
      </w:r>
    </w:p>
    <w:p>
      <w:pPr>
        <w:spacing w:line="360" w:lineRule="auto"/>
        <w:rPr>
          <w:rFonts w:ascii="宋体" w:hAnsi="宋体"/>
          <w:sz w:val="24"/>
          <w:szCs w:val="24"/>
          <w:u w:val="single"/>
        </w:rPr>
      </w:pPr>
      <w:r>
        <w:rPr>
          <w:rFonts w:hint="eastAsia" w:ascii="宋体" w:hAnsi="宋体"/>
          <w:sz w:val="24"/>
          <w:szCs w:val="24"/>
          <w:highlight w:val="white"/>
        </w:rPr>
        <w:t>14.1竞争性磋商响应文件须对竞争性磋商文件载明的投标资格、技术、资信、服务、报价等全部要求和条件做出实质性和完整的响应，如果竞争性磋商响应文件填报的内容资料不详，或没有提供竞争性磋商文件中所要求的全部资料、证明及数据，将导致投标无效。</w:t>
      </w:r>
    </w:p>
    <w:p>
      <w:pPr>
        <w:spacing w:line="360" w:lineRule="auto"/>
        <w:rPr>
          <w:rFonts w:ascii="宋体" w:hAnsi="宋体"/>
          <w:sz w:val="24"/>
          <w:szCs w:val="24"/>
        </w:rPr>
      </w:pPr>
      <w:r>
        <w:rPr>
          <w:rFonts w:hint="eastAsia" w:ascii="宋体" w:hAnsi="宋体"/>
          <w:sz w:val="24"/>
          <w:szCs w:val="24"/>
          <w:highlight w:val="white"/>
        </w:rPr>
        <w:t>14.2磋商供应商应在竞争性磋商响应文件中提交竞争性磋商文件要求的有关证明文件（扫描或影印件），作为其竞争性磋商响应文件的一部分。</w:t>
      </w:r>
    </w:p>
    <w:p>
      <w:pPr>
        <w:spacing w:line="360" w:lineRule="auto"/>
        <w:rPr>
          <w:rFonts w:ascii="宋体" w:hAnsi="宋体"/>
          <w:sz w:val="24"/>
          <w:szCs w:val="24"/>
          <w:highlight w:val="white"/>
        </w:rPr>
      </w:pPr>
      <w:r>
        <w:rPr>
          <w:rFonts w:hint="eastAsia" w:ascii="宋体" w:hAnsi="宋体"/>
          <w:sz w:val="24"/>
          <w:szCs w:val="24"/>
          <w:highlight w:val="white"/>
        </w:rPr>
        <w:t>14.3磋商供应商应在竞争性磋商响应文件中提交（扫描件或影印件）竞争性磋商文件要求的所有货物的合格性以及符合竞争性磋商文件规定的证明文件（可以是手册、图纸和资料）等，并作为其竞争性磋商响应文件的一部分。</w:t>
      </w:r>
    </w:p>
    <w:p>
      <w:pPr>
        <w:spacing w:line="360" w:lineRule="auto"/>
        <w:rPr>
          <w:rFonts w:ascii="宋体" w:hAnsi="宋体"/>
          <w:sz w:val="24"/>
          <w:szCs w:val="24"/>
        </w:rPr>
      </w:pPr>
      <w:r>
        <w:rPr>
          <w:rFonts w:hint="eastAsia" w:ascii="宋体" w:hAnsi="宋体"/>
          <w:sz w:val="24"/>
          <w:szCs w:val="24"/>
          <w:highlight w:val="white"/>
        </w:rPr>
        <w:t>14.4竞争性磋商响应文件应编排有序、内容齐全、不得任意涂改或增删。如有错漏处必须修改，应在修改处加盖磋商供应商公章。</w:t>
      </w:r>
    </w:p>
    <w:p>
      <w:pPr>
        <w:spacing w:line="360" w:lineRule="exact"/>
        <w:rPr>
          <w:rFonts w:hint="eastAsia" w:ascii="宋体" w:hAnsi="宋体"/>
          <w:sz w:val="24"/>
          <w:lang w:val="zh-CN"/>
        </w:rPr>
      </w:pPr>
      <w:r>
        <w:rPr>
          <w:rFonts w:hint="eastAsia" w:ascii="宋体" w:hAnsi="宋体"/>
          <w:b/>
          <w:bCs/>
          <w:sz w:val="24"/>
          <w:szCs w:val="24"/>
          <w:highlight w:val="white"/>
        </w:rPr>
        <w:t>15.投标保证金</w:t>
      </w:r>
    </w:p>
    <w:p>
      <w:pPr>
        <w:spacing w:line="360" w:lineRule="auto"/>
        <w:rPr>
          <w:rFonts w:hint="eastAsia" w:ascii="宋体" w:hAnsi="宋体"/>
          <w:sz w:val="24"/>
          <w:szCs w:val="24"/>
        </w:rPr>
      </w:pPr>
      <w:r>
        <w:rPr>
          <w:rFonts w:hint="eastAsia" w:ascii="宋体" w:hAnsi="宋体"/>
          <w:sz w:val="24"/>
          <w:szCs w:val="24"/>
        </w:rPr>
        <w:t>本项目无需投标保证金。</w:t>
      </w:r>
    </w:p>
    <w:p>
      <w:pPr>
        <w:spacing w:line="360" w:lineRule="auto"/>
        <w:rPr>
          <w:rFonts w:ascii="宋体" w:hAnsi="宋体"/>
          <w:b/>
          <w:bCs/>
          <w:sz w:val="24"/>
          <w:szCs w:val="24"/>
        </w:rPr>
      </w:pPr>
      <w:r>
        <w:rPr>
          <w:rFonts w:hint="eastAsia" w:ascii="宋体" w:hAnsi="宋体"/>
          <w:b/>
          <w:bCs/>
          <w:sz w:val="24"/>
          <w:szCs w:val="24"/>
          <w:highlight w:val="white"/>
        </w:rPr>
        <w:t>16.投标有效期</w:t>
      </w:r>
    </w:p>
    <w:p>
      <w:pPr>
        <w:spacing w:line="360" w:lineRule="auto"/>
        <w:rPr>
          <w:rFonts w:ascii="宋体" w:hAnsi="宋体"/>
          <w:sz w:val="24"/>
          <w:szCs w:val="24"/>
        </w:rPr>
      </w:pPr>
      <w:r>
        <w:rPr>
          <w:rFonts w:hint="eastAsia" w:ascii="宋体" w:hAnsi="宋体"/>
          <w:sz w:val="24"/>
          <w:szCs w:val="24"/>
          <w:highlight w:val="white"/>
        </w:rPr>
        <w:t>16.1为保证采购人有足够的时间完成评标和与成交供应商签订合同，规定投标有效期。投标有效期期限见磋商供应商须知前附表。</w:t>
      </w:r>
    </w:p>
    <w:p>
      <w:pPr>
        <w:spacing w:line="360" w:lineRule="auto"/>
        <w:rPr>
          <w:rFonts w:ascii="宋体" w:hAnsi="宋体"/>
          <w:sz w:val="24"/>
          <w:szCs w:val="24"/>
        </w:rPr>
      </w:pPr>
      <w:r>
        <w:rPr>
          <w:rFonts w:hint="eastAsia" w:ascii="宋体" w:hAnsi="宋体"/>
          <w:sz w:val="24"/>
          <w:szCs w:val="24"/>
          <w:highlight w:val="white"/>
        </w:rPr>
        <w:t>16.2在投标有效期内，磋商供应商的投标保持有效，磋商供应商不得要求撤销或修改其竞争性磋商响应文件。</w:t>
      </w:r>
    </w:p>
    <w:p>
      <w:pPr>
        <w:spacing w:line="360" w:lineRule="auto"/>
        <w:rPr>
          <w:rFonts w:ascii="宋体" w:hAnsi="宋体"/>
          <w:sz w:val="24"/>
          <w:szCs w:val="24"/>
        </w:rPr>
      </w:pPr>
      <w:r>
        <w:rPr>
          <w:rFonts w:hint="eastAsia" w:ascii="宋体" w:hAnsi="宋体"/>
          <w:sz w:val="24"/>
          <w:szCs w:val="24"/>
          <w:highlight w:val="white"/>
        </w:rPr>
        <w:t>16.3投标有效期从投标截止日起计算。</w:t>
      </w:r>
    </w:p>
    <w:p>
      <w:pPr>
        <w:spacing w:line="360" w:lineRule="auto"/>
        <w:rPr>
          <w:rFonts w:ascii="宋体" w:hAnsi="宋体"/>
          <w:sz w:val="24"/>
          <w:szCs w:val="24"/>
        </w:rPr>
      </w:pPr>
      <w:r>
        <w:rPr>
          <w:rFonts w:hint="eastAsia" w:ascii="宋体" w:hAnsi="宋体"/>
          <w:sz w:val="24"/>
          <w:szCs w:val="24"/>
          <w:highlight w:val="white"/>
        </w:rPr>
        <w:t>16.4在原定投标有效期满之前，如果出现特殊情况，采购人和采购代理机构可以书面形式提出延长投标有效期的要求。磋商供应商以书面形式予以答复，磋商供应商可以拒绝这种要求而不被没收投标保证金。同意延长投标有效期的磋商供应商不允许修改其竞争性磋商响应文件的实质性内容，且需要相应地延长投标保证金的有效期。</w:t>
      </w:r>
    </w:p>
    <w:p>
      <w:pPr>
        <w:pStyle w:val="6"/>
        <w:spacing w:line="360" w:lineRule="auto"/>
        <w:ind w:firstLine="628"/>
        <w:rPr>
          <w:rFonts w:hAnsi="宋体"/>
          <w:sz w:val="28"/>
          <w:szCs w:val="28"/>
        </w:rPr>
      </w:pPr>
      <w:bookmarkStart w:id="103" w:name="_Hlt509650572"/>
      <w:bookmarkEnd w:id="103"/>
      <w:bookmarkStart w:id="104" w:name="_Toc407096153"/>
      <w:r>
        <w:rPr>
          <w:rFonts w:hint="eastAsia" w:hAnsi="宋体"/>
          <w:sz w:val="28"/>
          <w:szCs w:val="28"/>
          <w:highlight w:val="white"/>
        </w:rPr>
        <w:t>四．竞争性磋商响应文件的递交</w:t>
      </w:r>
      <w:bookmarkEnd w:id="104"/>
      <w:bookmarkStart w:id="105" w:name="_Hlt509649414"/>
      <w:bookmarkEnd w:id="105"/>
    </w:p>
    <w:p>
      <w:pPr>
        <w:spacing w:line="440" w:lineRule="exact"/>
        <w:ind w:right="25" w:rightChars="12"/>
        <w:rPr>
          <w:rFonts w:ascii="宋体" w:hAnsi="宋体"/>
          <w:bCs/>
          <w:sz w:val="24"/>
          <w:szCs w:val="24"/>
        </w:rPr>
      </w:pPr>
      <w:r>
        <w:rPr>
          <w:rFonts w:hint="eastAsia" w:ascii="宋体" w:hAnsi="宋体"/>
          <w:bCs/>
          <w:sz w:val="24"/>
          <w:szCs w:val="24"/>
        </w:rPr>
        <w:t>17.响应性文件的密封和标记</w:t>
      </w:r>
    </w:p>
    <w:p>
      <w:pPr>
        <w:spacing w:line="440" w:lineRule="exact"/>
        <w:ind w:right="25" w:rightChars="12"/>
        <w:rPr>
          <w:rFonts w:ascii="宋体" w:hAnsi="宋体"/>
          <w:bCs/>
          <w:sz w:val="24"/>
          <w:szCs w:val="24"/>
        </w:rPr>
      </w:pPr>
      <w:r>
        <w:rPr>
          <w:rFonts w:hint="eastAsia" w:ascii="宋体" w:hAnsi="宋体"/>
          <w:bCs/>
          <w:sz w:val="24"/>
          <w:szCs w:val="24"/>
        </w:rPr>
        <w:t>17.1响应性文件的正本与副本应分开包装密封，并在封口处加盖供应商单位公章和法人代表章。</w:t>
      </w:r>
    </w:p>
    <w:p>
      <w:pPr>
        <w:spacing w:before="120" w:after="120"/>
        <w:rPr>
          <w:rFonts w:hint="eastAsia" w:ascii="宋体" w:hAnsi="宋体"/>
          <w:sz w:val="24"/>
          <w:szCs w:val="24"/>
        </w:rPr>
      </w:pPr>
      <w:r>
        <w:rPr>
          <w:rFonts w:hint="eastAsia" w:ascii="宋体" w:hAnsi="宋体"/>
          <w:sz w:val="24"/>
          <w:szCs w:val="24"/>
        </w:rPr>
        <w:t>17．2响应性文件的封套上应清楚地标记“正本”或“副本”字样，封套上应写明</w:t>
      </w:r>
    </w:p>
    <w:p>
      <w:pPr>
        <w:spacing w:before="120" w:after="120"/>
        <w:rPr>
          <w:rFonts w:hint="eastAsia" w:ascii="宋体" w:hAnsi="宋体"/>
          <w:sz w:val="24"/>
          <w:szCs w:val="24"/>
        </w:rPr>
      </w:pPr>
      <w:r>
        <w:rPr>
          <w:rFonts w:hint="eastAsia" w:ascii="宋体" w:hAnsi="宋体"/>
          <w:sz w:val="24"/>
          <w:szCs w:val="24"/>
        </w:rPr>
        <w:t xml:space="preserve">采购人的地址： </w:t>
      </w:r>
    </w:p>
    <w:p>
      <w:pPr>
        <w:spacing w:before="120" w:after="120"/>
        <w:rPr>
          <w:rFonts w:hint="eastAsia" w:ascii="宋体" w:hAnsi="宋体"/>
          <w:sz w:val="24"/>
          <w:szCs w:val="24"/>
        </w:rPr>
      </w:pPr>
      <w:r>
        <w:rPr>
          <w:rFonts w:hint="eastAsia" w:ascii="宋体" w:hAnsi="宋体"/>
          <w:sz w:val="24"/>
          <w:szCs w:val="24"/>
        </w:rPr>
        <w:t xml:space="preserve">采购人名称： </w:t>
      </w:r>
    </w:p>
    <w:p>
      <w:pPr>
        <w:spacing w:before="120" w:after="120"/>
        <w:rPr>
          <w:rFonts w:ascii="宋体" w:hAnsi="宋体"/>
          <w:sz w:val="24"/>
          <w:szCs w:val="24"/>
          <w:u w:val="single"/>
        </w:rPr>
      </w:pPr>
      <w:r>
        <w:rPr>
          <w:rFonts w:hint="eastAsia" w:ascii="宋体" w:hAnsi="宋体"/>
          <w:sz w:val="24"/>
          <w:szCs w:val="24"/>
        </w:rPr>
        <w:t>（项目名称）：</w:t>
      </w:r>
    </w:p>
    <w:p>
      <w:pPr>
        <w:spacing w:line="440" w:lineRule="exact"/>
        <w:ind w:right="25" w:rightChars="12"/>
        <w:rPr>
          <w:rFonts w:ascii="宋体" w:hAnsi="宋体"/>
          <w:sz w:val="24"/>
          <w:szCs w:val="24"/>
        </w:rPr>
      </w:pPr>
      <w:r>
        <w:rPr>
          <w:rFonts w:hint="eastAsia" w:ascii="宋体" w:hAnsi="宋体"/>
          <w:sz w:val="24"/>
          <w:szCs w:val="24"/>
        </w:rPr>
        <w:t>在</w:t>
      </w:r>
      <w:r>
        <w:rPr>
          <w:rFonts w:hint="eastAsia" w:ascii="宋体" w:hAnsi="宋体"/>
          <w:sz w:val="24"/>
          <w:szCs w:val="24"/>
          <w:u w:val="single"/>
        </w:rPr>
        <w:t>2022</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    </w:t>
      </w:r>
      <w:r>
        <w:rPr>
          <w:rFonts w:hint="eastAsia" w:ascii="宋体" w:hAnsi="宋体"/>
          <w:sz w:val="24"/>
          <w:szCs w:val="24"/>
        </w:rPr>
        <w:t>时前不得开启</w:t>
      </w:r>
    </w:p>
    <w:p>
      <w:pPr>
        <w:spacing w:line="440" w:lineRule="exact"/>
        <w:ind w:right="25" w:rightChars="12"/>
        <w:rPr>
          <w:rFonts w:ascii="宋体" w:hAnsi="宋体"/>
          <w:b/>
          <w:sz w:val="24"/>
          <w:szCs w:val="24"/>
        </w:rPr>
      </w:pPr>
      <w:r>
        <w:rPr>
          <w:rFonts w:hint="eastAsia" w:ascii="宋体" w:hAnsi="宋体"/>
          <w:b/>
          <w:sz w:val="24"/>
          <w:szCs w:val="24"/>
        </w:rPr>
        <w:t>18.响应性文件的递交</w:t>
      </w:r>
    </w:p>
    <w:p>
      <w:pPr>
        <w:spacing w:line="440" w:lineRule="exact"/>
        <w:ind w:right="25" w:rightChars="12"/>
        <w:rPr>
          <w:rFonts w:ascii="宋体" w:hAnsi="宋体"/>
          <w:sz w:val="24"/>
          <w:szCs w:val="24"/>
        </w:rPr>
      </w:pPr>
      <w:r>
        <w:rPr>
          <w:rFonts w:hint="eastAsia" w:ascii="宋体" w:hAnsi="宋体"/>
          <w:sz w:val="24"/>
          <w:szCs w:val="24"/>
        </w:rPr>
        <w:t>18．1磋商截止时间：见磋商须知前附表。</w:t>
      </w:r>
    </w:p>
    <w:p>
      <w:pPr>
        <w:spacing w:line="440" w:lineRule="exact"/>
        <w:ind w:right="25" w:rightChars="12"/>
        <w:rPr>
          <w:rFonts w:ascii="宋体" w:hAnsi="宋体"/>
          <w:sz w:val="24"/>
          <w:szCs w:val="24"/>
        </w:rPr>
      </w:pPr>
      <w:r>
        <w:rPr>
          <w:rFonts w:hint="eastAsia" w:ascii="宋体" w:hAnsi="宋体"/>
          <w:sz w:val="24"/>
          <w:szCs w:val="24"/>
        </w:rPr>
        <w:t>18．2供应商递交响应性文件的地点：见磋商须知前附表。</w:t>
      </w:r>
    </w:p>
    <w:p>
      <w:pPr>
        <w:spacing w:line="440" w:lineRule="exact"/>
        <w:ind w:right="25" w:rightChars="12"/>
        <w:rPr>
          <w:rFonts w:ascii="宋体" w:hAnsi="宋体"/>
          <w:sz w:val="24"/>
          <w:szCs w:val="24"/>
        </w:rPr>
      </w:pPr>
      <w:r>
        <w:rPr>
          <w:rFonts w:hint="eastAsia" w:ascii="宋体" w:hAnsi="宋体"/>
          <w:sz w:val="24"/>
          <w:szCs w:val="24"/>
        </w:rPr>
        <w:t>18．3除磋商须知前附表另有规定外，供应商所递交的响应性文件不予退还。</w:t>
      </w:r>
    </w:p>
    <w:p>
      <w:pPr>
        <w:spacing w:line="440" w:lineRule="exact"/>
        <w:ind w:right="25" w:rightChars="12"/>
        <w:rPr>
          <w:rFonts w:ascii="宋体" w:hAnsi="宋体"/>
          <w:sz w:val="24"/>
          <w:szCs w:val="24"/>
        </w:rPr>
      </w:pPr>
      <w:r>
        <w:rPr>
          <w:rFonts w:hint="eastAsia" w:ascii="宋体" w:hAnsi="宋体"/>
          <w:sz w:val="24"/>
          <w:szCs w:val="24"/>
        </w:rPr>
        <w:t>18．4供应商按时将响应性文件送达后，由投标供应商的法定代表人或其委托代理人签字，招标代理机构接收人签收。</w:t>
      </w:r>
    </w:p>
    <w:p>
      <w:pPr>
        <w:spacing w:line="440" w:lineRule="exact"/>
        <w:ind w:right="25" w:rightChars="12"/>
        <w:rPr>
          <w:rFonts w:ascii="宋体" w:hAnsi="宋体"/>
          <w:sz w:val="24"/>
          <w:szCs w:val="24"/>
        </w:rPr>
      </w:pPr>
      <w:r>
        <w:rPr>
          <w:rFonts w:hint="eastAsia" w:ascii="宋体" w:hAnsi="宋体"/>
          <w:sz w:val="24"/>
          <w:szCs w:val="24"/>
        </w:rPr>
        <w:t>18．5逾期送达的或者未送达指定地点的响应性文件，采购人不予受理。</w:t>
      </w:r>
    </w:p>
    <w:p>
      <w:pPr>
        <w:spacing w:line="440" w:lineRule="exact"/>
        <w:ind w:right="25" w:rightChars="12"/>
        <w:rPr>
          <w:rFonts w:ascii="宋体" w:hAnsi="宋体"/>
          <w:b/>
          <w:sz w:val="24"/>
          <w:szCs w:val="24"/>
        </w:rPr>
      </w:pPr>
      <w:r>
        <w:rPr>
          <w:rFonts w:hint="eastAsia" w:ascii="宋体" w:hAnsi="宋体"/>
          <w:b/>
          <w:sz w:val="24"/>
          <w:szCs w:val="24"/>
        </w:rPr>
        <w:t>19.响应性文件的修改与撤回</w:t>
      </w:r>
    </w:p>
    <w:p>
      <w:pPr>
        <w:spacing w:line="440" w:lineRule="exact"/>
        <w:ind w:right="25" w:rightChars="12"/>
        <w:rPr>
          <w:rFonts w:ascii="宋体" w:hAnsi="宋体"/>
          <w:sz w:val="24"/>
          <w:szCs w:val="24"/>
        </w:rPr>
      </w:pPr>
      <w:r>
        <w:rPr>
          <w:rFonts w:hint="eastAsia" w:ascii="宋体" w:hAnsi="宋体"/>
          <w:sz w:val="24"/>
          <w:szCs w:val="24"/>
        </w:rPr>
        <w:t>19．1在磋商须知前附表规定的磋商截止时间前，供应商可以修改或撤回已递交的响应性文件，但应以书面形式通知采购人。</w:t>
      </w:r>
    </w:p>
    <w:p>
      <w:pPr>
        <w:spacing w:line="440" w:lineRule="exact"/>
        <w:ind w:right="25" w:rightChars="12"/>
        <w:rPr>
          <w:rFonts w:ascii="宋体" w:hAnsi="宋体"/>
          <w:sz w:val="24"/>
          <w:szCs w:val="24"/>
        </w:rPr>
      </w:pPr>
      <w:r>
        <w:rPr>
          <w:rFonts w:hint="eastAsia" w:ascii="宋体" w:hAnsi="宋体"/>
          <w:sz w:val="24"/>
          <w:szCs w:val="24"/>
        </w:rPr>
        <w:t>19．2供应商修改或撤回已递交响应性文件的书面通知应按照磋商文件要求签字或盖章。</w:t>
      </w:r>
    </w:p>
    <w:p>
      <w:pPr>
        <w:spacing w:line="440" w:lineRule="exact"/>
        <w:ind w:right="25" w:rightChars="12"/>
        <w:rPr>
          <w:rFonts w:ascii="宋体" w:hAnsi="宋体"/>
          <w:sz w:val="24"/>
          <w:szCs w:val="24"/>
        </w:rPr>
      </w:pPr>
      <w:r>
        <w:rPr>
          <w:rFonts w:hint="eastAsia" w:ascii="宋体" w:hAnsi="宋体"/>
          <w:sz w:val="24"/>
          <w:szCs w:val="24"/>
        </w:rPr>
        <w:t>19．3修改的内容为响应性文件的组成部分，并标明“修改”字样。</w:t>
      </w:r>
    </w:p>
    <w:p>
      <w:pPr>
        <w:spacing w:line="440" w:lineRule="exact"/>
        <w:ind w:right="25" w:rightChars="12"/>
        <w:rPr>
          <w:rFonts w:ascii="宋体" w:hAnsi="宋体"/>
          <w:sz w:val="24"/>
          <w:szCs w:val="24"/>
        </w:rPr>
      </w:pPr>
      <w:r>
        <w:rPr>
          <w:rFonts w:hint="eastAsia" w:ascii="宋体" w:hAnsi="宋体"/>
          <w:sz w:val="24"/>
          <w:szCs w:val="24"/>
        </w:rPr>
        <w:t>19．4在投标截止时间之后，供应商不得补充、修改响应性文件。</w:t>
      </w:r>
    </w:p>
    <w:p>
      <w:pPr>
        <w:pStyle w:val="6"/>
        <w:spacing w:line="360" w:lineRule="auto"/>
        <w:rPr>
          <w:rFonts w:hAnsi="宋体"/>
          <w:sz w:val="28"/>
          <w:szCs w:val="28"/>
        </w:rPr>
      </w:pPr>
      <w:bookmarkStart w:id="106" w:name="EB7128443d509749ba944cef6877aba01f"/>
      <w:bookmarkEnd w:id="106"/>
      <w:bookmarkStart w:id="107" w:name="EBb8a0c23d9cea45b5a6f5d56620d82d11"/>
      <w:bookmarkEnd w:id="107"/>
      <w:bookmarkStart w:id="108" w:name="_Hlt509649294"/>
      <w:bookmarkEnd w:id="108"/>
      <w:bookmarkStart w:id="109" w:name="_Toc407096154"/>
      <w:r>
        <w:rPr>
          <w:rFonts w:hint="eastAsia" w:hAnsi="宋体"/>
          <w:sz w:val="28"/>
          <w:szCs w:val="28"/>
          <w:highlight w:val="white"/>
        </w:rPr>
        <w:t>五．开标与评标</w:t>
      </w:r>
      <w:bookmarkEnd w:id="109"/>
    </w:p>
    <w:p>
      <w:pPr>
        <w:spacing w:line="440" w:lineRule="exact"/>
        <w:ind w:right="25" w:rightChars="12"/>
        <w:rPr>
          <w:rFonts w:ascii="宋体" w:hAnsi="宋体"/>
          <w:b/>
          <w:sz w:val="24"/>
          <w:szCs w:val="24"/>
        </w:rPr>
      </w:pPr>
      <w:r>
        <w:rPr>
          <w:rFonts w:hint="eastAsia" w:ascii="宋体" w:hAnsi="宋体"/>
          <w:b/>
          <w:sz w:val="24"/>
          <w:szCs w:val="24"/>
        </w:rPr>
        <w:t>20.开标时间和地点</w:t>
      </w:r>
    </w:p>
    <w:p>
      <w:pPr>
        <w:spacing w:line="440" w:lineRule="exact"/>
        <w:ind w:right="25" w:rightChars="12"/>
        <w:rPr>
          <w:rFonts w:ascii="宋体" w:hAnsi="宋体"/>
          <w:b/>
          <w:sz w:val="24"/>
          <w:szCs w:val="24"/>
        </w:rPr>
      </w:pPr>
      <w:r>
        <w:rPr>
          <w:rFonts w:hint="eastAsia" w:ascii="宋体" w:hAnsi="宋体"/>
          <w:sz w:val="24"/>
          <w:szCs w:val="24"/>
        </w:rPr>
        <w:t>采购人在磋商须知前附表规定的时间和地点公开开标，并邀请所有供应商的法定代表人或其委托代理人准时参加。</w:t>
      </w:r>
      <w:r>
        <w:rPr>
          <w:rFonts w:hint="eastAsia" w:ascii="宋体" w:hAnsi="宋体"/>
          <w:b/>
          <w:sz w:val="24"/>
          <w:szCs w:val="24"/>
          <w:u w:val="single"/>
        </w:rPr>
        <w:t>供应商法定代表人或委托代理人应携带法人代表资格证书或法定代表授权书及本人身份证</w:t>
      </w:r>
      <w:r>
        <w:rPr>
          <w:rFonts w:hint="eastAsia" w:ascii="宋体" w:hAnsi="宋体"/>
          <w:b/>
          <w:sz w:val="24"/>
          <w:szCs w:val="24"/>
        </w:rPr>
        <w:t>。</w:t>
      </w:r>
    </w:p>
    <w:p>
      <w:pPr>
        <w:spacing w:line="440" w:lineRule="exact"/>
        <w:ind w:right="25" w:rightChars="12"/>
        <w:rPr>
          <w:rFonts w:ascii="宋体" w:hAnsi="宋体"/>
          <w:b/>
          <w:sz w:val="24"/>
          <w:szCs w:val="24"/>
        </w:rPr>
      </w:pPr>
      <w:r>
        <w:rPr>
          <w:rFonts w:hint="eastAsia" w:ascii="宋体" w:hAnsi="宋体"/>
          <w:b/>
          <w:sz w:val="24"/>
          <w:szCs w:val="24"/>
        </w:rPr>
        <w:t>21.开标程序</w:t>
      </w:r>
    </w:p>
    <w:p>
      <w:pPr>
        <w:spacing w:line="440" w:lineRule="exact"/>
        <w:ind w:right="25" w:rightChars="12"/>
        <w:rPr>
          <w:rFonts w:ascii="宋体" w:hAnsi="宋体"/>
          <w:sz w:val="24"/>
          <w:szCs w:val="24"/>
        </w:rPr>
      </w:pPr>
      <w:r>
        <w:rPr>
          <w:rFonts w:hint="eastAsia" w:ascii="宋体" w:hAnsi="宋体"/>
          <w:sz w:val="24"/>
          <w:szCs w:val="24"/>
        </w:rPr>
        <w:t>由招标代理机构主持开标并按下列程序进行开标：</w:t>
      </w:r>
    </w:p>
    <w:p>
      <w:pPr>
        <w:spacing w:line="440" w:lineRule="exact"/>
        <w:ind w:right="25" w:rightChars="12"/>
        <w:rPr>
          <w:rFonts w:ascii="宋体" w:hAnsi="宋体"/>
          <w:sz w:val="24"/>
          <w:szCs w:val="24"/>
        </w:rPr>
      </w:pPr>
      <w:r>
        <w:rPr>
          <w:rFonts w:hint="eastAsia" w:ascii="宋体" w:hAnsi="宋体"/>
          <w:sz w:val="24"/>
          <w:szCs w:val="24"/>
        </w:rPr>
        <w:t>(1)由主持人介绍本项目工程概况，开标纪律，无效标书的构成条件。</w:t>
      </w:r>
    </w:p>
    <w:p>
      <w:pPr>
        <w:spacing w:line="440" w:lineRule="exact"/>
        <w:ind w:right="25" w:rightChars="12"/>
        <w:rPr>
          <w:rFonts w:ascii="宋体" w:hAnsi="宋体"/>
          <w:sz w:val="24"/>
          <w:szCs w:val="24"/>
        </w:rPr>
      </w:pPr>
      <w:r>
        <w:rPr>
          <w:rFonts w:hint="eastAsia" w:ascii="宋体" w:hAnsi="宋体"/>
          <w:sz w:val="24"/>
          <w:szCs w:val="24"/>
        </w:rPr>
        <w:t>(2)公布在磋商截止时间前递交响应性文件的供应商名称。</w:t>
      </w:r>
    </w:p>
    <w:p>
      <w:pPr>
        <w:spacing w:line="440" w:lineRule="exact"/>
        <w:ind w:right="25" w:rightChars="12"/>
        <w:rPr>
          <w:rFonts w:ascii="宋体" w:hAnsi="宋体"/>
          <w:sz w:val="24"/>
          <w:szCs w:val="24"/>
        </w:rPr>
      </w:pPr>
      <w:r>
        <w:rPr>
          <w:rFonts w:hint="eastAsia" w:ascii="宋体" w:hAnsi="宋体"/>
          <w:sz w:val="24"/>
          <w:szCs w:val="24"/>
        </w:rPr>
        <w:t>(3)宣布开标人、唱标人、记录人、监标人等有关人员姓名。</w:t>
      </w:r>
    </w:p>
    <w:p>
      <w:pPr>
        <w:spacing w:line="440" w:lineRule="exact"/>
        <w:ind w:right="25" w:rightChars="12"/>
        <w:rPr>
          <w:rFonts w:ascii="宋体" w:hAnsi="宋体"/>
          <w:sz w:val="24"/>
          <w:szCs w:val="24"/>
        </w:rPr>
      </w:pPr>
      <w:r>
        <w:rPr>
          <w:rFonts w:hint="eastAsia" w:ascii="宋体" w:hAnsi="宋体"/>
          <w:sz w:val="24"/>
          <w:szCs w:val="24"/>
        </w:rPr>
        <w:t>(4)按照磋商须知前附表规定检查响应性文件的密封情况。</w:t>
      </w:r>
    </w:p>
    <w:p>
      <w:pPr>
        <w:spacing w:line="440" w:lineRule="exact"/>
        <w:ind w:right="25" w:rightChars="12"/>
        <w:rPr>
          <w:rFonts w:ascii="宋体" w:hAnsi="宋体"/>
          <w:sz w:val="24"/>
          <w:szCs w:val="24"/>
        </w:rPr>
      </w:pPr>
      <w:r>
        <w:rPr>
          <w:rFonts w:hint="eastAsia" w:ascii="宋体" w:hAnsi="宋体"/>
          <w:sz w:val="24"/>
          <w:szCs w:val="24"/>
        </w:rPr>
        <w:t>(5)按照磋商须知前附表规定确定并宣布响应性文件开标顺序。</w:t>
      </w:r>
    </w:p>
    <w:p>
      <w:pPr>
        <w:spacing w:line="440" w:lineRule="exact"/>
        <w:ind w:right="25" w:rightChars="12"/>
        <w:rPr>
          <w:rFonts w:ascii="宋体" w:hAnsi="宋体"/>
          <w:sz w:val="24"/>
          <w:szCs w:val="24"/>
        </w:rPr>
      </w:pPr>
      <w:r>
        <w:rPr>
          <w:rFonts w:hint="eastAsia" w:ascii="宋体" w:hAnsi="宋体"/>
          <w:sz w:val="24"/>
          <w:szCs w:val="24"/>
        </w:rPr>
        <w:t>(6)按照宣布的开标顺序当众开标。</w:t>
      </w:r>
    </w:p>
    <w:p>
      <w:pPr>
        <w:spacing w:line="440" w:lineRule="exact"/>
        <w:ind w:right="25" w:rightChars="12"/>
        <w:rPr>
          <w:rFonts w:ascii="宋体" w:hAnsi="宋体"/>
          <w:sz w:val="24"/>
          <w:szCs w:val="24"/>
        </w:rPr>
      </w:pPr>
      <w:r>
        <w:rPr>
          <w:rFonts w:hint="eastAsia" w:ascii="宋体" w:hAnsi="宋体"/>
          <w:sz w:val="24"/>
          <w:szCs w:val="24"/>
        </w:rPr>
        <w:t>(7)供应商代表、采购人代表、监标人、记录人等有关人员在开标记录上签字确认。</w:t>
      </w:r>
    </w:p>
    <w:p>
      <w:pPr>
        <w:spacing w:line="440" w:lineRule="exact"/>
        <w:ind w:right="25" w:rightChars="12"/>
        <w:rPr>
          <w:rFonts w:ascii="宋体" w:hAnsi="宋体"/>
          <w:sz w:val="24"/>
          <w:szCs w:val="24"/>
        </w:rPr>
      </w:pPr>
      <w:r>
        <w:rPr>
          <w:rFonts w:hint="eastAsia" w:ascii="宋体" w:hAnsi="宋体"/>
          <w:sz w:val="24"/>
          <w:szCs w:val="24"/>
        </w:rPr>
        <w:t>(8)开标结束。</w:t>
      </w:r>
    </w:p>
    <w:p>
      <w:pPr>
        <w:spacing w:line="360" w:lineRule="auto"/>
        <w:rPr>
          <w:rFonts w:ascii="宋体" w:hAnsi="宋体"/>
          <w:b/>
          <w:bCs/>
          <w:sz w:val="24"/>
          <w:szCs w:val="24"/>
        </w:rPr>
      </w:pPr>
      <w:r>
        <w:rPr>
          <w:rFonts w:hint="eastAsia" w:ascii="宋体" w:hAnsi="宋体"/>
          <w:b/>
          <w:bCs/>
          <w:sz w:val="24"/>
          <w:szCs w:val="24"/>
          <w:highlight w:val="white"/>
        </w:rPr>
        <w:t>22.竞争性磋商响应文件的澄清、说明或补正</w:t>
      </w:r>
    </w:p>
    <w:p>
      <w:pPr>
        <w:spacing w:line="360" w:lineRule="auto"/>
        <w:rPr>
          <w:rFonts w:ascii="宋体" w:hAnsi="宋体"/>
          <w:sz w:val="24"/>
          <w:szCs w:val="24"/>
        </w:rPr>
      </w:pPr>
      <w:r>
        <w:rPr>
          <w:rFonts w:hint="eastAsia" w:ascii="宋体" w:hAnsi="宋体"/>
          <w:sz w:val="24"/>
          <w:szCs w:val="24"/>
          <w:highlight w:val="white"/>
        </w:rPr>
        <w:t>22.1为有助于投标的审查、评价和比较，评标委员会可以书面方式要求磋商供应商对竞争性磋商响应文件中含义不明确、对同类问题表述不一致或者有明显文字和计算错误的内容作必要的澄清、说明或补正。澄清、说明或补正不得超出竞争性磋商响应文件的范围或改变竞争性磋商响应文件的实质性内容。</w:t>
      </w:r>
    </w:p>
    <w:p>
      <w:pPr>
        <w:spacing w:line="360" w:lineRule="auto"/>
        <w:rPr>
          <w:rFonts w:ascii="宋体" w:hAnsi="宋体"/>
          <w:sz w:val="24"/>
          <w:szCs w:val="24"/>
        </w:rPr>
      </w:pPr>
      <w:r>
        <w:rPr>
          <w:rFonts w:hint="eastAsia" w:ascii="宋体" w:hAnsi="宋体"/>
          <w:sz w:val="24"/>
          <w:szCs w:val="24"/>
          <w:highlight w:val="white"/>
        </w:rPr>
        <w:t>22.2竞争性磋商响应文件中大写金额和小写金额不一致的，以大写金额为准；总价金额与按单价汇总金额不一致的，以单价金额计算结果为准；单价金额小数点有明显错位的，应以总价为准，并修改单价。</w:t>
      </w:r>
    </w:p>
    <w:p>
      <w:pPr>
        <w:spacing w:line="360" w:lineRule="auto"/>
        <w:rPr>
          <w:rFonts w:ascii="宋体" w:hAnsi="宋体"/>
          <w:sz w:val="24"/>
          <w:szCs w:val="24"/>
        </w:rPr>
      </w:pPr>
      <w:r>
        <w:rPr>
          <w:rFonts w:hint="eastAsia" w:ascii="宋体" w:hAnsi="宋体"/>
          <w:sz w:val="24"/>
          <w:szCs w:val="24"/>
          <w:highlight w:val="white"/>
        </w:rPr>
        <w:t>22.3开标一览表内容与竞争性磋商响应文件中明细表内容不一致的，以开标一览表为准。</w:t>
      </w:r>
    </w:p>
    <w:p>
      <w:pPr>
        <w:spacing w:line="360" w:lineRule="auto"/>
        <w:rPr>
          <w:rFonts w:ascii="宋体" w:hAnsi="宋体"/>
          <w:sz w:val="24"/>
          <w:szCs w:val="24"/>
        </w:rPr>
      </w:pPr>
      <w:r>
        <w:rPr>
          <w:rFonts w:hint="eastAsia" w:ascii="宋体" w:hAnsi="宋体"/>
          <w:sz w:val="24"/>
          <w:szCs w:val="24"/>
          <w:highlight w:val="white"/>
        </w:rPr>
        <w:t>22.4 如同时出现23.2条和23.3条所述的不一致情况，以开标一览表为准。</w:t>
      </w:r>
    </w:p>
    <w:p>
      <w:pPr>
        <w:spacing w:line="360" w:lineRule="auto"/>
        <w:rPr>
          <w:rFonts w:ascii="宋体" w:hAnsi="宋体"/>
          <w:b/>
          <w:bCs/>
          <w:sz w:val="24"/>
          <w:szCs w:val="24"/>
        </w:rPr>
      </w:pPr>
      <w:r>
        <w:rPr>
          <w:rFonts w:hint="eastAsia" w:ascii="宋体" w:hAnsi="宋体"/>
          <w:b/>
          <w:bCs/>
          <w:sz w:val="24"/>
          <w:szCs w:val="24"/>
          <w:highlight w:val="white"/>
        </w:rPr>
        <w:t>23.评标</w:t>
      </w:r>
    </w:p>
    <w:p>
      <w:pPr>
        <w:spacing w:line="360" w:lineRule="auto"/>
        <w:rPr>
          <w:rFonts w:ascii="宋体" w:hAnsi="宋体"/>
          <w:b/>
          <w:bCs/>
          <w:sz w:val="24"/>
          <w:szCs w:val="24"/>
        </w:rPr>
      </w:pPr>
      <w:r>
        <w:rPr>
          <w:rFonts w:hint="eastAsia" w:ascii="宋体" w:hAnsi="宋体"/>
          <w:sz w:val="24"/>
          <w:szCs w:val="24"/>
          <w:highlight w:val="white"/>
        </w:rPr>
        <w:t>23.1 磋商小组将按照竞争性磋商文件规定的评标办法对磋商供应商进行独立评审。</w:t>
      </w:r>
    </w:p>
    <w:p>
      <w:pPr>
        <w:spacing w:line="360" w:lineRule="auto"/>
        <w:rPr>
          <w:rFonts w:ascii="宋体" w:hAnsi="宋体"/>
          <w:sz w:val="24"/>
          <w:szCs w:val="24"/>
        </w:rPr>
      </w:pPr>
      <w:r>
        <w:rPr>
          <w:rFonts w:hint="eastAsia" w:ascii="宋体" w:hAnsi="宋体"/>
          <w:sz w:val="24"/>
          <w:szCs w:val="24"/>
          <w:highlight w:val="white"/>
        </w:rPr>
        <w:t>23.2初审时，磋商小组将首先审查竞争性磋商响应文件是否实质上响应竞争性磋商文件的初审指标要求。实质上响应的投标应与竞争性磋商文件的全部条款、条件和规格相符，没有重大偏离或保留。所谓重大偏离或保留是指影响合同的服务范围、质量和性能等；或者在实质上与竞争性磋商文件不一致，而且限制了合同中买方的权利或磋商供应商的义务。这些偏离或保留将会对其他实质上响应要求的磋商供应商的竞争地位产生不公正的影响。磋商供应商不得通过修改或撤销不合要求的偏离或保留而使其投标成为响应性的投标。</w:t>
      </w:r>
    </w:p>
    <w:p>
      <w:pPr>
        <w:spacing w:line="360" w:lineRule="auto"/>
        <w:rPr>
          <w:rFonts w:ascii="宋体" w:hAnsi="宋体"/>
          <w:sz w:val="24"/>
          <w:szCs w:val="24"/>
        </w:rPr>
      </w:pPr>
      <w:r>
        <w:rPr>
          <w:rFonts w:hint="eastAsia" w:ascii="宋体" w:hAnsi="宋体"/>
          <w:sz w:val="24"/>
          <w:szCs w:val="24"/>
          <w:highlight w:val="white"/>
        </w:rPr>
        <w:t>有下列情形之一的，评标委员会应当否决其投标：</w:t>
      </w:r>
    </w:p>
    <w:p>
      <w:pPr>
        <w:spacing w:line="360" w:lineRule="auto"/>
        <w:rPr>
          <w:rFonts w:ascii="宋体" w:hAnsi="宋体"/>
          <w:sz w:val="24"/>
          <w:szCs w:val="24"/>
        </w:rPr>
      </w:pPr>
      <w:r>
        <w:rPr>
          <w:rFonts w:hint="eastAsia" w:ascii="宋体" w:hAnsi="宋体"/>
          <w:sz w:val="24"/>
          <w:szCs w:val="24"/>
          <w:highlight w:val="white"/>
        </w:rPr>
        <w:t>23.2.1竞争性磋商响应文件未经投标单位盖章的；</w:t>
      </w:r>
    </w:p>
    <w:p>
      <w:pPr>
        <w:spacing w:line="360" w:lineRule="auto"/>
        <w:rPr>
          <w:rFonts w:ascii="宋体" w:hAnsi="宋体"/>
          <w:sz w:val="24"/>
          <w:szCs w:val="24"/>
        </w:rPr>
      </w:pPr>
      <w:r>
        <w:rPr>
          <w:rFonts w:hint="eastAsia" w:ascii="宋体" w:hAnsi="宋体"/>
          <w:sz w:val="24"/>
          <w:szCs w:val="24"/>
          <w:highlight w:val="white"/>
        </w:rPr>
        <w:t>23.2.2投标联合体没有提交共同投标协议；</w:t>
      </w:r>
    </w:p>
    <w:p>
      <w:pPr>
        <w:spacing w:line="360" w:lineRule="auto"/>
        <w:rPr>
          <w:rFonts w:ascii="宋体" w:hAnsi="宋体"/>
          <w:sz w:val="24"/>
          <w:szCs w:val="24"/>
        </w:rPr>
      </w:pPr>
      <w:r>
        <w:rPr>
          <w:rFonts w:hint="eastAsia" w:ascii="宋体" w:hAnsi="宋体"/>
          <w:sz w:val="24"/>
          <w:szCs w:val="24"/>
          <w:highlight w:val="white"/>
        </w:rPr>
        <w:t>23.2.3磋商供应商不符合国家或者竞争性磋商文件规定的资格条件；</w:t>
      </w:r>
    </w:p>
    <w:p>
      <w:pPr>
        <w:spacing w:line="360" w:lineRule="auto"/>
        <w:rPr>
          <w:rFonts w:ascii="宋体" w:hAnsi="宋体"/>
          <w:sz w:val="24"/>
          <w:szCs w:val="24"/>
        </w:rPr>
      </w:pPr>
      <w:r>
        <w:rPr>
          <w:rFonts w:hint="eastAsia" w:ascii="宋体" w:hAnsi="宋体"/>
          <w:sz w:val="24"/>
          <w:szCs w:val="24"/>
          <w:highlight w:val="white"/>
        </w:rPr>
        <w:t>23.2.4同一磋商供应商提交两个以上不同的竞争性磋商响应文件或者投标报价（第一次），但竞争性磋商文件要求提交备选投标的除外；</w:t>
      </w:r>
    </w:p>
    <w:p>
      <w:pPr>
        <w:spacing w:line="360" w:lineRule="auto"/>
        <w:rPr>
          <w:rFonts w:ascii="宋体" w:hAnsi="宋体"/>
          <w:sz w:val="24"/>
          <w:szCs w:val="24"/>
        </w:rPr>
      </w:pPr>
      <w:r>
        <w:rPr>
          <w:rFonts w:hint="eastAsia" w:ascii="宋体" w:hAnsi="宋体"/>
          <w:sz w:val="24"/>
          <w:szCs w:val="24"/>
          <w:highlight w:val="white"/>
        </w:rPr>
        <w:t>23.2.5投标报价低于成本或者高于竞争性磋商文件设定的最高投标限价（预算价）；</w:t>
      </w:r>
    </w:p>
    <w:p>
      <w:pPr>
        <w:spacing w:line="360" w:lineRule="auto"/>
        <w:rPr>
          <w:rFonts w:ascii="宋体" w:hAnsi="宋体"/>
          <w:sz w:val="24"/>
          <w:szCs w:val="24"/>
        </w:rPr>
      </w:pPr>
      <w:r>
        <w:rPr>
          <w:rFonts w:hint="eastAsia" w:ascii="宋体" w:hAnsi="宋体"/>
          <w:sz w:val="24"/>
          <w:szCs w:val="24"/>
          <w:highlight w:val="white"/>
        </w:rPr>
        <w:t>23.2.6竞争性磋商响应文件没有对竞争性磋商文件的实质性要求和条件作出响应；</w:t>
      </w:r>
    </w:p>
    <w:p>
      <w:pPr>
        <w:spacing w:line="360" w:lineRule="auto"/>
        <w:rPr>
          <w:rFonts w:ascii="宋体" w:hAnsi="宋体"/>
          <w:sz w:val="24"/>
          <w:szCs w:val="24"/>
        </w:rPr>
      </w:pPr>
      <w:r>
        <w:rPr>
          <w:rFonts w:hint="eastAsia" w:ascii="宋体" w:hAnsi="宋体"/>
          <w:sz w:val="24"/>
          <w:szCs w:val="24"/>
          <w:highlight w:val="white"/>
        </w:rPr>
        <w:t>23.2.7磋商供应商有串通投标、弄虚作假、行贿等违法行为。</w:t>
      </w:r>
    </w:p>
    <w:p>
      <w:pPr>
        <w:spacing w:line="360" w:lineRule="auto"/>
        <w:rPr>
          <w:rFonts w:ascii="宋体" w:hAnsi="宋体"/>
          <w:sz w:val="24"/>
          <w:szCs w:val="24"/>
        </w:rPr>
      </w:pPr>
      <w:r>
        <w:rPr>
          <w:rFonts w:hint="eastAsia" w:ascii="宋体" w:hAnsi="宋体"/>
          <w:sz w:val="24"/>
          <w:szCs w:val="24"/>
          <w:highlight w:val="white"/>
        </w:rPr>
        <w:t>23.3评审时，磋商小组将审查竞争性磋商响应文件是否符合竞争性磋商文件的评审指标要求。</w:t>
      </w:r>
    </w:p>
    <w:p>
      <w:pPr>
        <w:spacing w:line="360" w:lineRule="auto"/>
        <w:rPr>
          <w:rFonts w:ascii="宋体" w:hAnsi="宋体"/>
          <w:sz w:val="24"/>
          <w:szCs w:val="24"/>
        </w:rPr>
      </w:pPr>
      <w:r>
        <w:rPr>
          <w:rFonts w:hint="eastAsia" w:ascii="宋体" w:hAnsi="宋体"/>
          <w:sz w:val="24"/>
          <w:szCs w:val="24"/>
          <w:highlight w:val="white"/>
        </w:rPr>
        <w:t>23.4如果竞争性磋商响应文件未通过投标有效性评审，投标无效。</w:t>
      </w:r>
    </w:p>
    <w:p>
      <w:pPr>
        <w:spacing w:line="360" w:lineRule="auto"/>
        <w:rPr>
          <w:rFonts w:ascii="宋体" w:hAnsi="宋体"/>
          <w:sz w:val="24"/>
          <w:szCs w:val="24"/>
        </w:rPr>
      </w:pPr>
      <w:r>
        <w:rPr>
          <w:rFonts w:hint="eastAsia" w:ascii="宋体" w:hAnsi="宋体"/>
          <w:sz w:val="24"/>
          <w:szCs w:val="24"/>
          <w:highlight w:val="white"/>
        </w:rPr>
        <w:t>23.5磋商小组决定竞争性磋商响应文件的响应性及符合性只根据竞争性磋商响应文件本身的内容而不寻求其他外部证据。</w:t>
      </w:r>
    </w:p>
    <w:p>
      <w:pPr>
        <w:spacing w:line="360" w:lineRule="auto"/>
        <w:rPr>
          <w:rFonts w:ascii="宋体" w:hAnsi="宋体"/>
          <w:b/>
          <w:bCs/>
          <w:sz w:val="24"/>
          <w:szCs w:val="24"/>
        </w:rPr>
      </w:pPr>
      <w:r>
        <w:rPr>
          <w:rFonts w:hint="eastAsia" w:ascii="宋体" w:hAnsi="宋体"/>
          <w:b/>
          <w:bCs/>
          <w:sz w:val="24"/>
          <w:szCs w:val="24"/>
          <w:highlight w:val="white"/>
        </w:rPr>
        <w:t>24.废标处理</w:t>
      </w:r>
    </w:p>
    <w:p>
      <w:pPr>
        <w:spacing w:line="360" w:lineRule="auto"/>
        <w:rPr>
          <w:rFonts w:ascii="宋体" w:hAnsi="宋体"/>
          <w:sz w:val="24"/>
          <w:szCs w:val="24"/>
        </w:rPr>
      </w:pPr>
      <w:r>
        <w:rPr>
          <w:rFonts w:hint="eastAsia" w:ascii="宋体" w:hAnsi="宋体"/>
          <w:sz w:val="24"/>
          <w:szCs w:val="24"/>
          <w:highlight w:val="white"/>
        </w:rPr>
        <w:t>24.1在竞争性磋商采购中，出现下列情形之一的，评标委员会有权宣布废标：</w:t>
      </w:r>
    </w:p>
    <w:p>
      <w:pPr>
        <w:spacing w:line="360" w:lineRule="auto"/>
        <w:rPr>
          <w:rFonts w:ascii="宋体" w:hAnsi="宋体"/>
          <w:sz w:val="24"/>
          <w:szCs w:val="24"/>
        </w:rPr>
      </w:pPr>
      <w:r>
        <w:rPr>
          <w:rFonts w:hint="eastAsia" w:ascii="宋体" w:hAnsi="宋体"/>
          <w:sz w:val="24"/>
          <w:szCs w:val="24"/>
          <w:highlight w:val="white"/>
        </w:rPr>
        <w:t>24.1.1磋商供应商的报价均超过采购预算，采购人不能支付的；</w:t>
      </w:r>
    </w:p>
    <w:p>
      <w:pPr>
        <w:spacing w:line="360" w:lineRule="auto"/>
        <w:rPr>
          <w:rFonts w:ascii="宋体" w:hAnsi="宋体"/>
          <w:sz w:val="24"/>
          <w:szCs w:val="24"/>
        </w:rPr>
      </w:pPr>
      <w:r>
        <w:rPr>
          <w:rFonts w:hint="eastAsia" w:ascii="宋体" w:hAnsi="宋体"/>
          <w:sz w:val="24"/>
          <w:szCs w:val="24"/>
          <w:highlight w:val="white"/>
        </w:rPr>
        <w:t>24.1.2出现影响采购公正的违法、违规行为的；</w:t>
      </w:r>
    </w:p>
    <w:p>
      <w:pPr>
        <w:spacing w:line="360" w:lineRule="auto"/>
        <w:rPr>
          <w:rFonts w:ascii="宋体" w:hAnsi="宋体"/>
          <w:sz w:val="24"/>
          <w:szCs w:val="24"/>
        </w:rPr>
      </w:pPr>
      <w:r>
        <w:rPr>
          <w:rFonts w:hint="eastAsia" w:ascii="宋体" w:hAnsi="宋体"/>
          <w:sz w:val="24"/>
          <w:szCs w:val="24"/>
          <w:highlight w:val="white"/>
        </w:rPr>
        <w:t>24.1.3因重大变故，采购任务取消的。</w:t>
      </w:r>
    </w:p>
    <w:p>
      <w:pPr>
        <w:spacing w:line="360" w:lineRule="auto"/>
        <w:rPr>
          <w:rFonts w:ascii="宋体" w:hAnsi="宋体"/>
          <w:sz w:val="24"/>
          <w:szCs w:val="24"/>
        </w:rPr>
      </w:pPr>
      <w:r>
        <w:rPr>
          <w:rFonts w:hint="eastAsia" w:ascii="宋体" w:hAnsi="宋体"/>
          <w:sz w:val="24"/>
          <w:szCs w:val="24"/>
          <w:highlight w:val="white"/>
        </w:rPr>
        <w:t>24.1.4 其他应该废标的情形。</w:t>
      </w:r>
    </w:p>
    <w:p>
      <w:pPr>
        <w:spacing w:line="360" w:lineRule="auto"/>
        <w:rPr>
          <w:rFonts w:ascii="宋体" w:hAnsi="宋体"/>
          <w:sz w:val="24"/>
          <w:szCs w:val="24"/>
        </w:rPr>
      </w:pPr>
      <w:r>
        <w:rPr>
          <w:rFonts w:hint="eastAsia" w:ascii="宋体" w:hAnsi="宋体"/>
          <w:sz w:val="24"/>
          <w:szCs w:val="24"/>
          <w:highlight w:val="white"/>
        </w:rPr>
        <w:t>废标后，采购人会把废标理由通知所有磋商供应商。</w:t>
      </w:r>
    </w:p>
    <w:p>
      <w:pPr>
        <w:spacing w:line="360" w:lineRule="auto"/>
        <w:rPr>
          <w:rFonts w:ascii="宋体" w:hAnsi="宋体"/>
          <w:sz w:val="24"/>
          <w:szCs w:val="24"/>
        </w:rPr>
      </w:pPr>
      <w:r>
        <w:rPr>
          <w:rFonts w:hint="eastAsia" w:ascii="宋体" w:hAnsi="宋体"/>
          <w:sz w:val="24"/>
          <w:szCs w:val="24"/>
          <w:highlight w:val="white"/>
        </w:rPr>
        <w:t>24.2 因上条第一款、第二款规定情形导致废标的，若采购人提出申请，报经政府采购监督管理部门批准，可现场改为竞争性磋商，磋商供应商有下列情形之一的，不得参加磋商：</w:t>
      </w:r>
    </w:p>
    <w:p>
      <w:pPr>
        <w:spacing w:line="360" w:lineRule="auto"/>
        <w:rPr>
          <w:rFonts w:ascii="宋体" w:hAnsi="宋体"/>
          <w:sz w:val="24"/>
          <w:szCs w:val="24"/>
        </w:rPr>
      </w:pPr>
      <w:r>
        <w:rPr>
          <w:rFonts w:hint="eastAsia" w:ascii="宋体" w:hAnsi="宋体"/>
          <w:sz w:val="24"/>
          <w:szCs w:val="24"/>
          <w:highlight w:val="white"/>
        </w:rPr>
        <w:t>24.2.1购买标书后放弃参加投标的；</w:t>
      </w:r>
    </w:p>
    <w:p>
      <w:pPr>
        <w:spacing w:line="360" w:lineRule="auto"/>
        <w:rPr>
          <w:rFonts w:ascii="宋体" w:hAnsi="宋体"/>
          <w:sz w:val="24"/>
          <w:szCs w:val="24"/>
        </w:rPr>
      </w:pPr>
      <w:r>
        <w:rPr>
          <w:rFonts w:hint="eastAsia" w:ascii="宋体" w:hAnsi="宋体"/>
          <w:sz w:val="24"/>
          <w:szCs w:val="24"/>
          <w:highlight w:val="white"/>
        </w:rPr>
        <w:t>24.2.2未经采购人和采购代理机构允许，离开开标现场通知不上的；</w:t>
      </w:r>
    </w:p>
    <w:p>
      <w:pPr>
        <w:spacing w:line="360" w:lineRule="auto"/>
        <w:rPr>
          <w:rFonts w:ascii="宋体" w:hAnsi="宋体"/>
          <w:sz w:val="24"/>
          <w:szCs w:val="24"/>
        </w:rPr>
      </w:pPr>
      <w:r>
        <w:rPr>
          <w:rFonts w:hint="eastAsia" w:ascii="宋体" w:hAnsi="宋体"/>
          <w:sz w:val="24"/>
          <w:szCs w:val="24"/>
          <w:highlight w:val="white"/>
        </w:rPr>
        <w:t>24.2.3不符合竞争性磋商文件列明的专业条件的；</w:t>
      </w:r>
    </w:p>
    <w:p>
      <w:pPr>
        <w:spacing w:line="360" w:lineRule="auto"/>
        <w:rPr>
          <w:rFonts w:ascii="宋体" w:hAnsi="宋体"/>
          <w:sz w:val="24"/>
          <w:szCs w:val="24"/>
        </w:rPr>
      </w:pPr>
      <w:r>
        <w:rPr>
          <w:rFonts w:hint="eastAsia" w:ascii="宋体" w:hAnsi="宋体"/>
          <w:sz w:val="24"/>
          <w:szCs w:val="24"/>
          <w:highlight w:val="white"/>
        </w:rPr>
        <w:t>24.2.4未按规定交纳投标保证金的；</w:t>
      </w:r>
    </w:p>
    <w:p>
      <w:pPr>
        <w:spacing w:line="360" w:lineRule="auto"/>
        <w:rPr>
          <w:rFonts w:ascii="宋体" w:hAnsi="宋体"/>
          <w:sz w:val="24"/>
          <w:szCs w:val="24"/>
        </w:rPr>
      </w:pPr>
      <w:r>
        <w:rPr>
          <w:rFonts w:hint="eastAsia" w:ascii="宋体" w:hAnsi="宋体"/>
          <w:sz w:val="24"/>
          <w:szCs w:val="24"/>
          <w:highlight w:val="white"/>
        </w:rPr>
        <w:t>24.2.5有影响采购公正的违法、违规行为造成项目废标的；</w:t>
      </w:r>
    </w:p>
    <w:p>
      <w:pPr>
        <w:spacing w:line="360" w:lineRule="auto"/>
        <w:rPr>
          <w:rFonts w:ascii="宋体" w:hAnsi="宋体"/>
          <w:sz w:val="24"/>
          <w:szCs w:val="24"/>
        </w:rPr>
      </w:pPr>
      <w:r>
        <w:rPr>
          <w:rFonts w:hint="eastAsia" w:ascii="宋体" w:hAnsi="宋体"/>
          <w:sz w:val="24"/>
          <w:szCs w:val="24"/>
          <w:highlight w:val="white"/>
        </w:rPr>
        <w:t>24.2.6其他不符合相关法律、法规的。</w:t>
      </w:r>
    </w:p>
    <w:p>
      <w:pPr>
        <w:pStyle w:val="6"/>
        <w:spacing w:line="240" w:lineRule="auto"/>
        <w:ind w:firstLine="628"/>
        <w:rPr>
          <w:rFonts w:hAnsi="宋体"/>
          <w:sz w:val="28"/>
          <w:szCs w:val="28"/>
        </w:rPr>
      </w:pPr>
      <w:bookmarkStart w:id="110" w:name="_Toc516969091"/>
      <w:bookmarkEnd w:id="110"/>
      <w:bookmarkStart w:id="111" w:name="_Toc407096155"/>
      <w:r>
        <w:rPr>
          <w:rFonts w:hint="eastAsia" w:hAnsi="宋体"/>
          <w:sz w:val="28"/>
          <w:szCs w:val="28"/>
          <w:highlight w:val="white"/>
        </w:rPr>
        <w:t>六．定标与签订合同</w:t>
      </w:r>
      <w:bookmarkEnd w:id="111"/>
    </w:p>
    <w:p>
      <w:pPr>
        <w:rPr>
          <w:rFonts w:ascii="宋体" w:hAnsi="宋体"/>
          <w:b/>
          <w:bCs/>
          <w:sz w:val="24"/>
          <w:szCs w:val="24"/>
        </w:rPr>
      </w:pPr>
      <w:r>
        <w:rPr>
          <w:rFonts w:hint="eastAsia" w:ascii="宋体" w:hAnsi="宋体"/>
          <w:b/>
          <w:bCs/>
          <w:sz w:val="24"/>
          <w:szCs w:val="24"/>
          <w:highlight w:val="white"/>
        </w:rPr>
        <w:t>25.定标</w:t>
      </w:r>
    </w:p>
    <w:p>
      <w:pPr>
        <w:spacing w:line="360" w:lineRule="auto"/>
        <w:rPr>
          <w:rFonts w:ascii="宋体" w:hAnsi="宋体"/>
          <w:sz w:val="24"/>
          <w:szCs w:val="24"/>
        </w:rPr>
      </w:pPr>
      <w:r>
        <w:rPr>
          <w:rFonts w:hint="eastAsia" w:ascii="宋体" w:hAnsi="宋体"/>
          <w:sz w:val="24"/>
          <w:szCs w:val="24"/>
          <w:highlight w:val="white"/>
        </w:rPr>
        <w:t>25.1 投标有效性评审后，磋商小组应当按竞争性磋商文件规定的标准和方法提出独立评审意见，推荐成交供应商。</w:t>
      </w:r>
    </w:p>
    <w:p>
      <w:pPr>
        <w:spacing w:line="360" w:lineRule="auto"/>
        <w:rPr>
          <w:rFonts w:ascii="宋体" w:hAnsi="宋体"/>
          <w:sz w:val="24"/>
          <w:szCs w:val="24"/>
        </w:rPr>
      </w:pPr>
      <w:r>
        <w:rPr>
          <w:rFonts w:hint="eastAsia" w:ascii="宋体" w:hAnsi="宋体"/>
          <w:sz w:val="24"/>
          <w:szCs w:val="24"/>
          <w:highlight w:val="white"/>
        </w:rPr>
        <w:t>25.2排名第一的成交供应商放弃中标、因不可抗力不能履行合同、不按照竞争性磋商文件要求提交履约保证金，或者被查实存在影响中标结果的违法行为等情形，不符合中标条件的，竞争性磋商人可以按照评标委员会提出的成交供应商候选人名单排序依次确定其他成交供应商候选人为成交供应商，也可以重新竞争性磋商。</w:t>
      </w:r>
    </w:p>
    <w:p>
      <w:pPr>
        <w:spacing w:line="360" w:lineRule="auto"/>
        <w:rPr>
          <w:rFonts w:ascii="宋体" w:hAnsi="宋体"/>
          <w:sz w:val="24"/>
          <w:szCs w:val="24"/>
        </w:rPr>
      </w:pPr>
      <w:r>
        <w:rPr>
          <w:rFonts w:hint="eastAsia" w:ascii="宋体" w:hAnsi="宋体"/>
          <w:sz w:val="24"/>
          <w:szCs w:val="24"/>
          <w:highlight w:val="white"/>
        </w:rPr>
        <w:t>25.3原则上把合同授予实质上响应竞争性磋商文件要求的排名最前的成交供应商候选人或通过上条资格审查的成交供应商候选人。</w:t>
      </w:r>
    </w:p>
    <w:p>
      <w:pPr>
        <w:spacing w:line="360" w:lineRule="auto"/>
        <w:rPr>
          <w:rFonts w:ascii="宋体" w:hAnsi="宋体"/>
          <w:sz w:val="24"/>
          <w:szCs w:val="24"/>
        </w:rPr>
      </w:pPr>
      <w:r>
        <w:rPr>
          <w:rFonts w:hint="eastAsia" w:ascii="宋体" w:hAnsi="宋体"/>
          <w:sz w:val="24"/>
          <w:szCs w:val="24"/>
          <w:highlight w:val="white"/>
        </w:rPr>
        <w:t>25.4 最低报价并不是被授予合同的保证。</w:t>
      </w:r>
    </w:p>
    <w:p>
      <w:pPr>
        <w:spacing w:line="360" w:lineRule="auto"/>
        <w:rPr>
          <w:rFonts w:ascii="宋体" w:hAnsi="宋体"/>
          <w:sz w:val="24"/>
          <w:szCs w:val="24"/>
        </w:rPr>
      </w:pPr>
      <w:r>
        <w:rPr>
          <w:rFonts w:hint="eastAsia" w:ascii="宋体" w:hAnsi="宋体"/>
          <w:sz w:val="24"/>
          <w:szCs w:val="24"/>
          <w:highlight w:val="white"/>
        </w:rPr>
        <w:t>25.5 凡发现成交供应商有下列行为之一的，其中标无效，并移交政府采购监督管理部门依法处理：</w:t>
      </w:r>
    </w:p>
    <w:p>
      <w:pPr>
        <w:spacing w:line="360" w:lineRule="auto"/>
        <w:rPr>
          <w:rFonts w:ascii="宋体" w:hAnsi="宋体"/>
          <w:sz w:val="24"/>
          <w:szCs w:val="24"/>
        </w:rPr>
      </w:pPr>
      <w:r>
        <w:rPr>
          <w:rFonts w:hint="eastAsia" w:ascii="宋体" w:hAnsi="宋体"/>
          <w:sz w:val="24"/>
          <w:szCs w:val="24"/>
          <w:highlight w:val="white"/>
        </w:rPr>
        <w:t>25.5.1 以他人名义投标、或提供虚假材料弄虚作假谋取中标的；</w:t>
      </w:r>
    </w:p>
    <w:p>
      <w:pPr>
        <w:spacing w:line="360" w:lineRule="auto"/>
        <w:rPr>
          <w:rFonts w:ascii="宋体" w:hAnsi="宋体"/>
          <w:sz w:val="24"/>
          <w:szCs w:val="24"/>
        </w:rPr>
      </w:pPr>
      <w:r>
        <w:rPr>
          <w:rFonts w:hint="eastAsia" w:ascii="宋体" w:hAnsi="宋体"/>
          <w:sz w:val="24"/>
          <w:szCs w:val="24"/>
          <w:highlight w:val="white"/>
        </w:rPr>
        <w:t>25.5.1.1以他人名义投标，是指使用通过受让或者租借等方式获取的资格、资质证书投标。</w:t>
      </w:r>
    </w:p>
    <w:p>
      <w:pPr>
        <w:spacing w:line="360" w:lineRule="auto"/>
        <w:rPr>
          <w:rFonts w:ascii="宋体" w:hAnsi="宋体"/>
          <w:sz w:val="24"/>
          <w:szCs w:val="24"/>
        </w:rPr>
      </w:pPr>
      <w:r>
        <w:rPr>
          <w:rFonts w:hint="eastAsia" w:ascii="宋体" w:hAnsi="宋体"/>
          <w:sz w:val="24"/>
          <w:szCs w:val="24"/>
          <w:highlight w:val="white"/>
        </w:rPr>
        <w:t>25.5.1.2有磋商供应商有下列情形之一的，属于弄虚作假的行为：</w:t>
      </w:r>
    </w:p>
    <w:p>
      <w:pPr>
        <w:spacing w:line="360" w:lineRule="auto"/>
        <w:rPr>
          <w:rFonts w:ascii="宋体" w:hAnsi="宋体"/>
          <w:sz w:val="24"/>
          <w:szCs w:val="24"/>
        </w:rPr>
      </w:pPr>
      <w:r>
        <w:rPr>
          <w:rFonts w:hint="eastAsia" w:ascii="宋体" w:hAnsi="宋体"/>
          <w:sz w:val="24"/>
          <w:szCs w:val="24"/>
          <w:highlight w:val="white"/>
        </w:rPr>
        <w:t>25.5.1.2.1使用伪造、变造的许可证件；</w:t>
      </w:r>
    </w:p>
    <w:p>
      <w:pPr>
        <w:spacing w:line="360" w:lineRule="auto"/>
        <w:rPr>
          <w:rFonts w:ascii="宋体" w:hAnsi="宋体"/>
          <w:sz w:val="24"/>
          <w:szCs w:val="24"/>
        </w:rPr>
      </w:pPr>
      <w:r>
        <w:rPr>
          <w:rFonts w:hint="eastAsia" w:ascii="宋体" w:hAnsi="宋体"/>
          <w:sz w:val="24"/>
          <w:szCs w:val="24"/>
          <w:highlight w:val="white"/>
        </w:rPr>
        <w:t>25.5.1.2.2提供虚假的财务状况或者业绩；</w:t>
      </w:r>
    </w:p>
    <w:p>
      <w:pPr>
        <w:spacing w:line="360" w:lineRule="auto"/>
        <w:rPr>
          <w:rFonts w:ascii="宋体" w:hAnsi="宋体"/>
          <w:sz w:val="24"/>
          <w:szCs w:val="24"/>
        </w:rPr>
      </w:pPr>
      <w:r>
        <w:rPr>
          <w:rFonts w:hint="eastAsia" w:ascii="宋体" w:hAnsi="宋体"/>
          <w:sz w:val="24"/>
          <w:szCs w:val="24"/>
          <w:highlight w:val="white"/>
        </w:rPr>
        <w:t>25.5.1.2.3提供虚假的项目负责人或者主要技术人员简历；</w:t>
      </w:r>
    </w:p>
    <w:p>
      <w:pPr>
        <w:spacing w:line="360" w:lineRule="auto"/>
        <w:rPr>
          <w:rFonts w:ascii="宋体" w:hAnsi="宋体"/>
          <w:sz w:val="24"/>
          <w:szCs w:val="24"/>
        </w:rPr>
      </w:pPr>
      <w:r>
        <w:rPr>
          <w:rFonts w:hint="eastAsia" w:ascii="宋体" w:hAnsi="宋体"/>
          <w:sz w:val="24"/>
          <w:szCs w:val="24"/>
          <w:highlight w:val="white"/>
        </w:rPr>
        <w:t>25.5.1.2.4提供虚假的信用状况；</w:t>
      </w:r>
    </w:p>
    <w:p>
      <w:pPr>
        <w:spacing w:line="360" w:lineRule="auto"/>
        <w:rPr>
          <w:rFonts w:ascii="宋体" w:hAnsi="宋体"/>
          <w:sz w:val="24"/>
          <w:szCs w:val="24"/>
        </w:rPr>
      </w:pPr>
      <w:r>
        <w:rPr>
          <w:rFonts w:hint="eastAsia" w:ascii="宋体" w:hAnsi="宋体"/>
          <w:sz w:val="24"/>
          <w:szCs w:val="24"/>
          <w:highlight w:val="white"/>
        </w:rPr>
        <w:t>25.5.1.2.5其他弄虚作假的行为。</w:t>
      </w:r>
    </w:p>
    <w:p>
      <w:pPr>
        <w:spacing w:line="360" w:lineRule="auto"/>
        <w:rPr>
          <w:rFonts w:ascii="宋体" w:hAnsi="宋体"/>
          <w:sz w:val="24"/>
          <w:szCs w:val="24"/>
        </w:rPr>
      </w:pPr>
      <w:r>
        <w:rPr>
          <w:rFonts w:hint="eastAsia" w:ascii="宋体" w:hAnsi="宋体"/>
          <w:sz w:val="24"/>
          <w:szCs w:val="24"/>
          <w:highlight w:val="white"/>
        </w:rPr>
        <w:t>25.5.2与采购人、其他供应商或者采购人工作人员恶意串通的；</w:t>
      </w:r>
    </w:p>
    <w:p>
      <w:pPr>
        <w:spacing w:line="360" w:lineRule="auto"/>
        <w:rPr>
          <w:rFonts w:ascii="宋体" w:hAnsi="宋体"/>
          <w:sz w:val="24"/>
          <w:szCs w:val="24"/>
        </w:rPr>
      </w:pPr>
      <w:r>
        <w:rPr>
          <w:rFonts w:hint="eastAsia" w:ascii="宋体" w:hAnsi="宋体"/>
          <w:sz w:val="24"/>
          <w:szCs w:val="24"/>
          <w:highlight w:val="white"/>
        </w:rPr>
        <w:t>25.5.3向采购人、评审专家、采购人工作人员行贿或者提供其他不正当利益的；</w:t>
      </w:r>
    </w:p>
    <w:p>
      <w:pPr>
        <w:spacing w:line="360" w:lineRule="auto"/>
        <w:rPr>
          <w:rFonts w:ascii="宋体" w:hAnsi="宋体"/>
          <w:sz w:val="24"/>
          <w:szCs w:val="24"/>
        </w:rPr>
      </w:pPr>
      <w:r>
        <w:rPr>
          <w:rFonts w:hint="eastAsia" w:ascii="宋体" w:hAnsi="宋体"/>
          <w:sz w:val="24"/>
          <w:szCs w:val="24"/>
          <w:highlight w:val="white"/>
        </w:rPr>
        <w:t>25.5.4有法律、法规规定的其他损害采购人利益和社会公共利益情形的；</w:t>
      </w:r>
    </w:p>
    <w:p>
      <w:pPr>
        <w:spacing w:line="360" w:lineRule="auto"/>
        <w:rPr>
          <w:rFonts w:ascii="宋体" w:hAnsi="宋体"/>
          <w:sz w:val="24"/>
          <w:szCs w:val="24"/>
        </w:rPr>
      </w:pPr>
      <w:r>
        <w:rPr>
          <w:rFonts w:hint="eastAsia" w:ascii="宋体" w:hAnsi="宋体"/>
          <w:sz w:val="24"/>
          <w:szCs w:val="24"/>
          <w:highlight w:val="white"/>
        </w:rPr>
        <w:t>25.5.5其他违反招投标法律、法规和规章强制性规定的行为。</w:t>
      </w:r>
    </w:p>
    <w:p>
      <w:pPr>
        <w:spacing w:line="360" w:lineRule="auto"/>
        <w:rPr>
          <w:rFonts w:ascii="宋体" w:hAnsi="宋体"/>
          <w:sz w:val="24"/>
          <w:szCs w:val="24"/>
        </w:rPr>
      </w:pPr>
      <w:r>
        <w:rPr>
          <w:rFonts w:hint="eastAsia" w:ascii="宋体" w:hAnsi="宋体"/>
          <w:sz w:val="24"/>
          <w:szCs w:val="24"/>
          <w:highlight w:val="white"/>
        </w:rPr>
        <w:t>25.6采购人在淮南经济技术开发区管理委员会网站上发布评审结果公告，时间为一个工作日。</w:t>
      </w:r>
    </w:p>
    <w:p>
      <w:pPr>
        <w:spacing w:line="360" w:lineRule="auto"/>
        <w:rPr>
          <w:rFonts w:ascii="宋体" w:hAnsi="宋体"/>
          <w:b/>
          <w:bCs/>
          <w:sz w:val="24"/>
          <w:szCs w:val="24"/>
        </w:rPr>
      </w:pPr>
      <w:r>
        <w:rPr>
          <w:rFonts w:hint="eastAsia" w:ascii="宋体" w:hAnsi="宋体"/>
          <w:b/>
          <w:bCs/>
          <w:sz w:val="24"/>
          <w:szCs w:val="24"/>
          <w:highlight w:val="white"/>
        </w:rPr>
        <w:t>26.中标通知书</w:t>
      </w:r>
    </w:p>
    <w:p>
      <w:pPr>
        <w:spacing w:line="360" w:lineRule="auto"/>
        <w:rPr>
          <w:rFonts w:ascii="宋体" w:hAnsi="宋体"/>
          <w:sz w:val="24"/>
          <w:szCs w:val="24"/>
        </w:rPr>
      </w:pPr>
      <w:r>
        <w:rPr>
          <w:rFonts w:hint="eastAsia" w:ascii="宋体" w:hAnsi="宋体"/>
          <w:sz w:val="24"/>
          <w:szCs w:val="24"/>
          <w:highlight w:val="white"/>
        </w:rPr>
        <w:t>26.1采购人将以中标通知书形式通知中标成交供应商，其投标已被接受。</w:t>
      </w:r>
    </w:p>
    <w:p>
      <w:pPr>
        <w:spacing w:line="360" w:lineRule="auto"/>
        <w:rPr>
          <w:rFonts w:ascii="宋体" w:hAnsi="宋体"/>
          <w:sz w:val="24"/>
          <w:szCs w:val="24"/>
        </w:rPr>
      </w:pPr>
      <w:r>
        <w:rPr>
          <w:rFonts w:hint="eastAsia" w:ascii="宋体" w:hAnsi="宋体"/>
          <w:sz w:val="24"/>
          <w:szCs w:val="24"/>
          <w:highlight w:val="white"/>
        </w:rPr>
        <w:t>26.2采购人对未中标的磋商供应商不做未中标原因的解释。</w:t>
      </w:r>
    </w:p>
    <w:p>
      <w:pPr>
        <w:spacing w:line="360" w:lineRule="auto"/>
        <w:rPr>
          <w:rFonts w:ascii="宋体" w:hAnsi="宋体"/>
          <w:b/>
          <w:bCs/>
          <w:sz w:val="24"/>
          <w:szCs w:val="24"/>
        </w:rPr>
      </w:pPr>
      <w:r>
        <w:rPr>
          <w:rFonts w:hint="eastAsia" w:ascii="宋体" w:hAnsi="宋体"/>
          <w:b/>
          <w:bCs/>
          <w:sz w:val="24"/>
          <w:szCs w:val="24"/>
          <w:highlight w:val="white"/>
        </w:rPr>
        <w:t>27.中标服务费</w:t>
      </w:r>
    </w:p>
    <w:p>
      <w:pPr>
        <w:spacing w:line="360" w:lineRule="auto"/>
        <w:rPr>
          <w:rFonts w:ascii="宋体" w:hAnsi="宋体"/>
          <w:sz w:val="18"/>
          <w:szCs w:val="18"/>
        </w:rPr>
      </w:pPr>
      <w:r>
        <w:rPr>
          <w:rFonts w:hint="eastAsia" w:ascii="宋体" w:hAnsi="宋体"/>
          <w:sz w:val="24"/>
          <w:szCs w:val="24"/>
          <w:highlight w:val="white"/>
        </w:rPr>
        <w:t>27.1成交供应商在领取中标通知书前应向采购代理机构缴纳中标服务费。</w:t>
      </w:r>
    </w:p>
    <w:p>
      <w:pPr>
        <w:wordWrap w:val="0"/>
        <w:spacing w:line="360" w:lineRule="auto"/>
        <w:rPr>
          <w:rFonts w:ascii="宋体" w:hAnsi="宋体"/>
          <w:sz w:val="24"/>
          <w:szCs w:val="24"/>
        </w:rPr>
      </w:pPr>
      <w:r>
        <w:rPr>
          <w:rFonts w:hint="eastAsia" w:ascii="宋体" w:hAnsi="宋体"/>
          <w:sz w:val="24"/>
          <w:szCs w:val="24"/>
          <w:highlight w:val="white"/>
        </w:rPr>
        <w:t>27.2磋商供应商须知前附表约定收取定额服务费或免收服务费的，从其规定。</w:t>
      </w:r>
    </w:p>
    <w:p>
      <w:pPr>
        <w:spacing w:line="360" w:lineRule="auto"/>
        <w:rPr>
          <w:rFonts w:ascii="宋体" w:hAnsi="宋体"/>
          <w:b/>
          <w:bCs/>
          <w:sz w:val="24"/>
          <w:szCs w:val="24"/>
        </w:rPr>
      </w:pPr>
      <w:r>
        <w:rPr>
          <w:rFonts w:hint="eastAsia" w:ascii="宋体" w:hAnsi="宋体"/>
          <w:b/>
          <w:bCs/>
          <w:sz w:val="24"/>
          <w:szCs w:val="24"/>
          <w:highlight w:val="white"/>
        </w:rPr>
        <w:t>28.履约保证金</w:t>
      </w:r>
    </w:p>
    <w:p>
      <w:pPr>
        <w:spacing w:line="360" w:lineRule="auto"/>
        <w:rPr>
          <w:rFonts w:ascii="宋体" w:hAnsi="宋体"/>
          <w:sz w:val="24"/>
          <w:szCs w:val="24"/>
        </w:rPr>
      </w:pPr>
      <w:r>
        <w:rPr>
          <w:rFonts w:hint="eastAsia" w:ascii="宋体" w:hAnsi="宋体"/>
          <w:sz w:val="24"/>
          <w:szCs w:val="24"/>
          <w:highlight w:val="white"/>
        </w:rPr>
        <w:t>28.1签订合同前，成交供应商应提交履约保证金。履约保证金金额、收受方式及收受人见磋商供应商须知前附表规定。</w:t>
      </w:r>
    </w:p>
    <w:p>
      <w:pPr>
        <w:spacing w:line="360" w:lineRule="auto"/>
        <w:rPr>
          <w:rFonts w:ascii="宋体" w:hAnsi="宋体"/>
          <w:sz w:val="24"/>
          <w:szCs w:val="24"/>
        </w:rPr>
      </w:pPr>
      <w:r>
        <w:rPr>
          <w:rFonts w:hint="eastAsia" w:ascii="宋体" w:hAnsi="宋体"/>
          <w:sz w:val="24"/>
          <w:szCs w:val="24"/>
          <w:highlight w:val="white"/>
        </w:rPr>
        <w:t>28.2磋商供应商须知前附表约定收取定额履约保证金或免收履约保证金的，从其规定。</w:t>
      </w:r>
    </w:p>
    <w:p>
      <w:pPr>
        <w:spacing w:line="360" w:lineRule="auto"/>
        <w:rPr>
          <w:rFonts w:hint="eastAsia" w:ascii="宋体" w:hAnsi="宋体"/>
          <w:sz w:val="24"/>
          <w:szCs w:val="24"/>
          <w:highlight w:val="white"/>
        </w:rPr>
      </w:pPr>
      <w:r>
        <w:rPr>
          <w:rFonts w:hint="eastAsia" w:ascii="宋体" w:hAnsi="宋体"/>
          <w:sz w:val="24"/>
          <w:szCs w:val="24"/>
          <w:highlight w:val="white"/>
        </w:rPr>
        <w:t>28.3如果成交供应商未按规定交纳履约保证金，采购人有权取消该授标，并没收其投标保证金。在此情况下采购人可将该标授予其下一个成交供应商候选人，或重新竞争性磋商。</w:t>
      </w:r>
    </w:p>
    <w:p>
      <w:pPr>
        <w:spacing w:line="360" w:lineRule="auto"/>
        <w:rPr>
          <w:rFonts w:ascii="宋体" w:hAnsi="宋体"/>
          <w:b/>
          <w:bCs/>
          <w:sz w:val="24"/>
          <w:szCs w:val="24"/>
        </w:rPr>
      </w:pPr>
      <w:r>
        <w:rPr>
          <w:rFonts w:hint="eastAsia" w:ascii="宋体" w:hAnsi="宋体"/>
          <w:b/>
          <w:bCs/>
          <w:sz w:val="24"/>
          <w:szCs w:val="24"/>
          <w:highlight w:val="white"/>
        </w:rPr>
        <w:t>29.签订合同</w:t>
      </w:r>
    </w:p>
    <w:p>
      <w:pPr>
        <w:spacing w:line="360" w:lineRule="auto"/>
        <w:rPr>
          <w:rFonts w:ascii="宋体" w:hAnsi="宋体"/>
          <w:sz w:val="24"/>
          <w:szCs w:val="24"/>
        </w:rPr>
      </w:pPr>
      <w:r>
        <w:rPr>
          <w:rFonts w:hint="eastAsia" w:ascii="宋体" w:hAnsi="宋体"/>
          <w:sz w:val="24"/>
          <w:szCs w:val="24"/>
          <w:highlight w:val="white"/>
        </w:rPr>
        <w:t>29.1成交供应商在中标通知书发出之日起三十日内（具体时间、地点见中标通知书）与采购人签订合同。竞争性磋商文件、成交供应商的竞争性磋商响应及澄清文件等，均作为合同的附件。合同签订前成交供应商应向采购人出示中标服务费和履约保证金缴纳证明。</w:t>
      </w:r>
    </w:p>
    <w:p>
      <w:pPr>
        <w:spacing w:line="360" w:lineRule="auto"/>
        <w:rPr>
          <w:rFonts w:ascii="宋体" w:hAnsi="宋体"/>
          <w:sz w:val="24"/>
          <w:szCs w:val="24"/>
        </w:rPr>
      </w:pPr>
      <w:r>
        <w:rPr>
          <w:rFonts w:hint="eastAsia" w:ascii="宋体" w:hAnsi="宋体"/>
          <w:sz w:val="24"/>
          <w:szCs w:val="24"/>
          <w:highlight w:val="white"/>
        </w:rPr>
        <w:t>29.2 采购双方必须严格按照竞争性磋商文件、竞争性磋商响应文件及有关承诺签订采购合同，不得擅自变更。合同的标的、价款、质量、履行期限等主要条款应当与竞争性磋商文件和成交供应商的竞争性磋商响应文件的内容一致，竞争性磋商人和成交供应商不得再行订立背离合同实质性内容的其他协议。对任何因双方擅自变更合同引起的问题采购人概不负责，合同风险由双方自行承担。</w:t>
      </w:r>
    </w:p>
    <w:p>
      <w:pPr>
        <w:spacing w:line="360" w:lineRule="auto"/>
        <w:rPr>
          <w:rFonts w:ascii="宋体" w:hAnsi="宋体"/>
          <w:sz w:val="24"/>
          <w:szCs w:val="24"/>
        </w:rPr>
      </w:pPr>
      <w:r>
        <w:rPr>
          <w:rFonts w:hint="eastAsia" w:ascii="宋体" w:hAnsi="宋体"/>
          <w:sz w:val="24"/>
          <w:szCs w:val="24"/>
          <w:highlight w:val="white"/>
        </w:rPr>
        <w:t>29.3采购人保留以书面形式要求合同的卖方对其所投服务细则等作适当调整的权利。</w:t>
      </w:r>
    </w:p>
    <w:p>
      <w:pPr>
        <w:spacing w:line="360" w:lineRule="auto"/>
        <w:rPr>
          <w:rFonts w:ascii="宋体" w:hAnsi="宋体"/>
          <w:sz w:val="24"/>
          <w:szCs w:val="24"/>
        </w:rPr>
      </w:pPr>
      <w:r>
        <w:rPr>
          <w:rFonts w:hint="eastAsia" w:ascii="宋体" w:hAnsi="宋体"/>
          <w:sz w:val="24"/>
          <w:szCs w:val="24"/>
          <w:highlight w:val="white"/>
        </w:rPr>
        <w:t>29.4无论何种原因，各项本应作拒绝处理的情形即便未被及时发现而使该磋商供应商进入初审、详细评审或其它后续程序，包括已经签约的情形，一旦在任何时间被发现，采购人均有权决定是否取消该供应商此前评议的结果或是否对该报价予以拒绝，并有权采取相应的补救或纠正措施。一旦该磋商供应商被拒绝或被取消此前评议结果，其现有的位置将被其他磋商供应商依序替代或重新组织采购，相关的一切损失均由该磋商供应商自行承担。</w:t>
      </w:r>
    </w:p>
    <w:p>
      <w:pPr>
        <w:spacing w:line="360" w:lineRule="auto"/>
        <w:rPr>
          <w:rFonts w:ascii="宋体" w:hAnsi="宋体"/>
          <w:sz w:val="24"/>
          <w:szCs w:val="24"/>
        </w:rPr>
      </w:pPr>
      <w:r>
        <w:rPr>
          <w:rFonts w:hint="eastAsia" w:ascii="宋体" w:hAnsi="宋体"/>
          <w:b/>
          <w:bCs/>
          <w:sz w:val="24"/>
          <w:szCs w:val="24"/>
          <w:highlight w:val="white"/>
        </w:rPr>
        <w:t>30.验收</w:t>
      </w:r>
    </w:p>
    <w:p>
      <w:pPr>
        <w:spacing w:line="360" w:lineRule="auto"/>
        <w:rPr>
          <w:rFonts w:ascii="宋体" w:hAnsi="宋体"/>
          <w:sz w:val="24"/>
          <w:szCs w:val="24"/>
        </w:rPr>
      </w:pPr>
      <w:r>
        <w:rPr>
          <w:rFonts w:hint="eastAsia" w:ascii="宋体" w:hAnsi="宋体"/>
          <w:sz w:val="24"/>
          <w:szCs w:val="24"/>
          <w:highlight w:val="white"/>
        </w:rPr>
        <w:t>30.1采购人验收时，应成立验收小组，明确责任，严格依照竞争性磋商文件、中标通知书、政府采购合同及相关验收规范进行核对、验收，形成验收结论，并出具书面验收报告。</w:t>
      </w:r>
    </w:p>
    <w:p>
      <w:pPr>
        <w:spacing w:line="360" w:lineRule="auto"/>
        <w:rPr>
          <w:rFonts w:ascii="宋体" w:hAnsi="宋体"/>
          <w:sz w:val="24"/>
          <w:szCs w:val="24"/>
        </w:rPr>
      </w:pPr>
      <w:r>
        <w:rPr>
          <w:rFonts w:hint="eastAsia" w:ascii="宋体" w:hAnsi="宋体"/>
          <w:sz w:val="24"/>
          <w:szCs w:val="24"/>
          <w:highlight w:val="white"/>
        </w:rPr>
        <w:t>30.2涉及安全、消防、环保等其他需要由质检或行业主管部门进行验收的项目，必须邀请相关部门或相关专家参与验收。</w:t>
      </w:r>
    </w:p>
    <w:p>
      <w:pPr>
        <w:spacing w:line="360" w:lineRule="auto"/>
        <w:rPr>
          <w:rFonts w:ascii="宋体" w:hAnsi="宋体"/>
          <w:sz w:val="24"/>
          <w:szCs w:val="24"/>
        </w:rPr>
      </w:pPr>
      <w:r>
        <w:rPr>
          <w:rFonts w:hint="eastAsia" w:ascii="宋体" w:hAnsi="宋体"/>
          <w:sz w:val="24"/>
          <w:szCs w:val="24"/>
          <w:highlight w:val="white"/>
        </w:rPr>
        <w:t>30.3检测、验收费用均由合同乙方（成交供应商）承担。</w:t>
      </w:r>
    </w:p>
    <w:p>
      <w:pPr>
        <w:spacing w:line="360" w:lineRule="auto"/>
        <w:rPr>
          <w:rFonts w:ascii="宋体" w:hAnsi="宋体"/>
          <w:b/>
          <w:bCs/>
          <w:sz w:val="24"/>
          <w:szCs w:val="24"/>
        </w:rPr>
      </w:pPr>
      <w:r>
        <w:rPr>
          <w:rFonts w:hint="eastAsia" w:ascii="宋体" w:hAnsi="宋体"/>
          <w:b/>
          <w:bCs/>
          <w:sz w:val="24"/>
          <w:szCs w:val="24"/>
          <w:highlight w:val="white"/>
        </w:rPr>
        <w:t>31.未尽事宜</w:t>
      </w:r>
    </w:p>
    <w:p>
      <w:pPr>
        <w:spacing w:line="360" w:lineRule="auto"/>
        <w:rPr>
          <w:rFonts w:ascii="宋体" w:hAnsi="宋体"/>
          <w:sz w:val="24"/>
          <w:szCs w:val="24"/>
        </w:rPr>
      </w:pPr>
      <w:r>
        <w:rPr>
          <w:rFonts w:hint="eastAsia" w:ascii="宋体" w:hAnsi="宋体"/>
          <w:sz w:val="24"/>
          <w:szCs w:val="24"/>
          <w:highlight w:val="white"/>
        </w:rPr>
        <w:t>31.1按《中华人民共和国政府采购法》及其他有关法律法规的规定执行。</w:t>
      </w:r>
    </w:p>
    <w:p>
      <w:pPr>
        <w:spacing w:line="360" w:lineRule="auto"/>
        <w:rPr>
          <w:rFonts w:ascii="宋体" w:hAnsi="宋体"/>
          <w:sz w:val="24"/>
          <w:szCs w:val="24"/>
        </w:rPr>
      </w:pPr>
      <w:r>
        <w:rPr>
          <w:rFonts w:hint="eastAsia" w:ascii="宋体" w:hAnsi="宋体"/>
          <w:b/>
          <w:bCs/>
          <w:sz w:val="24"/>
          <w:szCs w:val="24"/>
          <w:highlight w:val="white"/>
        </w:rPr>
        <w:t>32.解释权</w:t>
      </w:r>
    </w:p>
    <w:p>
      <w:pPr>
        <w:spacing w:line="360" w:lineRule="auto"/>
        <w:rPr>
          <w:rFonts w:hint="eastAsia" w:ascii="宋体" w:hAnsi="宋体"/>
          <w:sz w:val="24"/>
          <w:szCs w:val="24"/>
        </w:rPr>
      </w:pPr>
      <w:r>
        <w:rPr>
          <w:rFonts w:hint="eastAsia" w:ascii="宋体" w:hAnsi="宋体"/>
          <w:sz w:val="24"/>
          <w:szCs w:val="24"/>
          <w:highlight w:val="white"/>
        </w:rPr>
        <w:t>32.1本竞争性磋商文件的解释权属于采购人。</w:t>
      </w:r>
    </w:p>
    <w:p>
      <w:pPr>
        <w:pStyle w:val="14"/>
        <w:pBdr>
          <w:bottom w:val="none" w:color="auto" w:sz="0" w:space="0"/>
        </w:pBdr>
        <w:rPr>
          <w:rFonts w:hint="eastAsia"/>
        </w:rPr>
      </w:pPr>
    </w:p>
    <w:p>
      <w:pPr>
        <w:pStyle w:val="4"/>
        <w:rPr>
          <w:rFonts w:hint="eastAsia" w:ascii="宋体" w:hAnsi="宋体" w:cs="宋体"/>
          <w:sz w:val="36"/>
        </w:rPr>
      </w:pPr>
    </w:p>
    <w:p>
      <w:pPr>
        <w:rPr>
          <w:rFonts w:hint="eastAsia" w:ascii="宋体" w:hAnsi="宋体"/>
          <w:sz w:val="36"/>
        </w:rPr>
      </w:pPr>
    </w:p>
    <w:p>
      <w:pPr>
        <w:pStyle w:val="4"/>
        <w:jc w:val="center"/>
        <w:rPr>
          <w:rFonts w:hint="eastAsia"/>
        </w:rPr>
      </w:pPr>
      <w:r>
        <w:rPr>
          <w:rFonts w:hint="eastAsia" w:ascii="宋体" w:hAnsi="宋体" w:cs="宋体"/>
          <w:sz w:val="36"/>
        </w:rPr>
        <w:t>第六章采购合同</w:t>
      </w:r>
    </w:p>
    <w:p>
      <w:pPr>
        <w:pStyle w:val="4"/>
        <w:spacing w:before="0" w:after="0" w:line="360" w:lineRule="auto"/>
        <w:jc w:val="center"/>
        <w:rPr>
          <w:rFonts w:hint="eastAsia" w:ascii="宋体" w:hAnsi="宋体" w:cs="宋体"/>
          <w:kern w:val="2"/>
          <w:sz w:val="24"/>
          <w:szCs w:val="24"/>
          <w:highlight w:val="white"/>
        </w:rPr>
      </w:pPr>
      <w:bookmarkStart w:id="112" w:name="_Toc456249647"/>
      <w:bookmarkEnd w:id="112"/>
      <w:bookmarkStart w:id="113" w:name="_Toc456249451"/>
      <w:bookmarkEnd w:id="113"/>
      <w:bookmarkStart w:id="114" w:name="_Toc407096157"/>
      <w:bookmarkEnd w:id="114"/>
      <w:bookmarkStart w:id="115" w:name="_Toc456249688"/>
      <w:r>
        <w:rPr>
          <w:rFonts w:hint="eastAsia" w:ascii="宋体" w:hAnsi="宋体" w:cs="宋体"/>
          <w:kern w:val="2"/>
          <w:sz w:val="24"/>
          <w:szCs w:val="24"/>
          <w:highlight w:val="white"/>
        </w:rPr>
        <w:t>（仅供参考，具体以实际签订为准）</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委托单位（全称）:</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承接单位（全称）:</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根据双方的多次协商，为做好</w:t>
      </w:r>
      <w:r>
        <w:rPr>
          <w:rFonts w:hint="eastAsia" w:ascii="宋体" w:hAnsi="宋体" w:cs="宋体"/>
          <w:b w:val="0"/>
          <w:bCs w:val="0"/>
          <w:kern w:val="2"/>
          <w:sz w:val="24"/>
          <w:szCs w:val="24"/>
          <w:highlight w:val="white"/>
          <w:u w:val="single"/>
        </w:rPr>
        <w:t xml:space="preserve">            </w:t>
      </w:r>
      <w:r>
        <w:rPr>
          <w:rFonts w:hint="eastAsia" w:ascii="宋体" w:hAnsi="宋体" w:cs="宋体"/>
          <w:b w:val="0"/>
          <w:bCs w:val="0"/>
          <w:kern w:val="2"/>
          <w:sz w:val="24"/>
          <w:szCs w:val="24"/>
          <w:highlight w:val="white"/>
        </w:rPr>
        <w:t>工程整体规划，设计出与周边环境融为一体，具有鲜明个性特色的标志性环境景观，甲方承担设计任务依照《中华人民共和国合同法》和《建设工程勘察设计合同条例》的有关规定，经双方协商一致，签订本合同</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一、合同基本内容：</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 xml:space="preserve">1、设计规模：      </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总规划用地面积</w:t>
      </w:r>
      <w:r>
        <w:rPr>
          <w:rFonts w:hint="eastAsia" w:ascii="宋体" w:hAnsi="宋体" w:cs="宋体"/>
          <w:b w:val="0"/>
          <w:bCs w:val="0"/>
          <w:kern w:val="2"/>
          <w:sz w:val="24"/>
          <w:szCs w:val="24"/>
          <w:highlight w:val="white"/>
          <w:u w:val="single"/>
        </w:rPr>
        <w:t xml:space="preserve">        </w:t>
      </w:r>
      <w:r>
        <w:rPr>
          <w:rFonts w:hint="eastAsia" w:ascii="宋体" w:hAnsi="宋体" w:cs="宋体"/>
          <w:b w:val="0"/>
          <w:bCs w:val="0"/>
          <w:kern w:val="2"/>
          <w:sz w:val="24"/>
          <w:szCs w:val="24"/>
          <w:highlight w:val="white"/>
        </w:rPr>
        <w:t>平方米</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设计面积约为</w:t>
      </w:r>
      <w:r>
        <w:rPr>
          <w:rFonts w:hint="eastAsia" w:ascii="宋体" w:hAnsi="宋体" w:cs="宋体"/>
          <w:b w:val="0"/>
          <w:bCs w:val="0"/>
          <w:kern w:val="2"/>
          <w:sz w:val="24"/>
          <w:szCs w:val="24"/>
          <w:highlight w:val="white"/>
          <w:u w:val="single"/>
        </w:rPr>
        <w:t xml:space="preserve">       </w:t>
      </w:r>
      <w:r>
        <w:rPr>
          <w:rFonts w:hint="eastAsia" w:ascii="宋体" w:hAnsi="宋体" w:cs="宋体"/>
          <w:b w:val="0"/>
          <w:bCs w:val="0"/>
          <w:kern w:val="2"/>
          <w:sz w:val="24"/>
          <w:szCs w:val="24"/>
          <w:highlight w:val="white"/>
        </w:rPr>
        <w:t>平方米</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二、服务期：</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u w:val="single"/>
          <w:lang w:val="en-US" w:eastAsia="zh-CN"/>
        </w:rPr>
        <w:t>2</w:t>
      </w:r>
      <w:r>
        <w:rPr>
          <w:rFonts w:hint="eastAsia" w:ascii="宋体" w:hAnsi="宋体" w:cs="宋体"/>
          <w:b w:val="0"/>
          <w:bCs w:val="0"/>
          <w:kern w:val="2"/>
          <w:sz w:val="24"/>
          <w:szCs w:val="24"/>
          <w:highlight w:val="white"/>
          <w:u w:val="single"/>
        </w:rPr>
        <w:t>0日历天</w:t>
      </w:r>
      <w:r>
        <w:rPr>
          <w:rFonts w:hint="eastAsia" w:ascii="宋体" w:hAnsi="宋体" w:cs="宋体"/>
          <w:b w:val="0"/>
          <w:bCs w:val="0"/>
          <w:kern w:val="2"/>
          <w:sz w:val="24"/>
          <w:szCs w:val="24"/>
          <w:highlight w:val="white"/>
        </w:rPr>
        <w:t>。因中标人原因造成工期延误，每拖延一天支付1000元/天违约金，因甲方原因所造成的设计工期延误，工期予以顺延，但延期造成的损失甲方不予承担。</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三、设计费用及支付方式:</w:t>
      </w:r>
    </w:p>
    <w:p>
      <w:pPr>
        <w:pStyle w:val="5"/>
        <w:spacing w:before="0" w:after="0" w:line="312" w:lineRule="auto"/>
        <w:ind w:firstLine="0"/>
        <w:jc w:val="left"/>
        <w:rPr>
          <w:rFonts w:ascii="宋体" w:hAnsi="宋体" w:cs="宋体"/>
          <w:b w:val="0"/>
          <w:sz w:val="24"/>
          <w:szCs w:val="24"/>
        </w:rPr>
      </w:pPr>
      <w:bookmarkStart w:id="116" w:name="_Toc488665441"/>
      <w:r>
        <w:rPr>
          <w:rFonts w:hint="eastAsia" w:ascii="宋体" w:hAnsi="宋体" w:cs="宋体"/>
          <w:b w:val="0"/>
          <w:sz w:val="24"/>
          <w:szCs w:val="24"/>
        </w:rPr>
        <w:t>1、签约合同价为：</w:t>
      </w:r>
      <w:bookmarkEnd w:id="116"/>
    </w:p>
    <w:p>
      <w:pPr>
        <w:pStyle w:val="4"/>
        <w:spacing w:before="0" w:after="0" w:line="360" w:lineRule="auto"/>
        <w:rPr>
          <w:rFonts w:hint="eastAsia" w:ascii="宋体" w:hAnsi="宋体" w:cs="宋体"/>
          <w:b w:val="0"/>
          <w:sz w:val="24"/>
          <w:szCs w:val="24"/>
        </w:rPr>
      </w:pPr>
      <w:r>
        <w:rPr>
          <w:rFonts w:hint="eastAsia" w:ascii="宋体" w:hAnsi="宋体" w:cs="宋体"/>
          <w:b w:val="0"/>
          <w:sz w:val="24"/>
          <w:szCs w:val="24"/>
        </w:rPr>
        <w:t xml:space="preserve">合同总价（小写） </w:t>
      </w:r>
      <w:r>
        <w:rPr>
          <w:rFonts w:hint="eastAsia" w:ascii="宋体" w:hAnsi="宋体" w:cs="宋体"/>
          <w:b w:val="0"/>
          <w:sz w:val="24"/>
          <w:szCs w:val="24"/>
          <w:u w:val="single"/>
        </w:rPr>
        <w:t xml:space="preserve">      </w:t>
      </w:r>
      <w:r>
        <w:rPr>
          <w:rFonts w:hint="eastAsia" w:ascii="宋体" w:hAnsi="宋体" w:cs="宋体"/>
          <w:b w:val="0"/>
          <w:sz w:val="24"/>
          <w:szCs w:val="24"/>
        </w:rPr>
        <w:t>万元人民币（大写）</w:t>
      </w:r>
      <w:r>
        <w:rPr>
          <w:rFonts w:hint="eastAsia" w:ascii="宋体" w:hAnsi="宋体" w:cs="宋体"/>
          <w:b w:val="0"/>
          <w:sz w:val="24"/>
          <w:szCs w:val="24"/>
          <w:u w:val="single"/>
        </w:rPr>
        <w:t xml:space="preserve">           </w:t>
      </w:r>
      <w:r>
        <w:rPr>
          <w:rFonts w:hint="eastAsia" w:ascii="宋体" w:hAnsi="宋体" w:cs="宋体"/>
          <w:b w:val="0"/>
          <w:sz w:val="24"/>
          <w:szCs w:val="24"/>
        </w:rPr>
        <w:t>。</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2、支付方式：</w:t>
      </w:r>
      <w:r>
        <w:rPr>
          <w:rFonts w:hint="eastAsia" w:ascii="宋体" w:hAnsi="宋体" w:cs="宋体"/>
          <w:b w:val="0"/>
          <w:bCs w:val="0"/>
          <w:kern w:val="2"/>
          <w:sz w:val="24"/>
          <w:szCs w:val="24"/>
          <w:highlight w:val="white"/>
          <w:u w:val="single"/>
        </w:rPr>
        <w:t>规划方案评审通过后支付合同价的70%，余款待项目申报工作结束后一次性支付（无息）</w:t>
      </w:r>
      <w:r>
        <w:rPr>
          <w:rFonts w:hint="eastAsia" w:ascii="宋体" w:hAnsi="宋体" w:cs="宋体"/>
          <w:b w:val="0"/>
          <w:bCs w:val="0"/>
          <w:kern w:val="2"/>
          <w:sz w:val="24"/>
          <w:szCs w:val="24"/>
          <w:highlight w:val="white"/>
        </w:rPr>
        <w:t>。</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四、甲方应向乙方提交的有关基础资料和文件</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已审定的建筑规划总平面图、建筑设计文件、设计任务书等</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五、乙方应向甲方提交各阶段的设计成果</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1、方案初步设计阶段的设计成果</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2、</w:t>
      </w:r>
      <w:r>
        <w:rPr>
          <w:rFonts w:hint="eastAsia" w:ascii="宋体" w:hAnsi="宋体" w:cs="宋体"/>
          <w:b w:val="0"/>
          <w:bCs w:val="0"/>
          <w:kern w:val="2"/>
          <w:sz w:val="24"/>
          <w:szCs w:val="24"/>
        </w:rPr>
        <w:t>施工图设</w:t>
      </w:r>
      <w:r>
        <w:rPr>
          <w:rFonts w:hint="eastAsia" w:ascii="宋体" w:hAnsi="宋体" w:cs="宋体"/>
          <w:b w:val="0"/>
          <w:bCs w:val="0"/>
          <w:kern w:val="2"/>
          <w:sz w:val="24"/>
          <w:szCs w:val="24"/>
          <w:highlight w:val="white"/>
        </w:rPr>
        <w:t>计阶段的设计成果</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六、 甲乙双方权责任</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甲方权责：</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1、甲方应及时向乙方提交有关资料及文件，并对其完整性、正确性负责，甲方不得要求乙方违反国家有关标准进行设计。</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2、甲方变更委托设计项目或因提交的资料错误，或所提交资料作重大修改，以致造成设计工作需返工时，双方除需另外协商签订补充协议、重新明确有关条款外，甲方应按乙方所耗工作量向乙方增付设计费。</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3、甲方应保护乙方的设计方案、文件、资料图纸、数据、设计软件和专利技术未经乙方同意，甲方对乙方交付的设计资料及文件不得用于本合同外的项目。</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4、在要求乙方进行资源调查和技术服务时提供食宿。</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5、甲方要求乙方比合同规定的时间提前交付设计文件时，须征得乙方同意后，向乙方支付相应的赶工费用。</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6、本项目范围内由乙方设计的全部成果，并享有该成果的知识产权甲方应保护乙方的设计版权，未经乙方同意，甲方对设计文件不得复制或向第三方转让或使用，如发生以上情况，乙方有权索赔，甲方须承担相应的违约责任。</w:t>
      </w:r>
    </w:p>
    <w:p>
      <w:pPr>
        <w:pStyle w:val="4"/>
        <w:spacing w:before="0" w:after="0" w:line="360" w:lineRule="auto"/>
        <w:rPr>
          <w:rFonts w:ascii="宋体" w:hAnsi="宋体" w:cs="宋体"/>
          <w:b w:val="0"/>
          <w:bCs w:val="0"/>
          <w:kern w:val="2"/>
          <w:sz w:val="24"/>
          <w:szCs w:val="24"/>
          <w:highlight w:val="white"/>
        </w:rPr>
      </w:pPr>
      <w:r>
        <w:rPr>
          <w:rFonts w:hint="eastAsia" w:ascii="宋体" w:hAnsi="宋体" w:cs="宋体"/>
          <w:b w:val="0"/>
          <w:bCs w:val="0"/>
          <w:kern w:val="2"/>
          <w:sz w:val="24"/>
          <w:szCs w:val="24"/>
          <w:highlight w:val="white"/>
        </w:rPr>
        <w:t>7、甲方指定</w:t>
      </w:r>
      <w:r>
        <w:rPr>
          <w:rFonts w:hint="eastAsia" w:ascii="宋体" w:hAnsi="宋体" w:cs="宋体"/>
          <w:b w:val="0"/>
          <w:bCs w:val="0"/>
          <w:kern w:val="2"/>
          <w:sz w:val="24"/>
          <w:szCs w:val="24"/>
          <w:highlight w:val="white"/>
          <w:u w:val="single"/>
        </w:rPr>
        <w:t xml:space="preserve">     </w:t>
      </w:r>
      <w:r>
        <w:rPr>
          <w:rFonts w:hint="eastAsia" w:ascii="宋体" w:hAnsi="宋体" w:cs="宋体"/>
          <w:b w:val="0"/>
          <w:bCs w:val="0"/>
          <w:kern w:val="2"/>
          <w:sz w:val="24"/>
          <w:szCs w:val="24"/>
          <w:highlight w:val="white"/>
        </w:rPr>
        <w:t>为项目联络人，联系电话:</w:t>
      </w:r>
      <w:r>
        <w:rPr>
          <w:rFonts w:hint="eastAsia" w:ascii="宋体" w:hAnsi="宋体" w:cs="宋体"/>
          <w:b w:val="0"/>
          <w:bCs w:val="0"/>
          <w:kern w:val="2"/>
          <w:sz w:val="24"/>
          <w:szCs w:val="24"/>
          <w:highlight w:val="white"/>
          <w:u w:val="single"/>
        </w:rPr>
        <w:t xml:space="preserve">          </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乙方权责：</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1、乙方负责提供设计范围所指定服务，保证设计成果的深度和质量符合相关部门要求；</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2、乙方应注意维护甲方利益，未经甲方同意，不得将本项甲方提供的有关技术经济资料用于合同外的项目或向第三方泄露、转让；</w:t>
      </w:r>
    </w:p>
    <w:p>
      <w:pPr>
        <w:pStyle w:val="4"/>
        <w:spacing w:before="0" w:after="0" w:line="360" w:lineRule="auto"/>
        <w:rPr>
          <w:rFonts w:hint="eastAsia" w:ascii="宋体" w:hAnsi="宋体" w:cs="宋体"/>
          <w:b w:val="0"/>
          <w:bCs w:val="0"/>
          <w:kern w:val="2"/>
          <w:sz w:val="24"/>
          <w:szCs w:val="24"/>
        </w:rPr>
      </w:pPr>
      <w:r>
        <w:rPr>
          <w:rFonts w:hint="eastAsia" w:ascii="宋体" w:hAnsi="宋体" w:cs="宋体"/>
          <w:b w:val="0"/>
          <w:bCs w:val="0"/>
          <w:kern w:val="2"/>
          <w:sz w:val="24"/>
          <w:szCs w:val="24"/>
          <w:highlight w:val="white"/>
        </w:rPr>
        <w:t>3、乙方负责对甲方本园林景观园林工程施工和验收进行配合：乙方在施工图完成后，需与甲方</w:t>
      </w:r>
      <w:r>
        <w:rPr>
          <w:rFonts w:hint="eastAsia" w:ascii="宋体" w:hAnsi="宋体" w:cs="宋体"/>
          <w:b w:val="0"/>
          <w:bCs w:val="0"/>
          <w:kern w:val="2"/>
          <w:sz w:val="24"/>
          <w:szCs w:val="24"/>
        </w:rPr>
        <w:t>、本工程承建商及设计院一同出具设计交底会议；在工程定标以后及施工前应初察苗圃，以监管承建商预备植物料；在硬景施工前及施工期间乙方应按甲方的要求前往工地现场技术交底，以确保所有硬景工程按图施工，制备初步验收接受建设书，其上注明需待修改更正的项目。</w:t>
      </w:r>
    </w:p>
    <w:p>
      <w:pPr>
        <w:pStyle w:val="4"/>
        <w:spacing w:before="0" w:after="0" w:line="360" w:lineRule="auto"/>
        <w:rPr>
          <w:rFonts w:hint="eastAsia" w:ascii="宋体" w:hAnsi="宋体" w:cs="宋体"/>
          <w:b w:val="0"/>
          <w:bCs w:val="0"/>
          <w:kern w:val="2"/>
          <w:sz w:val="24"/>
          <w:szCs w:val="24"/>
          <w:highlight w:val="white"/>
          <w:lang w:eastAsia="zh-CN"/>
        </w:rPr>
      </w:pPr>
      <w:r>
        <w:rPr>
          <w:rFonts w:hint="eastAsia" w:ascii="宋体" w:hAnsi="宋体" w:cs="宋体"/>
          <w:b w:val="0"/>
          <w:bCs w:val="0"/>
          <w:kern w:val="2"/>
          <w:sz w:val="24"/>
          <w:szCs w:val="24"/>
        </w:rPr>
        <w:t>乙方应制备一份硬景和软景的遗漏清单，此清单上的内容需在工程整体完工后和贵方最终验收前进行修正；乙方最后参加所有与园林</w:t>
      </w:r>
      <w:r>
        <w:rPr>
          <w:rFonts w:hint="eastAsia" w:ascii="宋体" w:hAnsi="宋体" w:cs="宋体"/>
          <w:b w:val="0"/>
          <w:bCs w:val="0"/>
          <w:kern w:val="2"/>
          <w:sz w:val="24"/>
          <w:szCs w:val="24"/>
          <w:highlight w:val="white"/>
        </w:rPr>
        <w:t>有关的工程验收，以签发竣工证明书；乙方负责解答施工过程出现的问题乙方履行以上义务的一切费用已经包含在本合同的设计费用中</w:t>
      </w:r>
      <w:r>
        <w:rPr>
          <w:rFonts w:hint="eastAsia" w:ascii="宋体" w:hAnsi="宋体" w:cs="宋体"/>
          <w:b w:val="0"/>
          <w:bCs w:val="0"/>
          <w:kern w:val="2"/>
          <w:sz w:val="24"/>
          <w:szCs w:val="24"/>
          <w:highlight w:val="white"/>
          <w:lang w:eastAsia="zh-CN"/>
        </w:rPr>
        <w:t>。</w:t>
      </w:r>
    </w:p>
    <w:p>
      <w:pPr>
        <w:pStyle w:val="4"/>
        <w:spacing w:before="0" w:after="0" w:line="360" w:lineRule="auto"/>
        <w:rPr>
          <w:rFonts w:hint="eastAsia" w:ascii="宋体" w:hAnsi="宋体" w:cs="宋体"/>
          <w:b w:val="0"/>
          <w:bCs w:val="0"/>
          <w:kern w:val="2"/>
          <w:sz w:val="24"/>
          <w:szCs w:val="24"/>
          <w:highlight w:val="white"/>
          <w:u w:val="single"/>
          <w:lang w:val="en-US" w:eastAsia="zh-CN"/>
        </w:rPr>
      </w:pPr>
      <w:r>
        <w:rPr>
          <w:rFonts w:hint="eastAsia" w:ascii="宋体" w:hAnsi="宋体" w:cs="宋体"/>
          <w:b w:val="0"/>
          <w:bCs w:val="0"/>
          <w:kern w:val="2"/>
          <w:sz w:val="24"/>
          <w:szCs w:val="24"/>
          <w:highlight w:val="white"/>
        </w:rPr>
        <w:t>乙方指定</w:t>
      </w:r>
      <w:r>
        <w:rPr>
          <w:rFonts w:hint="eastAsia" w:ascii="宋体" w:hAnsi="宋体" w:cs="宋体"/>
          <w:b w:val="0"/>
          <w:bCs w:val="0"/>
          <w:kern w:val="2"/>
          <w:sz w:val="24"/>
          <w:szCs w:val="24"/>
          <w:highlight w:val="white"/>
          <w:u w:val="single"/>
          <w:lang w:val="en-US" w:eastAsia="zh-CN"/>
        </w:rPr>
        <w:t xml:space="preserve">      </w:t>
      </w:r>
      <w:r>
        <w:rPr>
          <w:rFonts w:hint="eastAsia" w:ascii="宋体" w:hAnsi="宋体" w:cs="宋体"/>
          <w:b w:val="0"/>
          <w:bCs w:val="0"/>
          <w:kern w:val="2"/>
          <w:sz w:val="24"/>
          <w:szCs w:val="24"/>
          <w:highlight w:val="white"/>
        </w:rPr>
        <w:t>作为负责人，联系电话：</w:t>
      </w:r>
      <w:r>
        <w:rPr>
          <w:rFonts w:hint="eastAsia" w:ascii="宋体" w:hAnsi="宋体" w:cs="宋体"/>
          <w:b w:val="0"/>
          <w:bCs w:val="0"/>
          <w:kern w:val="2"/>
          <w:sz w:val="24"/>
          <w:szCs w:val="24"/>
          <w:highlight w:val="white"/>
          <w:u w:val="single"/>
          <w:lang w:val="en-US" w:eastAsia="zh-CN"/>
        </w:rPr>
        <w:t xml:space="preserve">      </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主要设计人员未经甲方同意不得随意变更；所有的设计工作均应由合格的设计人员承担。</w:t>
      </w:r>
    </w:p>
    <w:p>
      <w:pPr>
        <w:pStyle w:val="4"/>
        <w:spacing w:before="0" w:after="0" w:line="360" w:lineRule="auto"/>
        <w:rPr>
          <w:rFonts w:hint="eastAsia" w:ascii="宋体" w:hAnsi="宋体" w:cs="宋体"/>
          <w:b w:val="0"/>
          <w:bCs w:val="0"/>
          <w:kern w:val="2"/>
          <w:sz w:val="24"/>
          <w:szCs w:val="24"/>
          <w:highlight w:val="white"/>
        </w:rPr>
      </w:pPr>
      <w:r>
        <w:rPr>
          <w:rFonts w:hint="eastAsia" w:ascii="宋体" w:hAnsi="宋体" w:cs="宋体"/>
          <w:b w:val="0"/>
          <w:bCs w:val="0"/>
          <w:kern w:val="2"/>
          <w:sz w:val="24"/>
          <w:szCs w:val="24"/>
          <w:highlight w:val="white"/>
        </w:rPr>
        <w:t>七、违约责任:</w:t>
      </w:r>
    </w:p>
    <w:p>
      <w:pPr>
        <w:pStyle w:val="4"/>
        <w:spacing w:before="0" w:after="0" w:line="360" w:lineRule="auto"/>
        <w:rPr>
          <w:rFonts w:hint="eastAsia"/>
        </w:rPr>
      </w:pPr>
      <w:r>
        <w:rPr>
          <w:rFonts w:hint="eastAsia" w:ascii="宋体" w:hAnsi="宋体" w:cs="宋体"/>
          <w:b w:val="0"/>
          <w:bCs w:val="0"/>
          <w:kern w:val="2"/>
          <w:sz w:val="24"/>
          <w:szCs w:val="24"/>
          <w:highlight w:val="white"/>
        </w:rPr>
        <w:t>1、在合同履行期间，甲方要求终止或解除合同，乙方未开始设计工作的，不退还甲已付的定金；已开始设计工作的，不退还甲方已付的定金，甲方还应就乙方已进行的实际工作量支付。</w:t>
      </w:r>
    </w:p>
    <w:p>
      <w:pPr>
        <w:pStyle w:val="5"/>
        <w:spacing w:before="0" w:after="0" w:line="312" w:lineRule="auto"/>
        <w:ind w:firstLine="0"/>
        <w:jc w:val="both"/>
        <w:rPr>
          <w:rFonts w:hint="eastAsia" w:ascii="宋体" w:hAnsi="宋体" w:eastAsia="宋体" w:cs="宋体"/>
          <w:b w:val="0"/>
          <w:bCs w:val="0"/>
          <w:kern w:val="2"/>
          <w:sz w:val="24"/>
          <w:szCs w:val="24"/>
          <w:highlight w:val="white"/>
        </w:rPr>
      </w:pPr>
      <w:bookmarkStart w:id="117" w:name="_Toc480974789"/>
      <w:bookmarkStart w:id="118" w:name="_Toc351203493"/>
      <w:bookmarkStart w:id="119" w:name="_Toc488665469"/>
      <w:r>
        <w:rPr>
          <w:rFonts w:hint="eastAsia" w:ascii="宋体" w:hAnsi="宋体" w:eastAsia="宋体" w:cs="宋体"/>
          <w:b w:val="0"/>
          <w:bCs w:val="0"/>
          <w:kern w:val="2"/>
          <w:sz w:val="24"/>
          <w:szCs w:val="24"/>
          <w:highlight w:val="white"/>
        </w:rPr>
        <w:t>八、合同份数</w:t>
      </w:r>
      <w:bookmarkEnd w:id="117"/>
      <w:bookmarkEnd w:id="118"/>
      <w:bookmarkEnd w:id="119"/>
    </w:p>
    <w:p>
      <w:pPr>
        <w:pStyle w:val="5"/>
        <w:spacing w:before="0" w:after="0" w:line="312" w:lineRule="auto"/>
        <w:jc w:val="both"/>
        <w:rPr>
          <w:rFonts w:hint="eastAsia" w:ascii="宋体" w:hAnsi="宋体" w:eastAsia="宋体" w:cs="宋体"/>
          <w:b w:val="0"/>
          <w:bCs w:val="0"/>
          <w:kern w:val="2"/>
          <w:sz w:val="24"/>
          <w:szCs w:val="24"/>
          <w:highlight w:val="white"/>
        </w:rPr>
      </w:pPr>
      <w:bookmarkStart w:id="120" w:name="_Toc488665470"/>
      <w:r>
        <w:rPr>
          <w:rFonts w:hint="eastAsia" w:ascii="宋体" w:hAnsi="宋体" w:eastAsia="宋体" w:cs="宋体"/>
          <w:b w:val="0"/>
          <w:bCs w:val="0"/>
          <w:kern w:val="2"/>
          <w:sz w:val="24"/>
          <w:szCs w:val="24"/>
          <w:highlight w:val="white"/>
        </w:rPr>
        <w:t>本合同正本一式</w:t>
      </w:r>
      <w:r>
        <w:rPr>
          <w:rFonts w:hint="eastAsia" w:ascii="宋体" w:hAnsi="宋体" w:eastAsia="宋体" w:cs="宋体"/>
          <w:b w:val="0"/>
          <w:bCs w:val="0"/>
          <w:kern w:val="2"/>
          <w:sz w:val="24"/>
          <w:szCs w:val="24"/>
          <w:highlight w:val="white"/>
          <w:u w:val="single"/>
        </w:rPr>
        <w:t xml:space="preserve">    </w:t>
      </w:r>
      <w:r>
        <w:rPr>
          <w:rFonts w:hint="eastAsia" w:ascii="宋体" w:hAnsi="宋体" w:eastAsia="宋体" w:cs="宋体"/>
          <w:b w:val="0"/>
          <w:bCs w:val="0"/>
          <w:kern w:val="2"/>
          <w:sz w:val="24"/>
          <w:szCs w:val="24"/>
          <w:highlight w:val="white"/>
        </w:rPr>
        <w:t>份、副本一式</w:t>
      </w:r>
      <w:r>
        <w:rPr>
          <w:rFonts w:hint="eastAsia" w:ascii="宋体" w:hAnsi="宋体" w:eastAsia="宋体" w:cs="宋体"/>
          <w:b w:val="0"/>
          <w:bCs w:val="0"/>
          <w:kern w:val="2"/>
          <w:sz w:val="24"/>
          <w:szCs w:val="24"/>
          <w:highlight w:val="white"/>
          <w:u w:val="single"/>
        </w:rPr>
        <w:t xml:space="preserve">    </w:t>
      </w:r>
      <w:r>
        <w:rPr>
          <w:rFonts w:hint="eastAsia" w:ascii="宋体" w:hAnsi="宋体" w:eastAsia="宋体" w:cs="宋体"/>
          <w:b w:val="0"/>
          <w:bCs w:val="0"/>
          <w:kern w:val="2"/>
          <w:sz w:val="24"/>
          <w:szCs w:val="24"/>
          <w:highlight w:val="white"/>
        </w:rPr>
        <w:t>份，均具有同等法律效力，发包人执正本</w:t>
      </w:r>
      <w:r>
        <w:rPr>
          <w:rFonts w:hint="eastAsia" w:ascii="宋体" w:hAnsi="宋体" w:eastAsia="宋体" w:cs="宋体"/>
          <w:b w:val="0"/>
          <w:bCs w:val="0"/>
          <w:kern w:val="2"/>
          <w:sz w:val="24"/>
          <w:szCs w:val="24"/>
          <w:highlight w:val="white"/>
          <w:u w:val="single"/>
        </w:rPr>
        <w:t xml:space="preserve">    </w:t>
      </w:r>
      <w:r>
        <w:rPr>
          <w:rFonts w:hint="eastAsia" w:ascii="宋体" w:hAnsi="宋体" w:eastAsia="宋体" w:cs="宋体"/>
          <w:b w:val="0"/>
          <w:bCs w:val="0"/>
          <w:kern w:val="2"/>
          <w:sz w:val="24"/>
          <w:szCs w:val="24"/>
          <w:highlight w:val="white"/>
        </w:rPr>
        <w:t>份、副本</w:t>
      </w:r>
      <w:r>
        <w:rPr>
          <w:rFonts w:hint="eastAsia" w:ascii="宋体" w:hAnsi="宋体" w:eastAsia="宋体" w:cs="宋体"/>
          <w:b w:val="0"/>
          <w:bCs w:val="0"/>
          <w:kern w:val="2"/>
          <w:sz w:val="24"/>
          <w:szCs w:val="24"/>
          <w:highlight w:val="white"/>
          <w:u w:val="single"/>
        </w:rPr>
        <w:t xml:space="preserve">    </w:t>
      </w:r>
      <w:r>
        <w:rPr>
          <w:rFonts w:hint="eastAsia" w:ascii="宋体" w:hAnsi="宋体" w:eastAsia="宋体" w:cs="宋体"/>
          <w:b w:val="0"/>
          <w:bCs w:val="0"/>
          <w:kern w:val="2"/>
          <w:sz w:val="24"/>
          <w:szCs w:val="24"/>
          <w:highlight w:val="white"/>
        </w:rPr>
        <w:t>份，设计人执正本</w:t>
      </w:r>
      <w:r>
        <w:rPr>
          <w:rFonts w:hint="eastAsia" w:ascii="宋体" w:hAnsi="宋体" w:eastAsia="宋体" w:cs="宋体"/>
          <w:b w:val="0"/>
          <w:bCs w:val="0"/>
          <w:kern w:val="2"/>
          <w:sz w:val="24"/>
          <w:szCs w:val="24"/>
          <w:highlight w:val="white"/>
          <w:u w:val="single"/>
        </w:rPr>
        <w:t xml:space="preserve">    </w:t>
      </w:r>
      <w:r>
        <w:rPr>
          <w:rFonts w:hint="eastAsia" w:ascii="宋体" w:hAnsi="宋体" w:eastAsia="宋体" w:cs="宋体"/>
          <w:b w:val="0"/>
          <w:bCs w:val="0"/>
          <w:kern w:val="2"/>
          <w:sz w:val="24"/>
          <w:szCs w:val="24"/>
          <w:highlight w:val="white"/>
        </w:rPr>
        <w:t>份、副本</w:t>
      </w:r>
      <w:r>
        <w:rPr>
          <w:rFonts w:hint="eastAsia" w:ascii="宋体" w:hAnsi="宋体" w:eastAsia="宋体" w:cs="宋体"/>
          <w:b w:val="0"/>
          <w:bCs w:val="0"/>
          <w:kern w:val="2"/>
          <w:sz w:val="24"/>
          <w:szCs w:val="24"/>
          <w:highlight w:val="white"/>
          <w:u w:val="single"/>
        </w:rPr>
        <w:t xml:space="preserve">      </w:t>
      </w:r>
      <w:r>
        <w:rPr>
          <w:rFonts w:hint="eastAsia" w:ascii="宋体" w:hAnsi="宋体" w:eastAsia="宋体" w:cs="宋体"/>
          <w:b w:val="0"/>
          <w:bCs w:val="0"/>
          <w:kern w:val="2"/>
          <w:sz w:val="24"/>
          <w:szCs w:val="24"/>
          <w:highlight w:val="white"/>
        </w:rPr>
        <w:t>份。</w:t>
      </w:r>
      <w:bookmarkEnd w:id="120"/>
    </w:p>
    <w:p>
      <w:pPr>
        <w:pStyle w:val="5"/>
        <w:spacing w:before="0" w:after="0" w:line="312" w:lineRule="auto"/>
        <w:jc w:val="left"/>
        <w:rPr>
          <w:rFonts w:hint="eastAsia" w:ascii="宋体" w:hAnsi="宋体" w:eastAsia="宋体" w:cs="宋体"/>
          <w:b w:val="0"/>
          <w:bCs w:val="0"/>
          <w:kern w:val="2"/>
          <w:sz w:val="24"/>
          <w:szCs w:val="24"/>
          <w:highlight w:val="white"/>
        </w:rPr>
      </w:pPr>
      <w:bookmarkStart w:id="121" w:name="_Toc488665471"/>
    </w:p>
    <w:p>
      <w:pPr>
        <w:pStyle w:val="5"/>
        <w:spacing w:before="0" w:after="0" w:line="312" w:lineRule="auto"/>
        <w:jc w:val="left"/>
        <w:rPr>
          <w:rFonts w:hint="eastAsia" w:ascii="宋体" w:hAnsi="宋体" w:eastAsia="宋体" w:cs="宋体"/>
          <w:b w:val="0"/>
          <w:bCs w:val="0"/>
          <w:kern w:val="2"/>
          <w:sz w:val="24"/>
          <w:szCs w:val="24"/>
          <w:highlight w:val="white"/>
        </w:rPr>
      </w:pPr>
      <w:r>
        <w:rPr>
          <w:rFonts w:hint="eastAsia" w:ascii="宋体" w:hAnsi="宋体" w:eastAsia="宋体" w:cs="宋体"/>
          <w:b w:val="0"/>
          <w:bCs w:val="0"/>
          <w:kern w:val="2"/>
          <w:sz w:val="24"/>
          <w:szCs w:val="24"/>
          <w:highlight w:val="white"/>
        </w:rPr>
        <w:t>发包人：  （盖章）              设计人：  （盖章）</w:t>
      </w:r>
      <w:bookmarkEnd w:id="121"/>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22" w:name="_Toc488665472"/>
      <w:r>
        <w:rPr>
          <w:rFonts w:hint="eastAsia" w:ascii="宋体" w:hAnsi="宋体" w:eastAsia="宋体" w:cs="宋体"/>
          <w:b w:val="0"/>
          <w:bCs w:val="0"/>
          <w:kern w:val="2"/>
          <w:sz w:val="24"/>
          <w:szCs w:val="24"/>
          <w:highlight w:val="white"/>
        </w:rPr>
        <w:t>法定代表人或其委托代理人：      法定代表人或其委托代理人：</w:t>
      </w:r>
      <w:bookmarkEnd w:id="122"/>
    </w:p>
    <w:p>
      <w:pPr>
        <w:pStyle w:val="5"/>
        <w:spacing w:before="0" w:after="0" w:line="312" w:lineRule="auto"/>
        <w:jc w:val="left"/>
        <w:rPr>
          <w:rFonts w:hint="eastAsia" w:ascii="宋体" w:hAnsi="宋体" w:eastAsia="宋体" w:cs="宋体"/>
          <w:b w:val="0"/>
          <w:bCs w:val="0"/>
          <w:kern w:val="2"/>
          <w:sz w:val="24"/>
          <w:szCs w:val="24"/>
          <w:highlight w:val="white"/>
        </w:rPr>
      </w:pPr>
      <w:bookmarkStart w:id="123" w:name="_Toc488665473"/>
      <w:r>
        <w:rPr>
          <w:rFonts w:hint="eastAsia" w:ascii="宋体" w:hAnsi="宋体" w:eastAsia="宋体" w:cs="宋体"/>
          <w:b w:val="0"/>
          <w:bCs w:val="0"/>
          <w:kern w:val="2"/>
          <w:sz w:val="24"/>
          <w:szCs w:val="24"/>
          <w:highlight w:val="white"/>
        </w:rPr>
        <w:t>（签字）                      （签字）</w:t>
      </w:r>
      <w:bookmarkEnd w:id="123"/>
    </w:p>
    <w:p>
      <w:pPr>
        <w:pStyle w:val="5"/>
        <w:spacing w:before="0" w:after="0" w:line="312" w:lineRule="auto"/>
        <w:jc w:val="left"/>
        <w:rPr>
          <w:rFonts w:hint="eastAsia" w:ascii="宋体" w:hAnsi="宋体" w:eastAsia="宋体" w:cs="宋体"/>
          <w:b w:val="0"/>
          <w:bCs w:val="0"/>
          <w:kern w:val="2"/>
          <w:sz w:val="24"/>
          <w:szCs w:val="24"/>
          <w:highlight w:val="white"/>
        </w:rPr>
      </w:pPr>
      <w:bookmarkStart w:id="124" w:name="_Toc488665474"/>
      <w:r>
        <w:rPr>
          <w:rFonts w:hint="eastAsia" w:ascii="宋体" w:hAnsi="宋体" w:eastAsia="宋体" w:cs="宋体"/>
          <w:b w:val="0"/>
          <w:bCs w:val="0"/>
          <w:kern w:val="2"/>
          <w:sz w:val="24"/>
          <w:szCs w:val="24"/>
          <w:highlight w:val="white"/>
        </w:rPr>
        <w:t>组织机构代码：              组织机构代码：      </w:t>
      </w:r>
      <w:bookmarkEnd w:id="124"/>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25" w:name="_Toc488665475"/>
      <w:r>
        <w:rPr>
          <w:rFonts w:hint="eastAsia" w:ascii="宋体" w:hAnsi="宋体" w:eastAsia="宋体" w:cs="宋体"/>
          <w:b w:val="0"/>
          <w:bCs w:val="0"/>
          <w:kern w:val="2"/>
          <w:sz w:val="24"/>
          <w:szCs w:val="24"/>
          <w:highlight w:val="white"/>
        </w:rPr>
        <w:t>纳税人识别码：                  纳税人识别码：</w:t>
      </w:r>
      <w:bookmarkEnd w:id="125"/>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26" w:name="_Toc488665476"/>
      <w:r>
        <w:rPr>
          <w:rFonts w:hint="eastAsia" w:ascii="宋体" w:hAnsi="宋体" w:eastAsia="宋体" w:cs="宋体"/>
          <w:b w:val="0"/>
          <w:bCs w:val="0"/>
          <w:kern w:val="2"/>
          <w:sz w:val="24"/>
          <w:szCs w:val="24"/>
          <w:highlight w:val="white"/>
        </w:rPr>
        <w:t>地  址：                      地  址：              </w:t>
      </w:r>
      <w:bookmarkEnd w:id="126"/>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27" w:name="_Toc488665477"/>
      <w:r>
        <w:rPr>
          <w:rFonts w:hint="eastAsia" w:ascii="宋体" w:hAnsi="宋体" w:eastAsia="宋体" w:cs="宋体"/>
          <w:b w:val="0"/>
          <w:bCs w:val="0"/>
          <w:kern w:val="2"/>
          <w:sz w:val="24"/>
          <w:szCs w:val="24"/>
          <w:highlight w:val="white"/>
        </w:rPr>
        <w:t>邮政编码：                    邮政编码：            </w:t>
      </w:r>
      <w:bookmarkEnd w:id="127"/>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28" w:name="_Toc488665478"/>
      <w:r>
        <w:rPr>
          <w:rFonts w:hint="eastAsia" w:ascii="宋体" w:hAnsi="宋体" w:eastAsia="宋体" w:cs="宋体"/>
          <w:b w:val="0"/>
          <w:bCs w:val="0"/>
          <w:kern w:val="2"/>
          <w:sz w:val="24"/>
          <w:szCs w:val="24"/>
          <w:highlight w:val="white"/>
        </w:rPr>
        <w:t>法定代表人：                法定代表人：        </w:t>
      </w:r>
      <w:bookmarkEnd w:id="128"/>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29" w:name="_Toc488665479"/>
      <w:r>
        <w:rPr>
          <w:rFonts w:hint="eastAsia" w:ascii="宋体" w:hAnsi="宋体" w:eastAsia="宋体" w:cs="宋体"/>
          <w:b w:val="0"/>
          <w:bCs w:val="0"/>
          <w:kern w:val="2"/>
          <w:sz w:val="24"/>
          <w:szCs w:val="24"/>
          <w:highlight w:val="white"/>
        </w:rPr>
        <w:t>委托代理人：                  委托代理人：           </w:t>
      </w:r>
      <w:bookmarkEnd w:id="129"/>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30" w:name="_Toc488665480"/>
      <w:r>
        <w:rPr>
          <w:rFonts w:hint="eastAsia" w:ascii="宋体" w:hAnsi="宋体" w:eastAsia="宋体" w:cs="宋体"/>
          <w:b w:val="0"/>
          <w:bCs w:val="0"/>
          <w:kern w:val="2"/>
          <w:sz w:val="24"/>
          <w:szCs w:val="24"/>
          <w:highlight w:val="white"/>
        </w:rPr>
        <w:t>电  话：                      电  话：               </w:t>
      </w:r>
      <w:bookmarkEnd w:id="130"/>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31" w:name="_Toc488665481"/>
      <w:r>
        <w:rPr>
          <w:rFonts w:hint="eastAsia" w:ascii="宋体" w:hAnsi="宋体" w:eastAsia="宋体" w:cs="宋体"/>
          <w:b w:val="0"/>
          <w:bCs w:val="0"/>
          <w:kern w:val="2"/>
          <w:sz w:val="24"/>
          <w:szCs w:val="24"/>
          <w:highlight w:val="white"/>
        </w:rPr>
        <w:t>传  真：                      传  真：             </w:t>
      </w:r>
      <w:bookmarkEnd w:id="131"/>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32" w:name="_Toc488665482"/>
      <w:r>
        <w:rPr>
          <w:rFonts w:hint="eastAsia" w:ascii="宋体" w:hAnsi="宋体" w:eastAsia="宋体" w:cs="宋体"/>
          <w:b w:val="0"/>
          <w:bCs w:val="0"/>
          <w:kern w:val="2"/>
          <w:sz w:val="24"/>
          <w:szCs w:val="24"/>
          <w:highlight w:val="white"/>
        </w:rPr>
        <w:t>电子信箱：                      电子信箱：             </w:t>
      </w:r>
      <w:bookmarkEnd w:id="132"/>
      <w:r>
        <w:rPr>
          <w:rFonts w:hint="eastAsia" w:ascii="宋体" w:hAnsi="宋体" w:eastAsia="宋体" w:cs="宋体"/>
          <w:b w:val="0"/>
          <w:bCs w:val="0"/>
          <w:kern w:val="2"/>
          <w:sz w:val="24"/>
          <w:szCs w:val="24"/>
          <w:highlight w:val="white"/>
        </w:rPr>
        <w:t xml:space="preserve">    </w:t>
      </w:r>
    </w:p>
    <w:p>
      <w:pPr>
        <w:pStyle w:val="5"/>
        <w:spacing w:before="0" w:after="0" w:line="312" w:lineRule="auto"/>
        <w:jc w:val="left"/>
        <w:rPr>
          <w:rFonts w:hint="eastAsia" w:ascii="宋体" w:hAnsi="宋体" w:eastAsia="宋体" w:cs="宋体"/>
          <w:b w:val="0"/>
          <w:bCs w:val="0"/>
          <w:kern w:val="2"/>
          <w:sz w:val="24"/>
          <w:szCs w:val="24"/>
          <w:highlight w:val="white"/>
        </w:rPr>
      </w:pPr>
      <w:bookmarkStart w:id="133" w:name="_Toc488665483"/>
      <w:r>
        <w:rPr>
          <w:rFonts w:hint="eastAsia" w:ascii="宋体" w:hAnsi="宋体" w:eastAsia="宋体" w:cs="宋体"/>
          <w:b w:val="0"/>
          <w:bCs w:val="0"/>
          <w:kern w:val="2"/>
          <w:sz w:val="24"/>
          <w:szCs w:val="24"/>
          <w:highlight w:val="white"/>
        </w:rPr>
        <w:t>开户银行：                    开户银行：             </w:t>
      </w:r>
      <w:bookmarkEnd w:id="133"/>
      <w:r>
        <w:rPr>
          <w:rFonts w:hint="eastAsia" w:ascii="宋体" w:hAnsi="宋体" w:eastAsia="宋体" w:cs="宋体"/>
          <w:b w:val="0"/>
          <w:bCs w:val="0"/>
          <w:kern w:val="2"/>
          <w:sz w:val="24"/>
          <w:szCs w:val="24"/>
          <w:highlight w:val="white"/>
        </w:rPr>
        <w:t xml:space="preserve">   </w:t>
      </w:r>
    </w:p>
    <w:p>
      <w:pPr>
        <w:pStyle w:val="4"/>
        <w:spacing w:before="0" w:after="0" w:line="360" w:lineRule="auto"/>
        <w:jc w:val="left"/>
        <w:rPr>
          <w:rFonts w:hint="eastAsia" w:ascii="宋体" w:hAnsi="宋体" w:cs="宋体"/>
          <w:b w:val="0"/>
          <w:bCs w:val="0"/>
          <w:kern w:val="2"/>
          <w:sz w:val="24"/>
          <w:szCs w:val="24"/>
          <w:highlight w:val="white"/>
        </w:rPr>
      </w:pPr>
    </w:p>
    <w:p>
      <w:pPr>
        <w:pStyle w:val="4"/>
        <w:spacing w:before="0" w:after="0" w:line="360" w:lineRule="auto"/>
        <w:rPr>
          <w:rFonts w:hint="eastAsia" w:ascii="宋体" w:hAnsi="宋体"/>
          <w:b w:val="0"/>
          <w:bCs w:val="0"/>
          <w:sz w:val="32"/>
          <w:szCs w:val="32"/>
        </w:rPr>
      </w:pPr>
    </w:p>
    <w:p>
      <w:pPr>
        <w:pStyle w:val="4"/>
        <w:spacing w:before="0" w:after="0" w:line="360" w:lineRule="auto"/>
        <w:jc w:val="center"/>
        <w:rPr>
          <w:rFonts w:hint="eastAsia" w:ascii="宋体" w:hAnsi="宋体"/>
          <w:b w:val="0"/>
          <w:bCs w:val="0"/>
          <w:sz w:val="32"/>
          <w:szCs w:val="32"/>
        </w:rPr>
      </w:pPr>
    </w:p>
    <w:p>
      <w:pPr>
        <w:rPr>
          <w:rFonts w:hint="eastAsia" w:ascii="宋体" w:hAnsi="宋体"/>
          <w:b/>
          <w:bCs/>
          <w:sz w:val="32"/>
          <w:szCs w:val="32"/>
        </w:rPr>
      </w:pPr>
    </w:p>
    <w:p>
      <w:pPr>
        <w:pStyle w:val="2"/>
        <w:rPr>
          <w:rFonts w:hint="eastAsia" w:hAnsi="宋体"/>
          <w:b/>
          <w:bCs/>
          <w:sz w:val="32"/>
          <w:szCs w:val="32"/>
        </w:rPr>
      </w:pPr>
    </w:p>
    <w:p>
      <w:pPr>
        <w:pStyle w:val="3"/>
        <w:rPr>
          <w:rFonts w:hint="eastAsia" w:ascii="宋体" w:hAnsi="宋体"/>
          <w:b/>
          <w:bCs/>
          <w:sz w:val="32"/>
          <w:szCs w:val="32"/>
        </w:rPr>
      </w:pPr>
    </w:p>
    <w:p>
      <w:pPr>
        <w:rPr>
          <w:rFonts w:hint="eastAsia" w:ascii="宋体" w:hAnsi="宋体" w:cs="Times New Roman"/>
        </w:rPr>
      </w:pPr>
    </w:p>
    <w:p>
      <w:pPr>
        <w:pStyle w:val="4"/>
        <w:spacing w:before="0" w:after="0" w:line="360" w:lineRule="auto"/>
        <w:jc w:val="center"/>
        <w:rPr>
          <w:rFonts w:hint="eastAsia" w:ascii="宋体" w:hAnsi="宋体"/>
          <w:b w:val="0"/>
          <w:bCs w:val="0"/>
          <w:sz w:val="32"/>
          <w:szCs w:val="32"/>
        </w:rPr>
      </w:pPr>
      <w:r>
        <w:rPr>
          <w:rFonts w:hint="eastAsia" w:ascii="宋体" w:hAnsi="宋体"/>
          <w:b w:val="0"/>
          <w:bCs w:val="0"/>
          <w:sz w:val="32"/>
          <w:szCs w:val="32"/>
        </w:rPr>
        <w:t>第七章 竞争性磋商响应文件格式</w:t>
      </w:r>
      <w:bookmarkEnd w:id="115"/>
    </w:p>
    <w:p>
      <w:pPr>
        <w:pStyle w:val="2"/>
        <w:adjustRightInd w:val="0"/>
        <w:snapToGrid w:val="0"/>
        <w:spacing w:before="62" w:beforeLines="20" w:after="62" w:afterLines="20" w:line="360" w:lineRule="auto"/>
        <w:ind w:right="-4" w:rightChars="-2"/>
        <w:jc w:val="center"/>
        <w:rPr>
          <w:rFonts w:hint="eastAsia" w:hAnsi="宋体"/>
          <w:b/>
          <w:bCs/>
          <w:sz w:val="48"/>
          <w:szCs w:val="48"/>
        </w:rPr>
      </w:pPr>
    </w:p>
    <w:p>
      <w:pPr>
        <w:pStyle w:val="2"/>
        <w:adjustRightInd w:val="0"/>
        <w:snapToGrid w:val="0"/>
        <w:spacing w:before="62" w:beforeLines="20" w:after="62" w:afterLines="20" w:line="360" w:lineRule="auto"/>
        <w:ind w:right="-4" w:rightChars="-2"/>
        <w:jc w:val="center"/>
        <w:rPr>
          <w:rFonts w:hint="eastAsia" w:hAnsi="宋体"/>
          <w:b/>
          <w:bCs/>
          <w:sz w:val="48"/>
          <w:szCs w:val="48"/>
        </w:rPr>
      </w:pPr>
    </w:p>
    <w:p>
      <w:pPr>
        <w:pStyle w:val="2"/>
        <w:adjustRightInd w:val="0"/>
        <w:snapToGrid w:val="0"/>
        <w:spacing w:before="62" w:beforeLines="20" w:after="62" w:afterLines="20" w:line="360" w:lineRule="auto"/>
        <w:ind w:right="-4" w:rightChars="-2"/>
        <w:jc w:val="center"/>
        <w:rPr>
          <w:rFonts w:hAnsi="宋体"/>
          <w:b/>
          <w:bCs/>
          <w:sz w:val="48"/>
          <w:szCs w:val="48"/>
        </w:rPr>
      </w:pPr>
      <w:r>
        <w:rPr>
          <w:rFonts w:hint="eastAsia" w:hAnsi="宋体"/>
          <w:b/>
          <w:bCs/>
          <w:sz w:val="48"/>
          <w:szCs w:val="48"/>
        </w:rPr>
        <w:t>竞争性磋商响应文件</w:t>
      </w:r>
    </w:p>
    <w:p>
      <w:pPr>
        <w:pStyle w:val="2"/>
        <w:adjustRightInd w:val="0"/>
        <w:snapToGrid w:val="0"/>
        <w:spacing w:before="62" w:beforeLines="20" w:after="62" w:afterLines="20"/>
        <w:ind w:right="-4" w:rightChars="-2"/>
        <w:jc w:val="center"/>
        <w:rPr>
          <w:rFonts w:hint="eastAsia" w:hAnsi="宋体" w:cs="宋体"/>
        </w:rPr>
      </w:pPr>
    </w:p>
    <w:p>
      <w:pPr>
        <w:pStyle w:val="2"/>
        <w:adjustRightInd w:val="0"/>
        <w:snapToGrid w:val="0"/>
        <w:spacing w:before="62" w:beforeLines="20" w:after="62" w:afterLines="20"/>
        <w:ind w:right="-4" w:rightChars="-2"/>
        <w:jc w:val="center"/>
        <w:rPr>
          <w:rFonts w:hint="eastAsia" w:hAnsi="宋体" w:cs="宋体"/>
        </w:rPr>
      </w:pPr>
      <w:r>
        <w:rPr>
          <w:rFonts w:hint="eastAsia" w:hAnsi="宋体" w:cs="宋体"/>
        </w:rPr>
        <w:t>项目编号：</w:t>
      </w:r>
    </w:p>
    <w:p>
      <w:pPr>
        <w:pStyle w:val="2"/>
        <w:adjustRightInd w:val="0"/>
        <w:snapToGrid w:val="0"/>
        <w:spacing w:before="62" w:beforeLines="20" w:after="62" w:afterLines="20"/>
        <w:ind w:right="-4" w:rightChars="-2"/>
        <w:jc w:val="center"/>
        <w:rPr>
          <w:rFonts w:hint="eastAsia" w:hAnsi="宋体" w:cs="宋体"/>
        </w:rPr>
      </w:pPr>
    </w:p>
    <w:p>
      <w:pPr>
        <w:pStyle w:val="2"/>
        <w:adjustRightInd w:val="0"/>
        <w:snapToGrid w:val="0"/>
        <w:spacing w:before="62" w:beforeLines="20" w:after="62" w:afterLines="20"/>
        <w:ind w:right="-4" w:rightChars="-2"/>
        <w:jc w:val="center"/>
        <w:rPr>
          <w:rFonts w:hint="eastAsia" w:hAnsi="宋体" w:cs="宋体"/>
        </w:rPr>
      </w:pPr>
    </w:p>
    <w:p>
      <w:pPr>
        <w:pStyle w:val="12"/>
        <w:rPr>
          <w:rFonts w:hint="eastAsia" w:ascii="宋体" w:hAnsi="宋体"/>
        </w:rPr>
      </w:pPr>
    </w:p>
    <w:p>
      <w:pPr>
        <w:rPr>
          <w:rFonts w:hint="eastAsia" w:ascii="宋体" w:hAnsi="宋体" w:cs="Times New Roman"/>
        </w:rPr>
      </w:pPr>
    </w:p>
    <w:p>
      <w:pPr>
        <w:pStyle w:val="2"/>
        <w:adjustRightInd w:val="0"/>
        <w:snapToGrid w:val="0"/>
        <w:spacing w:before="62" w:beforeLines="20" w:after="62" w:afterLines="20"/>
        <w:ind w:right="-4" w:rightChars="-2"/>
        <w:jc w:val="center"/>
        <w:rPr>
          <w:rFonts w:hint="eastAsia" w:hAnsi="宋体" w:cs="宋体"/>
        </w:rPr>
      </w:pPr>
    </w:p>
    <w:p>
      <w:pPr>
        <w:pStyle w:val="10"/>
        <w:adjustRightInd w:val="0"/>
        <w:snapToGrid w:val="0"/>
        <w:spacing w:before="62" w:beforeLines="20" w:after="62" w:afterLines="20" w:line="360" w:lineRule="auto"/>
        <w:ind w:left="143" w:leftChars="68" w:right="-4" w:rightChars="-2" w:firstLine="828" w:firstLineChars="345"/>
        <w:rPr>
          <w:rFonts w:hint="eastAsia" w:ascii="宋体" w:hAnsi="宋体" w:cs="宋体"/>
          <w:bCs/>
          <w:sz w:val="24"/>
          <w:szCs w:val="24"/>
        </w:rPr>
      </w:pPr>
      <w:r>
        <w:rPr>
          <w:rFonts w:hint="eastAsia" w:ascii="宋体" w:hAnsi="宋体" w:cs="宋体"/>
          <w:bCs/>
          <w:sz w:val="24"/>
          <w:szCs w:val="24"/>
        </w:rPr>
        <w:t>项目名称：</w:t>
      </w:r>
      <w:r>
        <w:rPr>
          <w:rFonts w:hint="eastAsia" w:ascii="宋体" w:hAnsi="宋体" w:cs="宋体"/>
          <w:bCs/>
          <w:sz w:val="24"/>
          <w:szCs w:val="24"/>
          <w:u w:val="single"/>
        </w:rPr>
        <w:t xml:space="preserve">  </w:t>
      </w:r>
      <w:r>
        <w:rPr>
          <w:rFonts w:hint="eastAsia" w:ascii="宋体" w:hAnsi="宋体" w:cs="宋体"/>
          <w:bCs/>
          <w:sz w:val="24"/>
          <w:szCs w:val="24"/>
        </w:rPr>
        <w:t xml:space="preserve">                          </w:t>
      </w:r>
    </w:p>
    <w:p>
      <w:pPr>
        <w:pStyle w:val="10"/>
        <w:adjustRightInd w:val="0"/>
        <w:snapToGrid w:val="0"/>
        <w:spacing w:before="62" w:beforeLines="20" w:after="62" w:afterLines="20" w:line="360" w:lineRule="auto"/>
        <w:ind w:left="143" w:leftChars="68" w:right="-4" w:rightChars="-2" w:firstLine="828" w:firstLineChars="345"/>
        <w:rPr>
          <w:rFonts w:hint="eastAsia" w:ascii="宋体" w:hAnsi="宋体" w:cs="宋体"/>
          <w:bCs/>
          <w:sz w:val="24"/>
          <w:szCs w:val="24"/>
        </w:rPr>
      </w:pPr>
      <w:r>
        <w:rPr>
          <w:rFonts w:hint="eastAsia" w:ascii="宋体" w:hAnsi="宋体" w:cs="宋体"/>
          <w:bCs/>
          <w:sz w:val="24"/>
          <w:szCs w:val="24"/>
        </w:rPr>
        <w:t>投标响应文件内容：</w:t>
      </w:r>
      <w:r>
        <w:rPr>
          <w:rFonts w:hint="eastAsia" w:ascii="宋体" w:hAnsi="宋体" w:cs="宋体"/>
          <w:bCs/>
          <w:sz w:val="24"/>
          <w:szCs w:val="24"/>
          <w:u w:val="single"/>
        </w:rPr>
        <w:t xml:space="preserve">    </w:t>
      </w:r>
      <w:r>
        <w:rPr>
          <w:rFonts w:hint="eastAsia" w:ascii="宋体" w:hAnsi="宋体" w:cs="宋体"/>
          <w:bCs/>
          <w:sz w:val="24"/>
          <w:szCs w:val="24"/>
          <w:u w:val="single"/>
        </w:rPr>
        <w:tab/>
      </w:r>
      <w:r>
        <w:rPr>
          <w:rFonts w:hint="eastAsia" w:ascii="宋体" w:hAnsi="宋体" w:cs="宋体"/>
          <w:bCs/>
          <w:sz w:val="24"/>
          <w:szCs w:val="24"/>
          <w:u w:val="single"/>
        </w:rPr>
        <w:t>商务标/技术标</w:t>
      </w:r>
      <w:r>
        <w:rPr>
          <w:rFonts w:hint="eastAsia" w:ascii="宋体" w:hAnsi="宋体" w:cs="宋体"/>
          <w:bCs/>
          <w:sz w:val="24"/>
          <w:szCs w:val="24"/>
          <w:u w:val="single"/>
        </w:rPr>
        <w:tab/>
      </w:r>
      <w:r>
        <w:rPr>
          <w:rFonts w:hint="eastAsia" w:ascii="宋体" w:hAnsi="宋体" w:cs="宋体"/>
          <w:bCs/>
          <w:sz w:val="24"/>
          <w:szCs w:val="24"/>
          <w:u w:val="single"/>
        </w:rPr>
        <w:tab/>
      </w:r>
      <w:r>
        <w:rPr>
          <w:rFonts w:hint="eastAsia" w:ascii="宋体" w:hAnsi="宋体" w:cs="宋体"/>
          <w:bCs/>
          <w:sz w:val="24"/>
          <w:szCs w:val="24"/>
          <w:u w:val="single"/>
        </w:rPr>
        <w:t xml:space="preserve">   </w:t>
      </w:r>
    </w:p>
    <w:p>
      <w:pPr>
        <w:pStyle w:val="10"/>
        <w:adjustRightInd w:val="0"/>
        <w:snapToGrid w:val="0"/>
        <w:spacing w:before="62" w:beforeLines="20" w:after="62" w:afterLines="20" w:line="360" w:lineRule="auto"/>
        <w:ind w:left="143" w:leftChars="68" w:right="-4" w:rightChars="-2" w:firstLine="828" w:firstLineChars="345"/>
        <w:rPr>
          <w:rFonts w:hint="eastAsia" w:ascii="宋体" w:hAnsi="宋体" w:cs="宋体"/>
          <w:bCs/>
          <w:sz w:val="24"/>
          <w:szCs w:val="24"/>
          <w:u w:val="single"/>
        </w:rPr>
      </w:pPr>
      <w:r>
        <w:rPr>
          <w:rFonts w:hint="eastAsia" w:ascii="宋体" w:hAnsi="宋体" w:cs="宋体"/>
          <w:bCs/>
          <w:sz w:val="24"/>
          <w:szCs w:val="24"/>
        </w:rPr>
        <w:t>投 标 供 应 商：</w:t>
      </w:r>
      <w:r>
        <w:rPr>
          <w:rFonts w:hint="eastAsia" w:ascii="宋体" w:hAnsi="宋体" w:cs="宋体"/>
          <w:bCs/>
          <w:sz w:val="24"/>
          <w:szCs w:val="24"/>
          <w:u w:val="single"/>
        </w:rPr>
        <w:t xml:space="preserve">            （盖章）              </w:t>
      </w:r>
    </w:p>
    <w:p>
      <w:pPr>
        <w:pStyle w:val="10"/>
        <w:adjustRightInd w:val="0"/>
        <w:snapToGrid w:val="0"/>
        <w:spacing w:before="62" w:beforeLines="20" w:after="62" w:afterLines="20" w:line="360" w:lineRule="auto"/>
        <w:ind w:left="143" w:leftChars="68" w:right="-4" w:rightChars="-2" w:firstLine="828" w:firstLineChars="345"/>
        <w:rPr>
          <w:rFonts w:hint="eastAsia" w:ascii="宋体" w:hAnsi="宋体" w:cs="宋体"/>
          <w:bCs/>
          <w:sz w:val="24"/>
          <w:szCs w:val="24"/>
          <w:u w:val="single"/>
        </w:rPr>
      </w:pPr>
      <w:r>
        <w:rPr>
          <w:rFonts w:hint="eastAsia" w:ascii="宋体" w:hAnsi="宋体" w:cs="宋体"/>
          <w:bCs/>
          <w:sz w:val="24"/>
          <w:szCs w:val="24"/>
        </w:rPr>
        <w:t>法定代表人或其委托代理人：</w:t>
      </w:r>
      <w:r>
        <w:rPr>
          <w:rFonts w:hint="eastAsia" w:ascii="宋体" w:hAnsi="宋体" w:cs="宋体"/>
          <w:bCs/>
          <w:sz w:val="24"/>
          <w:szCs w:val="24"/>
          <w:u w:val="single"/>
        </w:rPr>
        <w:t xml:space="preserve">   （签字或盖章） </w:t>
      </w:r>
    </w:p>
    <w:p>
      <w:pPr>
        <w:adjustRightInd w:val="0"/>
        <w:snapToGrid w:val="0"/>
        <w:spacing w:before="62" w:beforeLines="20" w:after="62" w:afterLines="20" w:line="360" w:lineRule="auto"/>
        <w:ind w:right="-4" w:rightChars="-2"/>
        <w:rPr>
          <w:rFonts w:hint="eastAsia" w:ascii="宋体" w:hAnsi="宋体"/>
          <w:sz w:val="24"/>
          <w:szCs w:val="24"/>
        </w:rPr>
      </w:pPr>
    </w:p>
    <w:p>
      <w:pPr>
        <w:adjustRightInd w:val="0"/>
        <w:snapToGrid w:val="0"/>
        <w:spacing w:before="62" w:beforeLines="20" w:after="62" w:afterLines="20" w:line="360" w:lineRule="auto"/>
        <w:ind w:right="-4" w:rightChars="-2" w:firstLine="1528" w:firstLineChars="637"/>
        <w:rPr>
          <w:rFonts w:hint="eastAsia"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rPr>
        <w:t xml:space="preserve"> 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日</w:t>
      </w:r>
    </w:p>
    <w:p>
      <w:pPr>
        <w:pStyle w:val="5"/>
        <w:jc w:val="left"/>
        <w:rPr>
          <w:rFonts w:ascii="宋体" w:hAnsi="宋体" w:eastAsia="宋体"/>
          <w:sz w:val="28"/>
          <w:szCs w:val="28"/>
          <w:highlight w:val="white"/>
        </w:rPr>
      </w:pPr>
    </w:p>
    <w:p>
      <w:pPr>
        <w:pStyle w:val="2"/>
        <w:adjustRightInd w:val="0"/>
        <w:snapToGrid w:val="0"/>
        <w:spacing w:before="62" w:beforeLines="20" w:after="62" w:afterLines="20" w:line="360" w:lineRule="auto"/>
        <w:ind w:right="-4" w:rightChars="-2"/>
        <w:jc w:val="center"/>
        <w:rPr>
          <w:rFonts w:hAnsi="宋体"/>
        </w:rPr>
      </w:pPr>
      <w:bookmarkStart w:id="134" w:name="_Toc382495054"/>
      <w:bookmarkEnd w:id="134"/>
    </w:p>
    <w:p>
      <w:pPr>
        <w:pStyle w:val="2"/>
        <w:adjustRightInd w:val="0"/>
        <w:snapToGrid w:val="0"/>
        <w:spacing w:before="62" w:beforeLines="20" w:after="62" w:afterLines="20" w:line="360" w:lineRule="auto"/>
        <w:ind w:right="-4" w:rightChars="-2"/>
        <w:jc w:val="center"/>
        <w:rPr>
          <w:rFonts w:hAnsi="宋体"/>
        </w:rPr>
      </w:pPr>
    </w:p>
    <w:p>
      <w:pPr>
        <w:pStyle w:val="2"/>
        <w:adjustRightInd w:val="0"/>
        <w:snapToGrid w:val="0"/>
        <w:spacing w:before="62" w:beforeLines="20" w:after="62" w:afterLines="20" w:line="360" w:lineRule="auto"/>
        <w:ind w:right="-4" w:rightChars="-2"/>
        <w:jc w:val="center"/>
        <w:rPr>
          <w:rFonts w:hAnsi="宋体"/>
        </w:rPr>
      </w:pPr>
    </w:p>
    <w:p>
      <w:pPr>
        <w:spacing w:line="360" w:lineRule="auto"/>
        <w:ind w:firstLine="549"/>
        <w:jc w:val="center"/>
        <w:rPr>
          <w:rFonts w:hint="eastAsia" w:ascii="宋体" w:hAnsi="宋体"/>
          <w:sz w:val="24"/>
          <w:szCs w:val="24"/>
          <w:highlight w:val="white"/>
        </w:rPr>
      </w:pPr>
      <w:r>
        <w:rPr>
          <w:rFonts w:hint="eastAsia" w:ascii="宋体" w:hAnsi="宋体"/>
          <w:sz w:val="24"/>
          <w:szCs w:val="24"/>
        </w:rPr>
        <w:br w:type="page"/>
      </w:r>
      <w:bookmarkStart w:id="135" w:name="_Toc382508391"/>
      <w:bookmarkEnd w:id="135"/>
      <w:r>
        <w:rPr>
          <w:rFonts w:hint="eastAsia" w:ascii="宋体" w:hAnsi="宋体"/>
          <w:b/>
          <w:bCs/>
          <w:sz w:val="24"/>
          <w:szCs w:val="24"/>
          <w:highlight w:val="white"/>
        </w:rPr>
        <w:t xml:space="preserve"> </w:t>
      </w:r>
      <w:r>
        <w:rPr>
          <w:rFonts w:hint="eastAsia" w:ascii="宋体" w:hAnsi="宋体" w:cs="Times New Roman"/>
          <w:b/>
          <w:bCs/>
          <w:sz w:val="28"/>
          <w:szCs w:val="28"/>
          <w:highlight w:val="white"/>
        </w:rPr>
        <w:t xml:space="preserve"> </w:t>
      </w:r>
      <w:r>
        <w:rPr>
          <w:rFonts w:hint="eastAsia" w:ascii="宋体" w:hAnsi="宋体" w:cs="Times New Roman"/>
          <w:b/>
          <w:bCs/>
          <w:sz w:val="24"/>
          <w:szCs w:val="24"/>
          <w:highlight w:val="white"/>
        </w:rPr>
        <w:t>格式1</w:t>
      </w:r>
      <w:r>
        <w:rPr>
          <w:rFonts w:hint="eastAsia" w:ascii="宋体" w:hAnsi="宋体" w:cs="Times New Roman"/>
          <w:b/>
          <w:bCs/>
          <w:sz w:val="24"/>
          <w:szCs w:val="24"/>
          <w:highlight w:val="white"/>
          <w:lang w:val="zh-CN"/>
        </w:rPr>
        <w:t>、投标函</w:t>
      </w:r>
    </w:p>
    <w:p>
      <w:pPr>
        <w:spacing w:line="360" w:lineRule="auto"/>
        <w:ind w:firstLine="549"/>
        <w:rPr>
          <w:rFonts w:hint="eastAsia" w:ascii="宋体" w:hAnsi="宋体"/>
          <w:b/>
          <w:bCs/>
          <w:sz w:val="24"/>
          <w:szCs w:val="24"/>
          <w:highlight w:val="white"/>
        </w:rPr>
      </w:pPr>
      <w:r>
        <w:rPr>
          <w:rFonts w:hint="eastAsia" w:ascii="宋体" w:hAnsi="宋体"/>
          <w:b/>
          <w:bCs/>
          <w:sz w:val="24"/>
          <w:szCs w:val="24"/>
          <w:highlight w:val="white"/>
        </w:rPr>
        <w:t xml:space="preserve">致：（采购人） </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1、根据贵单位发布招标编号为</w:t>
      </w:r>
      <w:r>
        <w:rPr>
          <w:rFonts w:hint="eastAsia" w:ascii="宋体" w:hAnsi="宋体"/>
          <w:sz w:val="24"/>
          <w:szCs w:val="24"/>
          <w:highlight w:val="white"/>
          <w:u w:val="single"/>
        </w:rPr>
        <w:t xml:space="preserve">       （项目编号）</w:t>
      </w:r>
      <w:r>
        <w:rPr>
          <w:rFonts w:hint="eastAsia" w:ascii="宋体" w:hAnsi="宋体"/>
          <w:sz w:val="24"/>
          <w:szCs w:val="24"/>
          <w:highlight w:val="white"/>
        </w:rPr>
        <w:t>的磋商文件，我们决定参加你们组织的“</w:t>
      </w:r>
      <w:r>
        <w:rPr>
          <w:rFonts w:hint="eastAsia" w:ascii="宋体" w:hAnsi="宋体"/>
          <w:sz w:val="24"/>
          <w:szCs w:val="24"/>
          <w:highlight w:val="white"/>
          <w:u w:val="single"/>
        </w:rPr>
        <w:t xml:space="preserve">                 （项目名称）</w:t>
      </w:r>
      <w:r>
        <w:rPr>
          <w:rFonts w:hint="eastAsia" w:ascii="宋体" w:hAnsi="宋体"/>
          <w:sz w:val="24"/>
          <w:szCs w:val="24"/>
          <w:highlight w:val="white"/>
        </w:rPr>
        <w:t>”项目的招标活动。</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2、我方愿意按照磋商文件规定的各项要求，向采购人提供所需的货物与服务，投标总报价为人民币（大写）</w:t>
      </w:r>
      <w:r>
        <w:rPr>
          <w:rFonts w:hint="eastAsia" w:ascii="宋体" w:hAnsi="宋体"/>
          <w:sz w:val="24"/>
          <w:szCs w:val="24"/>
          <w:highlight w:val="white"/>
          <w:u w:val="single"/>
        </w:rPr>
        <w:t xml:space="preserve">         </w:t>
      </w:r>
      <w:r>
        <w:rPr>
          <w:rFonts w:hint="eastAsia" w:ascii="宋体" w:hAnsi="宋体"/>
          <w:sz w:val="24"/>
          <w:szCs w:val="24"/>
          <w:highlight w:val="white"/>
        </w:rPr>
        <w:t>元（小写</w:t>
      </w:r>
      <w:r>
        <w:rPr>
          <w:rFonts w:hint="eastAsia" w:ascii="宋体" w:hAnsi="宋体"/>
          <w:sz w:val="24"/>
          <w:szCs w:val="24"/>
          <w:highlight w:val="white"/>
          <w:u w:val="single"/>
        </w:rPr>
        <w:t xml:space="preserve">             </w:t>
      </w:r>
      <w:r>
        <w:rPr>
          <w:rFonts w:hint="eastAsia" w:ascii="宋体" w:hAnsi="宋体"/>
          <w:sz w:val="24"/>
          <w:szCs w:val="24"/>
          <w:highlight w:val="white"/>
        </w:rPr>
        <w:t>元），服务期为</w:t>
      </w:r>
      <w:r>
        <w:rPr>
          <w:rFonts w:hint="eastAsia" w:ascii="宋体" w:hAnsi="宋体"/>
          <w:sz w:val="24"/>
          <w:szCs w:val="24"/>
          <w:highlight w:val="white"/>
          <w:u w:val="single"/>
        </w:rPr>
        <w:t xml:space="preserve">         </w:t>
      </w:r>
      <w:r>
        <w:rPr>
          <w:rFonts w:hint="eastAsia" w:ascii="宋体" w:hAnsi="宋体"/>
          <w:sz w:val="24"/>
          <w:szCs w:val="24"/>
          <w:highlight w:val="white"/>
        </w:rPr>
        <w:t>日历天，质量达到</w:t>
      </w:r>
      <w:r>
        <w:rPr>
          <w:rFonts w:hint="eastAsia" w:ascii="宋体" w:hAnsi="宋体"/>
          <w:sz w:val="24"/>
          <w:szCs w:val="24"/>
          <w:highlight w:val="white"/>
          <w:u w:val="single"/>
        </w:rPr>
        <w:t xml:space="preserve">        </w:t>
      </w:r>
      <w:r>
        <w:rPr>
          <w:rFonts w:hint="eastAsia" w:ascii="宋体" w:hAnsi="宋体"/>
          <w:sz w:val="24"/>
          <w:szCs w:val="24"/>
          <w:highlight w:val="white"/>
        </w:rPr>
        <w:t>。</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3、一旦我方中标，我方将严格履行合同规定的责任和义务，按磋商文件要求提交履约保证金，保证于合同签字生效后，按规定的服务期完成项目的交货安装并交付采购人验收。</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4、投标有效期为自投标截止之日起</w:t>
      </w:r>
      <w:r>
        <w:rPr>
          <w:rFonts w:hint="eastAsia" w:ascii="宋体" w:hAnsi="宋体"/>
          <w:sz w:val="24"/>
          <w:szCs w:val="24"/>
          <w:highlight w:val="white"/>
          <w:u w:val="single"/>
        </w:rPr>
        <w:t xml:space="preserve">      </w:t>
      </w:r>
      <w:r>
        <w:rPr>
          <w:rFonts w:hint="eastAsia" w:ascii="宋体" w:hAnsi="宋体"/>
          <w:sz w:val="24"/>
          <w:szCs w:val="24"/>
          <w:highlight w:val="white"/>
        </w:rPr>
        <w:t>日历天；我方承诺完全响应磋商文件及补充、澄清、修改文件中的全部内容。</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5、我方为本项目提交的投标文件有：正本一份、副本四份，电子版投标文件一份。</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6、我方愿意提供采购人可能另外要求的、与投标有关的文件资料，并保证我方已提供和将要提供的文件是真实的、准确的。</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7、我方完全理解你们不一定将合同授予最低报价的供应商。</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 xml:space="preserve">    </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供应商名称：</w:t>
      </w:r>
      <w:r>
        <w:rPr>
          <w:rFonts w:hint="eastAsia" w:ascii="宋体" w:hAnsi="宋体"/>
          <w:sz w:val="24"/>
          <w:szCs w:val="24"/>
          <w:highlight w:val="white"/>
          <w:u w:val="single"/>
        </w:rPr>
        <w:t xml:space="preserve">        （公    章）                   </w:t>
      </w:r>
    </w:p>
    <w:p>
      <w:pPr>
        <w:spacing w:line="360" w:lineRule="auto"/>
        <w:ind w:firstLine="549"/>
        <w:rPr>
          <w:rFonts w:hint="eastAsia" w:ascii="宋体" w:hAnsi="宋体"/>
          <w:sz w:val="24"/>
          <w:szCs w:val="24"/>
          <w:highlight w:val="white"/>
          <w:u w:val="single"/>
        </w:rPr>
      </w:pPr>
      <w:r>
        <w:rPr>
          <w:rFonts w:hint="eastAsia" w:ascii="宋体" w:hAnsi="宋体"/>
          <w:sz w:val="24"/>
          <w:szCs w:val="24"/>
          <w:highlight w:val="white"/>
        </w:rPr>
        <w:t>法定代表人（签字或盖章）：</w:t>
      </w:r>
      <w:r>
        <w:rPr>
          <w:rFonts w:hint="eastAsia" w:ascii="宋体" w:hAnsi="宋体"/>
          <w:sz w:val="24"/>
          <w:szCs w:val="24"/>
          <w:highlight w:val="white"/>
          <w:u w:val="single"/>
        </w:rPr>
        <w:t xml:space="preserve">                          </w:t>
      </w:r>
    </w:p>
    <w:p>
      <w:pPr>
        <w:spacing w:line="360" w:lineRule="auto"/>
        <w:ind w:firstLine="549"/>
        <w:rPr>
          <w:rFonts w:hint="eastAsia" w:ascii="宋体" w:hAnsi="宋体"/>
          <w:sz w:val="24"/>
          <w:szCs w:val="24"/>
          <w:highlight w:val="white"/>
          <w:u w:val="single"/>
        </w:rPr>
      </w:pPr>
      <w:r>
        <w:rPr>
          <w:rFonts w:hint="eastAsia" w:ascii="宋体" w:hAnsi="宋体"/>
          <w:sz w:val="24"/>
          <w:szCs w:val="24"/>
          <w:highlight w:val="white"/>
        </w:rPr>
        <w:t>授权委托人（签字或盖章）：</w:t>
      </w:r>
      <w:r>
        <w:rPr>
          <w:rFonts w:hint="eastAsia" w:ascii="宋体" w:hAnsi="宋体"/>
          <w:sz w:val="24"/>
          <w:szCs w:val="24"/>
          <w:highlight w:val="white"/>
          <w:u w:val="single"/>
        </w:rPr>
        <w:t xml:space="preserve">                          </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日     期：</w:t>
      </w:r>
      <w:r>
        <w:rPr>
          <w:rFonts w:hint="eastAsia" w:ascii="宋体" w:hAnsi="宋体"/>
          <w:sz w:val="24"/>
          <w:szCs w:val="24"/>
          <w:highlight w:val="white"/>
          <w:u w:val="single"/>
        </w:rPr>
        <w:t xml:space="preserve">                                       </w:t>
      </w:r>
    </w:p>
    <w:p>
      <w:pPr>
        <w:spacing w:line="360" w:lineRule="auto"/>
        <w:ind w:firstLine="549"/>
        <w:rPr>
          <w:rFonts w:hint="eastAsia" w:ascii="宋体" w:hAnsi="宋体"/>
          <w:sz w:val="24"/>
          <w:szCs w:val="24"/>
          <w:highlight w:val="white"/>
          <w:u w:val="single"/>
        </w:rPr>
      </w:pPr>
      <w:r>
        <w:rPr>
          <w:rFonts w:hint="eastAsia" w:ascii="宋体" w:hAnsi="宋体"/>
          <w:sz w:val="24"/>
          <w:szCs w:val="24"/>
          <w:highlight w:val="white"/>
        </w:rPr>
        <w:t>通讯地址：</w:t>
      </w:r>
      <w:r>
        <w:rPr>
          <w:rFonts w:hint="eastAsia" w:ascii="宋体" w:hAnsi="宋体"/>
          <w:sz w:val="24"/>
          <w:szCs w:val="24"/>
          <w:highlight w:val="white"/>
          <w:u w:val="single"/>
        </w:rPr>
        <w:t xml:space="preserve">                                        </w:t>
      </w:r>
    </w:p>
    <w:p>
      <w:pPr>
        <w:spacing w:line="360" w:lineRule="auto"/>
        <w:ind w:firstLine="549"/>
        <w:rPr>
          <w:rFonts w:hint="eastAsia" w:ascii="宋体" w:hAnsi="宋体"/>
          <w:sz w:val="24"/>
          <w:szCs w:val="24"/>
          <w:highlight w:val="white"/>
          <w:u w:val="single"/>
        </w:rPr>
      </w:pPr>
      <w:r>
        <w:rPr>
          <w:rFonts w:hint="eastAsia" w:ascii="宋体" w:hAnsi="宋体"/>
          <w:sz w:val="24"/>
          <w:szCs w:val="24"/>
          <w:highlight w:val="white"/>
        </w:rPr>
        <w:t>邮政编码：</w:t>
      </w:r>
      <w:r>
        <w:rPr>
          <w:rFonts w:hint="eastAsia" w:ascii="宋体" w:hAnsi="宋体"/>
          <w:sz w:val="24"/>
          <w:szCs w:val="24"/>
          <w:highlight w:val="white"/>
          <w:u w:val="single"/>
        </w:rPr>
        <w:t xml:space="preserve">             </w:t>
      </w:r>
      <w:r>
        <w:rPr>
          <w:rFonts w:hint="eastAsia" w:ascii="宋体" w:hAnsi="宋体"/>
          <w:sz w:val="24"/>
          <w:szCs w:val="24"/>
          <w:highlight w:val="white"/>
        </w:rPr>
        <w:t xml:space="preserve">     电   话：</w:t>
      </w:r>
      <w:r>
        <w:rPr>
          <w:rFonts w:hint="eastAsia" w:ascii="宋体" w:hAnsi="宋体"/>
          <w:sz w:val="24"/>
          <w:szCs w:val="24"/>
          <w:highlight w:val="white"/>
          <w:u w:val="single"/>
        </w:rPr>
        <w:t xml:space="preserve">             </w:t>
      </w:r>
    </w:p>
    <w:p>
      <w:pPr>
        <w:spacing w:line="360" w:lineRule="auto"/>
        <w:ind w:firstLine="549"/>
        <w:rPr>
          <w:rFonts w:hint="eastAsia" w:ascii="宋体" w:hAnsi="宋体"/>
          <w:sz w:val="24"/>
          <w:szCs w:val="24"/>
          <w:highlight w:val="white"/>
          <w:u w:val="single"/>
        </w:rPr>
      </w:pPr>
      <w:r>
        <w:rPr>
          <w:rFonts w:hint="eastAsia" w:ascii="宋体" w:hAnsi="宋体"/>
          <w:sz w:val="24"/>
          <w:szCs w:val="24"/>
          <w:highlight w:val="white"/>
        </w:rPr>
        <w:t>传    真：</w:t>
      </w:r>
      <w:r>
        <w:rPr>
          <w:rFonts w:hint="eastAsia" w:ascii="宋体" w:hAnsi="宋体"/>
          <w:sz w:val="24"/>
          <w:szCs w:val="24"/>
          <w:highlight w:val="white"/>
          <w:u w:val="single"/>
        </w:rPr>
        <w:t xml:space="preserve">             </w:t>
      </w:r>
    </w:p>
    <w:p>
      <w:pPr>
        <w:spacing w:line="360" w:lineRule="auto"/>
        <w:ind w:firstLine="549"/>
        <w:rPr>
          <w:rFonts w:hint="eastAsia" w:ascii="宋体" w:hAnsi="宋体"/>
          <w:sz w:val="24"/>
          <w:szCs w:val="24"/>
          <w:highlight w:val="white"/>
        </w:rPr>
      </w:pPr>
      <w:r>
        <w:rPr>
          <w:rFonts w:hint="eastAsia" w:ascii="宋体" w:hAnsi="宋体"/>
          <w:sz w:val="24"/>
          <w:szCs w:val="24"/>
          <w:highlight w:val="white"/>
        </w:rPr>
        <w:t xml:space="preserve">             </w:t>
      </w:r>
    </w:p>
    <w:p>
      <w:pPr>
        <w:pStyle w:val="6"/>
        <w:rPr>
          <w:rFonts w:hAnsi="宋体"/>
          <w:sz w:val="24"/>
          <w:szCs w:val="24"/>
          <w:highlight w:val="white"/>
        </w:rPr>
      </w:pPr>
      <w:r>
        <w:rPr>
          <w:rFonts w:hint="eastAsia" w:hAnsi="宋体"/>
          <w:b w:val="0"/>
          <w:bCs w:val="0"/>
          <w:sz w:val="24"/>
          <w:szCs w:val="24"/>
        </w:rPr>
        <w:br w:type="page"/>
      </w:r>
      <w:bookmarkStart w:id="136" w:name="_Toc382508392"/>
      <w:bookmarkEnd w:id="136"/>
      <w:r>
        <w:rPr>
          <w:rFonts w:hint="eastAsia" w:hAnsi="宋体"/>
          <w:sz w:val="24"/>
          <w:szCs w:val="24"/>
          <w:highlight w:val="white"/>
        </w:rPr>
        <w:t>格式2、法人代表授权书</w:t>
      </w:r>
    </w:p>
    <w:p>
      <w:pPr>
        <w:spacing w:line="360" w:lineRule="auto"/>
        <w:rPr>
          <w:rFonts w:hint="eastAsia" w:ascii="宋体" w:hAnsi="宋体"/>
          <w:b/>
          <w:sz w:val="24"/>
          <w:szCs w:val="24"/>
        </w:rPr>
      </w:pPr>
      <w:r>
        <w:rPr>
          <w:rFonts w:hint="eastAsia" w:ascii="宋体" w:hAnsi="宋体"/>
          <w:b/>
          <w:sz w:val="24"/>
          <w:szCs w:val="24"/>
        </w:rPr>
        <w:t>（采购人）：</w:t>
      </w:r>
    </w:p>
    <w:p>
      <w:pPr>
        <w:spacing w:line="360" w:lineRule="auto"/>
        <w:ind w:firstLine="480" w:firstLineChars="200"/>
        <w:jc w:val="left"/>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（供应商全称）法人代表授权</w:t>
      </w:r>
      <w:r>
        <w:rPr>
          <w:rFonts w:hint="eastAsia" w:ascii="宋体" w:hAnsi="宋体"/>
          <w:sz w:val="24"/>
          <w:szCs w:val="24"/>
          <w:u w:val="single"/>
        </w:rPr>
        <w:t xml:space="preserve">              </w:t>
      </w:r>
      <w:r>
        <w:rPr>
          <w:rFonts w:hint="eastAsia" w:ascii="宋体" w:hAnsi="宋体"/>
          <w:sz w:val="24"/>
          <w:szCs w:val="24"/>
        </w:rPr>
        <w:t>（供应商代表姓名）为供应商代表，参加贵单位组织的</w:t>
      </w:r>
      <w:r>
        <w:rPr>
          <w:rFonts w:hint="eastAsia" w:ascii="宋体" w:hAnsi="宋体"/>
          <w:sz w:val="24"/>
          <w:szCs w:val="24"/>
          <w:u w:val="single"/>
        </w:rPr>
        <w:t xml:space="preserve">                </w:t>
      </w:r>
      <w:r>
        <w:rPr>
          <w:rFonts w:hint="eastAsia" w:ascii="宋体" w:hAnsi="宋体"/>
          <w:sz w:val="24"/>
          <w:szCs w:val="24"/>
        </w:rPr>
        <w:t>（项目名称）项目（项目编号</w:t>
      </w:r>
      <w:r>
        <w:rPr>
          <w:rFonts w:hint="eastAsia" w:ascii="宋体" w:hAnsi="宋体"/>
          <w:sz w:val="24"/>
          <w:szCs w:val="24"/>
          <w:u w:val="single"/>
        </w:rPr>
        <w:t xml:space="preserve">            </w:t>
      </w:r>
      <w:r>
        <w:rPr>
          <w:rFonts w:hint="eastAsia" w:ascii="宋体" w:hAnsi="宋体"/>
          <w:sz w:val="24"/>
          <w:szCs w:val="24"/>
        </w:rPr>
        <w:t>）招标活动，全权代表我方处理招标活动的一切事宜。</w:t>
      </w:r>
    </w:p>
    <w:p>
      <w:pPr>
        <w:tabs>
          <w:tab w:val="left" w:pos="1935"/>
        </w:tabs>
        <w:spacing w:line="360" w:lineRule="auto"/>
        <w:rPr>
          <w:rFonts w:hint="eastAsia" w:ascii="宋体" w:hAnsi="宋体"/>
          <w:sz w:val="24"/>
          <w:szCs w:val="24"/>
        </w:rPr>
      </w:pPr>
      <w:r>
        <w:rPr>
          <w:rFonts w:ascii="宋体" w:hAnsi="宋体"/>
          <w:sz w:val="24"/>
          <w:szCs w:val="24"/>
        </w:rPr>
        <w:tab/>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 xml:space="preserve">                                 法定代表人（签字或盖章）：</w:t>
      </w:r>
    </w:p>
    <w:p>
      <w:pPr>
        <w:spacing w:line="360" w:lineRule="auto"/>
        <w:rPr>
          <w:rFonts w:hint="eastAsia" w:ascii="宋体" w:hAnsi="宋体"/>
          <w:sz w:val="24"/>
          <w:szCs w:val="24"/>
        </w:rPr>
      </w:pPr>
      <w:r>
        <w:rPr>
          <w:rFonts w:hint="eastAsia" w:ascii="宋体" w:hAnsi="宋体"/>
          <w:sz w:val="24"/>
          <w:szCs w:val="24"/>
        </w:rPr>
        <w:t xml:space="preserve">                                 供应商名称（公章）：</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 xml:space="preserve">                                  日期：</w:t>
      </w:r>
    </w:p>
    <w:p>
      <w:pPr>
        <w:spacing w:line="360" w:lineRule="auto"/>
        <w:rPr>
          <w:rFonts w:hint="eastAsia" w:ascii="宋体" w:hAnsi="宋体"/>
          <w:sz w:val="24"/>
          <w:szCs w:val="24"/>
        </w:rPr>
      </w:pPr>
      <w:r>
        <w:rPr>
          <w:rFonts w:hint="eastAsia" w:ascii="宋体" w:hAnsi="宋体"/>
          <w:sz w:val="24"/>
          <w:szCs w:val="24"/>
        </w:rPr>
        <w:t>附：法人及授权委托人身份证</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委托代理人姓名：</w:t>
      </w:r>
      <w:r>
        <w:rPr>
          <w:rFonts w:hint="eastAsia" w:ascii="宋体" w:hAnsi="宋体"/>
          <w:sz w:val="24"/>
          <w:szCs w:val="24"/>
          <w:u w:val="single"/>
        </w:rPr>
        <w:t xml:space="preserve">                        </w:t>
      </w:r>
      <w:r>
        <w:rPr>
          <w:rFonts w:hint="eastAsia" w:ascii="宋体" w:hAnsi="宋体"/>
          <w:sz w:val="24"/>
          <w:szCs w:val="24"/>
        </w:rPr>
        <w:t>（签字或盖章）</w:t>
      </w:r>
    </w:p>
    <w:p>
      <w:pPr>
        <w:spacing w:line="360" w:lineRule="auto"/>
        <w:rPr>
          <w:rFonts w:hint="eastAsia" w:ascii="宋体" w:hAnsi="宋体"/>
          <w:sz w:val="24"/>
          <w:szCs w:val="24"/>
        </w:rPr>
      </w:pPr>
      <w:r>
        <w:rPr>
          <w:rFonts w:hint="eastAsia" w:ascii="宋体" w:hAnsi="宋体"/>
          <w:sz w:val="24"/>
          <w:szCs w:val="24"/>
        </w:rPr>
        <w:t>职          务：</w:t>
      </w:r>
      <w:r>
        <w:rPr>
          <w:rFonts w:hint="eastAsia" w:ascii="宋体" w:hAnsi="宋体"/>
          <w:sz w:val="24"/>
          <w:szCs w:val="24"/>
          <w:u w:val="single"/>
        </w:rPr>
        <w:t xml:space="preserve">                       </w:t>
      </w:r>
    </w:p>
    <w:p>
      <w:pPr>
        <w:spacing w:line="360" w:lineRule="auto"/>
        <w:rPr>
          <w:rFonts w:hint="eastAsia" w:ascii="宋体" w:hAnsi="宋体"/>
          <w:sz w:val="24"/>
          <w:szCs w:val="24"/>
        </w:rPr>
      </w:pPr>
      <w:r>
        <w:rPr>
          <w:rFonts w:hint="eastAsia" w:ascii="宋体" w:hAnsi="宋体"/>
          <w:sz w:val="24"/>
          <w:szCs w:val="24"/>
        </w:rPr>
        <w:t xml:space="preserve">详细通讯地址：  </w:t>
      </w:r>
      <w:r>
        <w:rPr>
          <w:rFonts w:hint="eastAsia" w:ascii="宋体" w:hAnsi="宋体"/>
          <w:sz w:val="24"/>
          <w:szCs w:val="24"/>
          <w:u w:val="single"/>
        </w:rPr>
        <w:t xml:space="preserve">                       </w:t>
      </w:r>
    </w:p>
    <w:p>
      <w:pPr>
        <w:spacing w:line="360" w:lineRule="auto"/>
        <w:rPr>
          <w:rFonts w:hint="eastAsia" w:ascii="宋体" w:hAnsi="宋体"/>
          <w:sz w:val="24"/>
          <w:szCs w:val="24"/>
        </w:rPr>
      </w:pPr>
      <w:r>
        <w:rPr>
          <w:rFonts w:hint="eastAsia" w:ascii="宋体" w:hAnsi="宋体"/>
          <w:sz w:val="24"/>
          <w:szCs w:val="24"/>
        </w:rPr>
        <w:t>邮  政  编  码：</w:t>
      </w:r>
      <w:r>
        <w:rPr>
          <w:rFonts w:hint="eastAsia" w:ascii="宋体" w:hAnsi="宋体"/>
          <w:sz w:val="24"/>
          <w:szCs w:val="24"/>
          <w:u w:val="single"/>
        </w:rPr>
        <w:t xml:space="preserve">                       </w:t>
      </w:r>
    </w:p>
    <w:p>
      <w:pPr>
        <w:spacing w:line="360" w:lineRule="auto"/>
        <w:rPr>
          <w:rFonts w:hint="eastAsia"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360" w:lineRule="auto"/>
        <w:rPr>
          <w:rFonts w:hint="eastAsia" w:ascii="宋体" w:hAnsi="宋体"/>
          <w:sz w:val="24"/>
          <w:szCs w:val="24"/>
          <w:u w:val="single"/>
        </w:rPr>
      </w:pPr>
      <w:r>
        <w:rPr>
          <w:rFonts w:hint="eastAsia" w:ascii="宋体" w:hAnsi="宋体"/>
          <w:sz w:val="24"/>
          <w:szCs w:val="24"/>
        </w:rPr>
        <w:t>电          话：</w:t>
      </w:r>
      <w:r>
        <w:rPr>
          <w:rFonts w:hint="eastAsia" w:ascii="宋体" w:hAnsi="宋体"/>
          <w:sz w:val="24"/>
          <w:szCs w:val="24"/>
          <w:u w:val="single"/>
        </w:rPr>
        <w:t xml:space="preserve">                       </w:t>
      </w:r>
    </w:p>
    <w:p>
      <w:pPr>
        <w:spacing w:line="360" w:lineRule="auto"/>
        <w:rPr>
          <w:rFonts w:hint="eastAsia" w:ascii="宋体" w:hAnsi="宋体"/>
          <w:b/>
          <w:bCs/>
          <w:sz w:val="24"/>
          <w:szCs w:val="24"/>
        </w:rPr>
      </w:pPr>
      <w:r>
        <w:rPr>
          <w:rFonts w:hint="eastAsia" w:ascii="宋体" w:hAnsi="宋体"/>
          <w:sz w:val="24"/>
          <w:szCs w:val="24"/>
        </w:rPr>
        <w:t>电  子  信  箱：</w:t>
      </w:r>
      <w:r>
        <w:rPr>
          <w:rFonts w:hint="eastAsia" w:ascii="宋体" w:hAnsi="宋体"/>
          <w:sz w:val="24"/>
          <w:szCs w:val="24"/>
          <w:u w:val="single"/>
        </w:rPr>
        <w:t xml:space="preserve">                       </w:t>
      </w:r>
    </w:p>
    <w:p>
      <w:pPr>
        <w:spacing w:line="360" w:lineRule="auto"/>
        <w:rPr>
          <w:rFonts w:hint="eastAsia" w:ascii="宋体" w:hAnsi="宋体"/>
          <w:b/>
          <w:bCs/>
          <w:sz w:val="24"/>
          <w:szCs w:val="24"/>
        </w:rPr>
      </w:pPr>
      <w:r>
        <w:rPr>
          <w:rFonts w:hint="eastAsia" w:ascii="宋体" w:hAnsi="宋体"/>
          <w:b/>
          <w:bCs/>
          <w:sz w:val="24"/>
          <w:szCs w:val="24"/>
        </w:rPr>
        <w:t>（本页除响应文件中需装订外，应单独手持一份至开标现场。开标现场接受检查。）</w:t>
      </w:r>
    </w:p>
    <w:p>
      <w:pPr>
        <w:spacing w:line="360" w:lineRule="auto"/>
        <w:rPr>
          <w:rFonts w:hint="eastAsia" w:ascii="宋体" w:hAnsi="宋体"/>
          <w:sz w:val="24"/>
          <w:szCs w:val="24"/>
        </w:rPr>
      </w:pPr>
      <w:r>
        <w:rPr>
          <w:rFonts w:hint="eastAsia" w:ascii="宋体" w:hAnsi="宋体"/>
          <w:b/>
          <w:bCs/>
          <w:sz w:val="24"/>
          <w:szCs w:val="24"/>
        </w:rPr>
        <w:br w:type="page"/>
      </w:r>
      <w:r>
        <w:rPr>
          <w:rFonts w:hint="eastAsia" w:ascii="宋体" w:hAnsi="宋体"/>
          <w:sz w:val="24"/>
          <w:szCs w:val="24"/>
        </w:rPr>
        <w:t>附：法定代表人身份证明</w:t>
      </w:r>
    </w:p>
    <w:p>
      <w:pPr>
        <w:spacing w:line="360" w:lineRule="auto"/>
        <w:rPr>
          <w:rFonts w:hint="eastAsia" w:ascii="宋体" w:hAnsi="宋体"/>
          <w:sz w:val="24"/>
          <w:szCs w:val="24"/>
        </w:rPr>
      </w:pPr>
    </w:p>
    <w:p>
      <w:pPr>
        <w:spacing w:line="360" w:lineRule="auto"/>
        <w:jc w:val="center"/>
        <w:rPr>
          <w:rFonts w:hint="eastAsia" w:ascii="宋体" w:hAnsi="宋体"/>
          <w:b/>
          <w:sz w:val="24"/>
          <w:szCs w:val="24"/>
        </w:rPr>
      </w:pPr>
      <w:r>
        <w:rPr>
          <w:rFonts w:hint="eastAsia" w:ascii="宋体" w:hAnsi="宋体"/>
          <w:b/>
          <w:sz w:val="24"/>
          <w:szCs w:val="24"/>
        </w:rPr>
        <w:t>法定代表人身份证明</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u w:val="single"/>
        </w:rPr>
      </w:pPr>
      <w:r>
        <w:rPr>
          <w:rFonts w:hint="eastAsia" w:ascii="宋体" w:hAnsi="宋体"/>
          <w:sz w:val="24"/>
          <w:szCs w:val="24"/>
        </w:rPr>
        <w:t>单位名称：</w:t>
      </w:r>
      <w:r>
        <w:rPr>
          <w:rFonts w:hint="eastAsia" w:ascii="宋体" w:hAnsi="宋体"/>
          <w:sz w:val="24"/>
          <w:szCs w:val="24"/>
          <w:u w:val="single"/>
        </w:rPr>
        <w:t xml:space="preserve">                                           </w:t>
      </w:r>
    </w:p>
    <w:p>
      <w:pPr>
        <w:spacing w:line="360" w:lineRule="auto"/>
        <w:rPr>
          <w:rFonts w:hint="eastAsia" w:ascii="宋体" w:hAnsi="宋体"/>
          <w:sz w:val="24"/>
          <w:szCs w:val="24"/>
          <w:u w:val="single"/>
        </w:rPr>
      </w:pPr>
      <w:r>
        <w:rPr>
          <w:rFonts w:hint="eastAsia" w:ascii="宋体" w:hAnsi="宋体"/>
          <w:sz w:val="24"/>
          <w:szCs w:val="24"/>
        </w:rPr>
        <w:t>单位性质：</w:t>
      </w:r>
      <w:r>
        <w:rPr>
          <w:rFonts w:hint="eastAsia" w:ascii="宋体" w:hAnsi="宋体"/>
          <w:sz w:val="24"/>
          <w:szCs w:val="24"/>
          <w:u w:val="single"/>
        </w:rPr>
        <w:t xml:space="preserve">                                           </w:t>
      </w:r>
    </w:p>
    <w:p>
      <w:pPr>
        <w:spacing w:line="360" w:lineRule="auto"/>
        <w:rPr>
          <w:rFonts w:hint="eastAsia" w:ascii="宋体" w:hAnsi="宋体"/>
          <w:sz w:val="24"/>
          <w:szCs w:val="24"/>
          <w:u w:val="single"/>
        </w:rPr>
      </w:pPr>
      <w:r>
        <w:rPr>
          <w:rFonts w:hint="eastAsia" w:ascii="宋体" w:hAnsi="宋体"/>
          <w:sz w:val="24"/>
          <w:szCs w:val="24"/>
        </w:rPr>
        <w:t>地    址：</w:t>
      </w:r>
      <w:r>
        <w:rPr>
          <w:rFonts w:hint="eastAsia" w:ascii="宋体" w:hAnsi="宋体"/>
          <w:sz w:val="24"/>
          <w:szCs w:val="24"/>
          <w:u w:val="single"/>
        </w:rPr>
        <w:t xml:space="preserve">                                           </w:t>
      </w:r>
    </w:p>
    <w:p>
      <w:pPr>
        <w:spacing w:line="360" w:lineRule="auto"/>
        <w:rPr>
          <w:rFonts w:hint="eastAsia"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 xml:space="preserve"> 年</w:t>
      </w:r>
      <w:r>
        <w:rPr>
          <w:rFonts w:hint="eastAsia" w:ascii="宋体" w:hAnsi="宋体"/>
          <w:sz w:val="24"/>
          <w:szCs w:val="24"/>
          <w:u w:val="single"/>
        </w:rPr>
        <w:t xml:space="preserve">         </w:t>
      </w:r>
      <w:r>
        <w:rPr>
          <w:rFonts w:hint="eastAsia" w:ascii="宋体" w:hAnsi="宋体"/>
          <w:sz w:val="24"/>
          <w:szCs w:val="24"/>
        </w:rPr>
        <w:t xml:space="preserve"> 月 </w:t>
      </w:r>
      <w:r>
        <w:rPr>
          <w:rFonts w:hint="eastAsia" w:ascii="宋体" w:hAnsi="宋体"/>
          <w:sz w:val="24"/>
          <w:szCs w:val="24"/>
          <w:u w:val="single"/>
        </w:rPr>
        <w:t xml:space="preserve">          </w:t>
      </w:r>
      <w:r>
        <w:rPr>
          <w:rFonts w:hint="eastAsia" w:ascii="宋体" w:hAnsi="宋体"/>
          <w:sz w:val="24"/>
          <w:szCs w:val="24"/>
        </w:rPr>
        <w:t xml:space="preserve">  日</w:t>
      </w:r>
    </w:p>
    <w:p>
      <w:pPr>
        <w:spacing w:line="360" w:lineRule="auto"/>
        <w:rPr>
          <w:rFonts w:hint="eastAsia" w:ascii="宋体" w:hAnsi="宋体"/>
          <w:sz w:val="24"/>
          <w:szCs w:val="24"/>
          <w:u w:val="single"/>
        </w:rPr>
      </w:pPr>
      <w:r>
        <w:rPr>
          <w:rFonts w:hint="eastAsia" w:ascii="宋体" w:hAnsi="宋体"/>
          <w:sz w:val="24"/>
          <w:szCs w:val="24"/>
        </w:rPr>
        <w:t>经营期限：</w:t>
      </w:r>
      <w:r>
        <w:rPr>
          <w:rFonts w:hint="eastAsia" w:ascii="宋体" w:hAnsi="宋体"/>
          <w:sz w:val="24"/>
          <w:szCs w:val="24"/>
          <w:u w:val="single"/>
        </w:rPr>
        <w:t xml:space="preserve">                                           </w:t>
      </w:r>
    </w:p>
    <w:p>
      <w:pPr>
        <w:spacing w:line="360" w:lineRule="auto"/>
        <w:rPr>
          <w:rFonts w:hint="eastAsia" w:ascii="宋体" w:hAnsi="宋体"/>
          <w:sz w:val="24"/>
          <w:szCs w:val="24"/>
          <w:u w:val="single"/>
        </w:rPr>
      </w:pPr>
      <w:r>
        <w:rPr>
          <w:rFonts w:hint="eastAsia" w:ascii="宋体" w:hAnsi="宋体"/>
          <w:sz w:val="24"/>
          <w:szCs w:val="24"/>
        </w:rPr>
        <w:t>姓    名：</w:t>
      </w:r>
      <w:r>
        <w:rPr>
          <w:rFonts w:hint="eastAsia" w:ascii="宋体" w:hAnsi="宋体"/>
          <w:sz w:val="24"/>
          <w:szCs w:val="24"/>
          <w:u w:val="single"/>
        </w:rPr>
        <w:t xml:space="preserve">                  </w:t>
      </w:r>
      <w:r>
        <w:rPr>
          <w:rFonts w:hint="eastAsia" w:ascii="宋体" w:hAnsi="宋体"/>
          <w:sz w:val="24"/>
          <w:szCs w:val="24"/>
        </w:rPr>
        <w:t xml:space="preserve">       性别： </w:t>
      </w:r>
      <w:r>
        <w:rPr>
          <w:rFonts w:hint="eastAsia" w:ascii="宋体" w:hAnsi="宋体"/>
          <w:sz w:val="24"/>
          <w:szCs w:val="24"/>
          <w:u w:val="single"/>
        </w:rPr>
        <w:t xml:space="preserve">                   </w:t>
      </w:r>
    </w:p>
    <w:p>
      <w:pPr>
        <w:spacing w:line="360" w:lineRule="auto"/>
        <w:rPr>
          <w:rFonts w:hint="eastAsia" w:ascii="宋体" w:hAnsi="宋体"/>
          <w:sz w:val="24"/>
          <w:szCs w:val="24"/>
          <w:u w:val="single"/>
        </w:rPr>
      </w:pPr>
      <w:r>
        <w:rPr>
          <w:rFonts w:hint="eastAsia" w:ascii="宋体" w:hAnsi="宋体"/>
          <w:sz w:val="24"/>
          <w:szCs w:val="24"/>
        </w:rPr>
        <w:t>年    龄：</w:t>
      </w:r>
      <w:r>
        <w:rPr>
          <w:rFonts w:hint="eastAsia" w:ascii="宋体" w:hAnsi="宋体"/>
          <w:sz w:val="24"/>
          <w:szCs w:val="24"/>
          <w:u w:val="single"/>
        </w:rPr>
        <w:t xml:space="preserve">                  </w:t>
      </w:r>
      <w:r>
        <w:rPr>
          <w:rFonts w:hint="eastAsia" w:ascii="宋体" w:hAnsi="宋体"/>
          <w:sz w:val="24"/>
          <w:szCs w:val="24"/>
        </w:rPr>
        <w:t xml:space="preserve">       职务： </w:t>
      </w:r>
      <w:r>
        <w:rPr>
          <w:rFonts w:hint="eastAsia" w:ascii="宋体" w:hAnsi="宋体"/>
          <w:sz w:val="24"/>
          <w:szCs w:val="24"/>
          <w:u w:val="single"/>
        </w:rPr>
        <w:t xml:space="preserve">                   </w:t>
      </w:r>
    </w:p>
    <w:p>
      <w:pPr>
        <w:spacing w:line="360" w:lineRule="auto"/>
        <w:rPr>
          <w:rFonts w:hint="eastAsia" w:ascii="宋体" w:hAnsi="宋体"/>
          <w:sz w:val="24"/>
          <w:szCs w:val="24"/>
        </w:rPr>
      </w:pPr>
      <w:r>
        <w:rPr>
          <w:rFonts w:hint="eastAsia" w:ascii="宋体" w:hAnsi="宋体"/>
          <w:sz w:val="24"/>
          <w:szCs w:val="24"/>
        </w:rPr>
        <w:t>系</w:t>
      </w:r>
      <w:r>
        <w:rPr>
          <w:rFonts w:hint="eastAsia" w:ascii="宋体" w:hAnsi="宋体"/>
          <w:sz w:val="24"/>
          <w:szCs w:val="24"/>
          <w:u w:val="single"/>
        </w:rPr>
        <w:t xml:space="preserve">           （供应商单位名称）             </w:t>
      </w:r>
      <w:r>
        <w:rPr>
          <w:rFonts w:hint="eastAsia" w:ascii="宋体" w:hAnsi="宋体"/>
          <w:sz w:val="24"/>
          <w:szCs w:val="24"/>
        </w:rPr>
        <w:t>的法定代表人。</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特此证明。</w:t>
      </w:r>
    </w:p>
    <w:p>
      <w:pPr>
        <w:spacing w:before="62" w:beforeLines="20" w:after="62" w:afterLines="20" w:line="540" w:lineRule="exact"/>
        <w:rPr>
          <w:rFonts w:ascii="宋体" w:hAnsi="宋体"/>
          <w:b/>
          <w:sz w:val="24"/>
          <w:szCs w:val="24"/>
        </w:rPr>
      </w:pPr>
      <w:r>
        <w:rPr>
          <w:rFonts w:hint="eastAsia" w:ascii="宋体" w:hAnsi="宋体"/>
          <w:b/>
          <w:sz w:val="24"/>
          <w:szCs w:val="24"/>
        </w:rPr>
        <w:t>附：法定代表人身份证扫描件</w:t>
      </w:r>
    </w:p>
    <w:p>
      <w:pPr>
        <w:pStyle w:val="18"/>
        <w:ind w:firstLine="480"/>
        <w:rPr>
          <w:rFonts w:ascii="宋体" w:hAnsi="宋体"/>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4794" w:type="dxa"/>
            <w:noWrap w:val="0"/>
            <w:vAlign w:val="center"/>
          </w:tcPr>
          <w:p>
            <w:pPr>
              <w:spacing w:before="62" w:beforeLines="20" w:after="62" w:afterLines="20" w:line="540" w:lineRule="exact"/>
              <w:jc w:val="center"/>
              <w:rPr>
                <w:rFonts w:ascii="宋体" w:hAnsi="宋体"/>
                <w:sz w:val="24"/>
                <w:szCs w:val="24"/>
              </w:rPr>
            </w:pPr>
            <w:r>
              <w:rPr>
                <w:rFonts w:hint="eastAsia" w:ascii="宋体" w:hAnsi="宋体"/>
                <w:b/>
                <w:sz w:val="24"/>
                <w:szCs w:val="24"/>
              </w:rPr>
              <w:t>法定代表人身份证扫描件</w:t>
            </w:r>
          </w:p>
        </w:tc>
      </w:tr>
    </w:tbl>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 xml:space="preserve">               供应商：</w:t>
      </w:r>
      <w:r>
        <w:rPr>
          <w:rFonts w:hint="eastAsia" w:ascii="宋体" w:hAnsi="宋体"/>
          <w:sz w:val="24"/>
          <w:szCs w:val="24"/>
          <w:u w:val="single"/>
        </w:rPr>
        <w:t xml:space="preserve">             （盖公章）</w:t>
      </w:r>
    </w:p>
    <w:p>
      <w:pPr>
        <w:spacing w:line="360" w:lineRule="auto"/>
        <w:rPr>
          <w:rFonts w:hint="eastAsia" w:ascii="宋体" w:hAnsi="宋体"/>
          <w:sz w:val="24"/>
          <w:szCs w:val="24"/>
        </w:rPr>
      </w:pPr>
      <w:r>
        <w:rPr>
          <w:rFonts w:hint="eastAsia" w:ascii="宋体" w:hAnsi="宋体"/>
          <w:sz w:val="24"/>
          <w:szCs w:val="24"/>
        </w:rPr>
        <w:t xml:space="preserve">            日  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6"/>
        <w:rPr>
          <w:rFonts w:hint="eastAsia" w:hAnsi="宋体"/>
          <w:sz w:val="24"/>
          <w:szCs w:val="24"/>
        </w:rPr>
      </w:pPr>
      <w:bookmarkStart w:id="137" w:name="_Toc7348"/>
      <w:bookmarkStart w:id="138" w:name="_Toc17032"/>
      <w:bookmarkStart w:id="139" w:name="_Toc7181"/>
      <w:r>
        <w:rPr>
          <w:rFonts w:hint="eastAsia" w:hAnsi="宋体"/>
          <w:sz w:val="24"/>
          <w:szCs w:val="24"/>
        </w:rPr>
        <w:t xml:space="preserve"> </w:t>
      </w:r>
    </w:p>
    <w:p>
      <w:pPr>
        <w:spacing w:line="360" w:lineRule="auto"/>
        <w:jc w:val="center"/>
        <w:outlineLvl w:val="0"/>
        <w:rPr>
          <w:rFonts w:hint="eastAsia" w:ascii="宋体" w:hAnsi="宋体"/>
          <w:sz w:val="24"/>
          <w:szCs w:val="24"/>
        </w:rPr>
      </w:pPr>
    </w:p>
    <w:bookmarkEnd w:id="137"/>
    <w:bookmarkEnd w:id="138"/>
    <w:bookmarkEnd w:id="139"/>
    <w:p>
      <w:pPr>
        <w:snapToGrid w:val="0"/>
        <w:spacing w:line="360" w:lineRule="auto"/>
        <w:ind w:right="-33"/>
        <w:jc w:val="center"/>
        <w:textAlignment w:val="baseline"/>
        <w:rPr>
          <w:rFonts w:hint="eastAsia" w:ascii="宋体" w:hAnsi="宋体"/>
          <w:b/>
          <w:bCs/>
          <w:sz w:val="24"/>
          <w:szCs w:val="24"/>
        </w:rPr>
      </w:pPr>
      <w:bookmarkStart w:id="140" w:name="_Toc24283"/>
      <w:bookmarkStart w:id="141" w:name="_Toc14776"/>
      <w:bookmarkStart w:id="142" w:name="_Toc506218920"/>
      <w:bookmarkStart w:id="143" w:name="_Toc507769455"/>
      <w:bookmarkStart w:id="144" w:name="_Toc62655842"/>
    </w:p>
    <w:p>
      <w:pPr>
        <w:snapToGrid w:val="0"/>
        <w:spacing w:line="360" w:lineRule="auto"/>
        <w:ind w:right="-33"/>
        <w:jc w:val="center"/>
        <w:textAlignment w:val="baseline"/>
        <w:rPr>
          <w:rFonts w:hint="eastAsia" w:ascii="宋体" w:hAnsi="宋体"/>
          <w:b/>
          <w:bCs/>
          <w:sz w:val="24"/>
          <w:szCs w:val="24"/>
        </w:rPr>
      </w:pPr>
      <w:r>
        <w:rPr>
          <w:rFonts w:hint="eastAsia" w:ascii="宋体" w:hAnsi="宋体"/>
          <w:b/>
          <w:bCs/>
          <w:sz w:val="24"/>
          <w:szCs w:val="24"/>
        </w:rPr>
        <w:t>格式3、</w:t>
      </w:r>
      <w:bookmarkEnd w:id="140"/>
      <w:bookmarkEnd w:id="141"/>
      <w:bookmarkEnd w:id="142"/>
      <w:bookmarkEnd w:id="143"/>
      <w:bookmarkEnd w:id="144"/>
      <w:r>
        <w:rPr>
          <w:rFonts w:hint="eastAsia" w:ascii="宋体" w:hAnsi="宋体"/>
          <w:b/>
          <w:bCs/>
          <w:sz w:val="24"/>
          <w:szCs w:val="24"/>
        </w:rPr>
        <w:t>投标承诺函</w:t>
      </w:r>
    </w:p>
    <w:p>
      <w:pPr>
        <w:pStyle w:val="16"/>
        <w:widowControl w:val="0"/>
        <w:spacing w:before="0" w:beforeAutospacing="0" w:after="120" w:afterAutospacing="0"/>
      </w:pPr>
    </w:p>
    <w:p>
      <w:pPr>
        <w:spacing w:line="360" w:lineRule="auto"/>
        <w:jc w:val="left"/>
        <w:rPr>
          <w:rFonts w:hint="eastAsia" w:ascii="宋体" w:hAnsi="宋体"/>
          <w:color w:val="000000"/>
          <w:sz w:val="24"/>
          <w:szCs w:val="24"/>
        </w:rPr>
      </w:pPr>
      <w:r>
        <w:rPr>
          <w:rFonts w:hint="eastAsia" w:ascii="宋体" w:hAnsi="宋体"/>
          <w:color w:val="000000"/>
          <w:sz w:val="24"/>
          <w:szCs w:val="24"/>
          <w:lang w:bidi="ar"/>
        </w:rPr>
        <w:t>（填写采购人名称）：</w:t>
      </w:r>
    </w:p>
    <w:p>
      <w:pPr>
        <w:spacing w:line="360" w:lineRule="auto"/>
        <w:ind w:firstLine="480" w:firstLineChars="200"/>
        <w:jc w:val="left"/>
        <w:rPr>
          <w:rFonts w:hint="eastAsia" w:ascii="宋体" w:hAnsi="宋体"/>
          <w:color w:val="000000"/>
          <w:sz w:val="24"/>
          <w:szCs w:val="24"/>
          <w:lang w:bidi="ar"/>
        </w:rPr>
      </w:pP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lang w:bidi="ar"/>
        </w:rPr>
        <w:t>本企业郑重承诺，我公司全面、真实、有效的履行投标保证金的约定，不存在“有效期撤销文件、无故放弃中标、弄虚作假、串通投标、不交履约金、不签订合同”等法律法规以及招标文件规定不予退还的其他情形，如我公司违背本承诺，我公司愿承担一切法律责任和后果。并向</w:t>
      </w:r>
      <w:r>
        <w:rPr>
          <w:rFonts w:hint="eastAsia"/>
          <w:color w:val="000000"/>
          <w:sz w:val="24"/>
          <w:szCs w:val="24"/>
          <w:lang w:bidi="ar"/>
        </w:rPr>
        <w:t>当即</w:t>
      </w:r>
      <w:r>
        <w:rPr>
          <w:rFonts w:hint="eastAsia" w:ascii="宋体" w:hAnsi="宋体"/>
          <w:color w:val="000000"/>
          <w:sz w:val="24"/>
          <w:szCs w:val="24"/>
          <w:lang w:bidi="ar"/>
        </w:rPr>
        <w:t>采购人指定账户转入相当于本项目预算价金额2% 的费用作为对采购人采购损失的补偿。</w:t>
      </w:r>
    </w:p>
    <w:p>
      <w:pPr>
        <w:pStyle w:val="16"/>
        <w:widowControl w:val="0"/>
        <w:spacing w:before="0" w:beforeAutospacing="0" w:after="120" w:afterAutospacing="0"/>
        <w:ind w:left="420" w:leftChars="200" w:firstLine="480" w:firstLineChars="200"/>
      </w:pPr>
    </w:p>
    <w:p>
      <w:pPr>
        <w:spacing w:line="360" w:lineRule="auto"/>
        <w:jc w:val="left"/>
        <w:rPr>
          <w:rFonts w:hint="eastAsia" w:ascii="宋体" w:hAnsi="宋体"/>
          <w:color w:val="000000"/>
          <w:sz w:val="24"/>
          <w:szCs w:val="24"/>
        </w:rPr>
      </w:pPr>
    </w:p>
    <w:p>
      <w:pPr>
        <w:spacing w:line="360" w:lineRule="auto"/>
        <w:jc w:val="right"/>
        <w:rPr>
          <w:rFonts w:hint="eastAsia" w:ascii="宋体" w:hAnsi="宋体"/>
          <w:color w:val="000000"/>
          <w:sz w:val="24"/>
          <w:szCs w:val="24"/>
        </w:rPr>
      </w:pPr>
      <w:r>
        <w:rPr>
          <w:rFonts w:hint="eastAsia" w:ascii="宋体" w:hAnsi="宋体"/>
          <w:color w:val="000000"/>
          <w:sz w:val="24"/>
          <w:szCs w:val="24"/>
          <w:lang w:bidi="ar"/>
        </w:rPr>
        <w:t>供应商名称：                    （公章）</w:t>
      </w:r>
    </w:p>
    <w:p>
      <w:pPr>
        <w:spacing w:line="360" w:lineRule="auto"/>
        <w:jc w:val="right"/>
        <w:rPr>
          <w:rFonts w:hint="eastAsia" w:ascii="宋体" w:hAnsi="宋体"/>
          <w:color w:val="000000"/>
          <w:sz w:val="24"/>
          <w:szCs w:val="24"/>
        </w:rPr>
      </w:pPr>
    </w:p>
    <w:p>
      <w:pPr>
        <w:spacing w:line="360" w:lineRule="auto"/>
        <w:jc w:val="right"/>
        <w:rPr>
          <w:rFonts w:hint="eastAsia" w:ascii="宋体" w:hAnsi="宋体"/>
          <w:color w:val="000000"/>
          <w:sz w:val="24"/>
          <w:szCs w:val="24"/>
        </w:rPr>
      </w:pPr>
      <w:r>
        <w:rPr>
          <w:rFonts w:hint="eastAsia" w:ascii="宋体" w:hAnsi="宋体"/>
          <w:color w:val="000000"/>
          <w:sz w:val="24"/>
          <w:szCs w:val="24"/>
          <w:lang w:bidi="ar"/>
        </w:rPr>
        <w:t>法定代表人或授权委托人：              （签字或盖章）</w:t>
      </w:r>
    </w:p>
    <w:p>
      <w:pPr>
        <w:spacing w:line="360" w:lineRule="auto"/>
        <w:jc w:val="right"/>
        <w:rPr>
          <w:rFonts w:hint="eastAsia" w:ascii="宋体" w:hAnsi="宋体"/>
          <w:color w:val="000000"/>
          <w:sz w:val="24"/>
          <w:szCs w:val="24"/>
        </w:rPr>
      </w:pPr>
    </w:p>
    <w:p>
      <w:pPr>
        <w:spacing w:line="360" w:lineRule="auto"/>
        <w:jc w:val="right"/>
        <w:rPr>
          <w:rFonts w:hint="eastAsia" w:ascii="宋体" w:hAnsi="宋体"/>
          <w:color w:val="000000"/>
          <w:sz w:val="24"/>
          <w:szCs w:val="24"/>
        </w:rPr>
      </w:pPr>
      <w:r>
        <w:rPr>
          <w:rFonts w:hint="eastAsia" w:ascii="宋体" w:hAnsi="宋体"/>
          <w:color w:val="000000"/>
          <w:sz w:val="24"/>
          <w:szCs w:val="24"/>
          <w:lang w:bidi="ar"/>
        </w:rPr>
        <w:t>日期：202</w:t>
      </w:r>
      <w:r>
        <w:rPr>
          <w:rFonts w:hint="eastAsia"/>
          <w:color w:val="000000"/>
          <w:sz w:val="24"/>
          <w:szCs w:val="24"/>
          <w:lang w:bidi="ar"/>
        </w:rPr>
        <w:t>2</w:t>
      </w:r>
      <w:r>
        <w:rPr>
          <w:rFonts w:hint="eastAsia" w:ascii="宋体" w:hAnsi="宋体"/>
          <w:color w:val="000000"/>
          <w:sz w:val="24"/>
          <w:szCs w:val="24"/>
          <w:lang w:bidi="ar"/>
        </w:rPr>
        <w:t>年    月   日</w:t>
      </w: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hint="eastAsia" w:ascii="宋体" w:hAnsi="宋体"/>
          <w:b/>
          <w:sz w:val="24"/>
          <w:szCs w:val="24"/>
        </w:rPr>
      </w:pPr>
    </w:p>
    <w:p>
      <w:pPr>
        <w:snapToGrid w:val="0"/>
        <w:spacing w:line="360" w:lineRule="auto"/>
        <w:ind w:right="-33"/>
        <w:jc w:val="center"/>
        <w:textAlignment w:val="baseline"/>
        <w:rPr>
          <w:rFonts w:ascii="宋体" w:hAnsi="宋体"/>
          <w:b/>
          <w:sz w:val="24"/>
          <w:szCs w:val="24"/>
        </w:rPr>
      </w:pPr>
      <w:r>
        <w:rPr>
          <w:rFonts w:hint="eastAsia" w:ascii="宋体" w:hAnsi="宋体"/>
          <w:b/>
          <w:sz w:val="24"/>
          <w:szCs w:val="24"/>
        </w:rPr>
        <w:t>格式4、投标报价汇总表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6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148" w:type="dxa"/>
            <w:noWrap w:val="0"/>
            <w:vAlign w:val="top"/>
          </w:tcPr>
          <w:p>
            <w:pPr>
              <w:pStyle w:val="9"/>
              <w:ind w:right="-33"/>
              <w:textAlignment w:val="baseline"/>
              <w:rPr>
                <w:rFonts w:ascii="宋体" w:hAnsi="宋体" w:cs="宋体"/>
                <w:b/>
                <w:sz w:val="24"/>
              </w:rPr>
            </w:pPr>
          </w:p>
          <w:p>
            <w:pPr>
              <w:pStyle w:val="9"/>
              <w:ind w:right="-33"/>
              <w:jc w:val="center"/>
              <w:textAlignment w:val="baseline"/>
              <w:rPr>
                <w:rFonts w:ascii="宋体" w:hAnsi="宋体" w:cs="宋体"/>
                <w:b/>
                <w:sz w:val="24"/>
              </w:rPr>
            </w:pPr>
            <w:r>
              <w:rPr>
                <w:rFonts w:hint="eastAsia" w:ascii="宋体" w:hAnsi="宋体" w:cs="宋体"/>
                <w:b/>
                <w:sz w:val="24"/>
              </w:rPr>
              <w:t>项目名称</w:t>
            </w:r>
          </w:p>
        </w:tc>
        <w:tc>
          <w:tcPr>
            <w:tcW w:w="6374" w:type="dxa"/>
            <w:noWrap w:val="0"/>
            <w:vAlign w:val="top"/>
          </w:tcPr>
          <w:p>
            <w:pPr>
              <w:pStyle w:val="9"/>
              <w:ind w:right="-33"/>
              <w:textAlignment w:val="baseline"/>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148" w:type="dxa"/>
            <w:noWrap w:val="0"/>
            <w:vAlign w:val="top"/>
          </w:tcPr>
          <w:p>
            <w:pPr>
              <w:pStyle w:val="9"/>
              <w:ind w:right="-33"/>
              <w:textAlignment w:val="baseline"/>
              <w:rPr>
                <w:rFonts w:ascii="宋体" w:hAnsi="宋体" w:cs="宋体"/>
                <w:b/>
                <w:sz w:val="24"/>
              </w:rPr>
            </w:pPr>
          </w:p>
          <w:p>
            <w:pPr>
              <w:pStyle w:val="9"/>
              <w:ind w:right="-33"/>
              <w:jc w:val="center"/>
              <w:textAlignment w:val="baseline"/>
              <w:rPr>
                <w:rFonts w:ascii="宋体" w:hAnsi="宋体" w:cs="宋体"/>
                <w:b/>
                <w:sz w:val="24"/>
              </w:rPr>
            </w:pPr>
            <w:r>
              <w:rPr>
                <w:rFonts w:hint="eastAsia" w:ascii="宋体" w:hAnsi="宋体" w:cs="宋体"/>
                <w:b/>
                <w:sz w:val="24"/>
              </w:rPr>
              <w:t>投标单位全称</w:t>
            </w:r>
          </w:p>
        </w:tc>
        <w:tc>
          <w:tcPr>
            <w:tcW w:w="6374" w:type="dxa"/>
            <w:noWrap w:val="0"/>
            <w:vAlign w:val="top"/>
          </w:tcPr>
          <w:p>
            <w:pPr>
              <w:pStyle w:val="9"/>
              <w:ind w:right="-33"/>
              <w:textAlignment w:val="baseline"/>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2148" w:type="dxa"/>
            <w:noWrap w:val="0"/>
            <w:vAlign w:val="top"/>
          </w:tcPr>
          <w:p>
            <w:pPr>
              <w:pStyle w:val="9"/>
              <w:ind w:right="-33"/>
              <w:textAlignment w:val="baseline"/>
              <w:rPr>
                <w:rFonts w:ascii="宋体" w:hAnsi="宋体" w:cs="宋体"/>
                <w:b/>
                <w:sz w:val="24"/>
              </w:rPr>
            </w:pPr>
          </w:p>
          <w:p>
            <w:pPr>
              <w:pStyle w:val="9"/>
              <w:ind w:right="-33"/>
              <w:textAlignment w:val="baseline"/>
              <w:rPr>
                <w:rFonts w:ascii="宋体" w:hAnsi="宋体" w:cs="宋体"/>
                <w:b/>
                <w:sz w:val="24"/>
              </w:rPr>
            </w:pPr>
          </w:p>
          <w:p>
            <w:pPr>
              <w:pStyle w:val="9"/>
              <w:ind w:right="-33"/>
              <w:jc w:val="center"/>
              <w:textAlignment w:val="baseline"/>
              <w:rPr>
                <w:rFonts w:ascii="宋体" w:hAnsi="宋体" w:cs="宋体"/>
                <w:b/>
                <w:sz w:val="24"/>
              </w:rPr>
            </w:pPr>
            <w:r>
              <w:rPr>
                <w:rFonts w:hint="eastAsia" w:ascii="宋体" w:hAnsi="宋体" w:cs="宋体"/>
                <w:b/>
                <w:sz w:val="24"/>
              </w:rPr>
              <w:t>投标报价</w:t>
            </w:r>
          </w:p>
          <w:p>
            <w:pPr>
              <w:pStyle w:val="9"/>
              <w:ind w:right="-33"/>
              <w:jc w:val="center"/>
              <w:textAlignment w:val="baseline"/>
              <w:rPr>
                <w:rFonts w:ascii="宋体" w:hAnsi="宋体" w:cs="宋体"/>
                <w:b/>
                <w:sz w:val="24"/>
              </w:rPr>
            </w:pPr>
            <w:r>
              <w:rPr>
                <w:rFonts w:hint="eastAsia" w:ascii="宋体" w:hAnsi="宋体" w:cs="宋体"/>
                <w:b/>
                <w:sz w:val="24"/>
              </w:rPr>
              <w:t>（人民币）</w:t>
            </w:r>
          </w:p>
        </w:tc>
        <w:tc>
          <w:tcPr>
            <w:tcW w:w="6374" w:type="dxa"/>
            <w:noWrap w:val="0"/>
            <w:vAlign w:val="top"/>
          </w:tcPr>
          <w:p>
            <w:pPr>
              <w:pStyle w:val="9"/>
              <w:ind w:right="-33"/>
              <w:textAlignment w:val="baseline"/>
              <w:rPr>
                <w:rFonts w:ascii="宋体" w:hAnsi="宋体" w:cs="宋体"/>
                <w:sz w:val="24"/>
              </w:rPr>
            </w:pPr>
          </w:p>
          <w:p>
            <w:pPr>
              <w:pStyle w:val="9"/>
              <w:ind w:right="-33"/>
              <w:textAlignment w:val="baseline"/>
              <w:rPr>
                <w:rFonts w:ascii="宋体" w:hAnsi="宋体" w:cs="宋体"/>
                <w:sz w:val="24"/>
              </w:rPr>
            </w:pPr>
            <w:r>
              <w:rPr>
                <w:rFonts w:hint="eastAsia" w:ascii="宋体" w:hAnsi="宋体" w:cs="宋体"/>
                <w:sz w:val="24"/>
              </w:rPr>
              <w:t>大写：元</w:t>
            </w:r>
          </w:p>
          <w:p>
            <w:pPr>
              <w:pStyle w:val="9"/>
              <w:ind w:right="-33"/>
              <w:textAlignment w:val="baseline"/>
              <w:rPr>
                <w:rFonts w:ascii="宋体" w:hAnsi="宋体" w:cs="宋体"/>
                <w:sz w:val="24"/>
              </w:rPr>
            </w:pPr>
          </w:p>
          <w:p>
            <w:pPr>
              <w:pStyle w:val="9"/>
              <w:ind w:right="-33"/>
              <w:textAlignment w:val="baseline"/>
              <w:rPr>
                <w:rFonts w:ascii="宋体" w:hAnsi="宋体" w:cs="宋体"/>
                <w:sz w:val="24"/>
              </w:rPr>
            </w:pPr>
            <w:r>
              <w:rPr>
                <w:rFonts w:hint="eastAsia" w:ascii="宋体" w:hAnsi="宋体" w:cs="宋体"/>
                <w:sz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2148" w:type="dxa"/>
            <w:noWrap w:val="0"/>
            <w:vAlign w:val="top"/>
          </w:tcPr>
          <w:p>
            <w:pPr>
              <w:pStyle w:val="9"/>
              <w:ind w:right="-33"/>
              <w:textAlignment w:val="baseline"/>
              <w:rPr>
                <w:rFonts w:ascii="宋体" w:hAnsi="宋体" w:cs="宋体"/>
                <w:b/>
                <w:sz w:val="24"/>
              </w:rPr>
            </w:pPr>
          </w:p>
          <w:p>
            <w:pPr>
              <w:pStyle w:val="9"/>
              <w:ind w:right="-33"/>
              <w:textAlignment w:val="baseline"/>
              <w:rPr>
                <w:rFonts w:ascii="宋体" w:hAnsi="宋体" w:cs="宋体"/>
                <w:b/>
                <w:sz w:val="24"/>
              </w:rPr>
            </w:pPr>
          </w:p>
          <w:p>
            <w:pPr>
              <w:pStyle w:val="9"/>
              <w:ind w:right="-33"/>
              <w:textAlignment w:val="baseline"/>
              <w:rPr>
                <w:rFonts w:ascii="宋体" w:hAnsi="宋体" w:cs="宋体"/>
                <w:b/>
                <w:sz w:val="24"/>
              </w:rPr>
            </w:pPr>
          </w:p>
          <w:p>
            <w:pPr>
              <w:pStyle w:val="9"/>
              <w:ind w:right="-33"/>
              <w:jc w:val="center"/>
              <w:textAlignment w:val="baseline"/>
              <w:rPr>
                <w:rFonts w:ascii="宋体" w:hAnsi="宋体" w:cs="宋体"/>
                <w:b/>
                <w:sz w:val="24"/>
              </w:rPr>
            </w:pPr>
            <w:r>
              <w:rPr>
                <w:rFonts w:hint="eastAsia" w:ascii="宋体" w:hAnsi="宋体" w:cs="宋体"/>
                <w:b/>
                <w:sz w:val="24"/>
              </w:rPr>
              <w:t>备注</w:t>
            </w:r>
          </w:p>
        </w:tc>
        <w:tc>
          <w:tcPr>
            <w:tcW w:w="6374" w:type="dxa"/>
            <w:noWrap w:val="0"/>
            <w:vAlign w:val="top"/>
          </w:tcPr>
          <w:p>
            <w:pPr>
              <w:pStyle w:val="9"/>
              <w:ind w:right="-33"/>
              <w:textAlignment w:val="baseline"/>
              <w:rPr>
                <w:rFonts w:ascii="宋体" w:hAnsi="宋体" w:cs="宋体"/>
                <w:sz w:val="24"/>
              </w:rPr>
            </w:pPr>
          </w:p>
        </w:tc>
      </w:tr>
    </w:tbl>
    <w:p>
      <w:pPr>
        <w:snapToGrid w:val="0"/>
        <w:spacing w:line="408" w:lineRule="auto"/>
        <w:ind w:right="-33"/>
        <w:jc w:val="right"/>
        <w:textAlignment w:val="baseline"/>
        <w:rPr>
          <w:rFonts w:ascii="宋体" w:hAnsi="宋体"/>
          <w:sz w:val="24"/>
          <w:szCs w:val="24"/>
        </w:rPr>
      </w:pPr>
      <w:r>
        <w:rPr>
          <w:rFonts w:hint="eastAsia" w:ascii="宋体" w:hAnsi="宋体"/>
          <w:sz w:val="24"/>
          <w:szCs w:val="24"/>
        </w:rPr>
        <w:t>供应商：</w:t>
      </w:r>
      <w:r>
        <w:rPr>
          <w:rFonts w:hint="eastAsia" w:ascii="宋体" w:hAnsi="宋体"/>
          <w:sz w:val="24"/>
          <w:szCs w:val="24"/>
          <w:u w:val="single" w:color="000000"/>
        </w:rPr>
        <w:t>（盖公章）</w:t>
      </w:r>
    </w:p>
    <w:p>
      <w:pPr>
        <w:snapToGrid w:val="0"/>
        <w:spacing w:line="408" w:lineRule="auto"/>
        <w:ind w:right="-33"/>
        <w:jc w:val="right"/>
        <w:textAlignment w:val="baseline"/>
        <w:rPr>
          <w:rFonts w:hint="eastAsia" w:ascii="宋体" w:hAnsi="宋体" w:cs="Times New Roman"/>
          <w:b/>
          <w:bCs/>
          <w:sz w:val="24"/>
          <w:szCs w:val="24"/>
          <w:highlight w:val="white"/>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jc w:val="center"/>
        <w:rPr>
          <w:rFonts w:hint="eastAsia" w:ascii="宋体" w:hAnsi="宋体" w:cs="Times New Roman"/>
          <w:b/>
          <w:bCs/>
          <w:sz w:val="24"/>
          <w:szCs w:val="24"/>
          <w:highlight w:val="white"/>
        </w:rPr>
      </w:pPr>
    </w:p>
    <w:p>
      <w:pPr>
        <w:pStyle w:val="2"/>
        <w:rPr>
          <w:rFonts w:hint="eastAsia" w:hAnsi="宋体"/>
          <w:b/>
          <w:bCs/>
          <w:sz w:val="24"/>
          <w:szCs w:val="24"/>
          <w:highlight w:val="white"/>
        </w:rPr>
      </w:pPr>
    </w:p>
    <w:p>
      <w:pPr>
        <w:pStyle w:val="3"/>
        <w:rPr>
          <w:rFonts w:hint="eastAsia" w:ascii="宋体" w:hAnsi="宋体" w:cs="Times New Roman"/>
          <w:b/>
          <w:bCs/>
          <w:sz w:val="24"/>
          <w:highlight w:val="white"/>
        </w:rPr>
      </w:pPr>
    </w:p>
    <w:p>
      <w:pPr>
        <w:rPr>
          <w:rFonts w:hint="eastAsia" w:ascii="宋体" w:hAnsi="宋体" w:cs="Times New Roman"/>
          <w:b/>
          <w:bCs/>
          <w:sz w:val="24"/>
          <w:szCs w:val="24"/>
          <w:highlight w:val="white"/>
        </w:rPr>
      </w:pPr>
    </w:p>
    <w:p>
      <w:pPr>
        <w:pStyle w:val="2"/>
        <w:rPr>
          <w:rFonts w:hint="eastAsia" w:hAnsi="宋体"/>
          <w:b/>
          <w:bCs/>
          <w:sz w:val="24"/>
          <w:szCs w:val="24"/>
          <w:highlight w:val="white"/>
        </w:rPr>
      </w:pPr>
    </w:p>
    <w:p>
      <w:pPr>
        <w:pStyle w:val="3"/>
        <w:rPr>
          <w:rFonts w:hint="eastAsia" w:ascii="宋体" w:hAnsi="宋体" w:cs="Times New Roman"/>
          <w:b/>
          <w:bCs/>
          <w:sz w:val="24"/>
          <w:highlight w:val="white"/>
        </w:rPr>
      </w:pPr>
    </w:p>
    <w:p>
      <w:pPr>
        <w:rPr>
          <w:rFonts w:hint="eastAsia" w:ascii="宋体" w:hAnsi="宋体" w:cs="Times New Roman"/>
          <w:b/>
          <w:bCs/>
          <w:sz w:val="24"/>
          <w:szCs w:val="24"/>
          <w:highlight w:val="white"/>
        </w:rPr>
      </w:pPr>
    </w:p>
    <w:p>
      <w:pPr>
        <w:pStyle w:val="2"/>
        <w:rPr>
          <w:rFonts w:hint="eastAsia" w:hAnsi="宋体"/>
          <w:b/>
          <w:bCs/>
          <w:sz w:val="24"/>
          <w:szCs w:val="24"/>
          <w:highlight w:val="white"/>
        </w:rPr>
      </w:pPr>
    </w:p>
    <w:p>
      <w:pPr>
        <w:pStyle w:val="3"/>
        <w:rPr>
          <w:rFonts w:hint="eastAsia" w:ascii="宋体" w:hAnsi="宋体" w:cs="Times New Roman"/>
          <w:b/>
          <w:bCs/>
          <w:sz w:val="24"/>
          <w:highlight w:val="white"/>
        </w:rPr>
      </w:pPr>
    </w:p>
    <w:p>
      <w:pPr>
        <w:rPr>
          <w:rFonts w:hint="eastAsia" w:ascii="宋体" w:hAnsi="宋体" w:cs="Times New Roman"/>
          <w:b/>
          <w:bCs/>
          <w:sz w:val="24"/>
          <w:szCs w:val="24"/>
          <w:highlight w:val="white"/>
        </w:rPr>
      </w:pPr>
    </w:p>
    <w:p>
      <w:pPr>
        <w:pStyle w:val="2"/>
        <w:rPr>
          <w:rFonts w:hint="eastAsia" w:hAnsi="宋体"/>
          <w:b/>
          <w:bCs/>
          <w:sz w:val="24"/>
          <w:szCs w:val="24"/>
          <w:highlight w:val="white"/>
        </w:rPr>
      </w:pPr>
    </w:p>
    <w:p>
      <w:pPr>
        <w:pStyle w:val="3"/>
        <w:rPr>
          <w:rFonts w:hint="eastAsia" w:ascii="宋体" w:hAnsi="宋体" w:cs="Times New Roman"/>
          <w:b/>
          <w:bCs/>
          <w:sz w:val="24"/>
          <w:highlight w:val="white"/>
        </w:rPr>
      </w:pPr>
    </w:p>
    <w:p>
      <w:pPr>
        <w:spacing w:line="360" w:lineRule="auto"/>
        <w:jc w:val="center"/>
        <w:rPr>
          <w:rFonts w:hint="eastAsia" w:ascii="宋体" w:hAnsi="宋体" w:cs="Times New Roman"/>
          <w:b/>
          <w:bCs/>
          <w:sz w:val="24"/>
          <w:szCs w:val="24"/>
          <w:lang w:val="zh-CN"/>
        </w:rPr>
      </w:pPr>
      <w:r>
        <w:rPr>
          <w:rFonts w:hint="eastAsia" w:ascii="宋体" w:hAnsi="宋体" w:cs="Times New Roman"/>
          <w:b/>
          <w:bCs/>
          <w:sz w:val="24"/>
          <w:szCs w:val="24"/>
          <w:highlight w:val="white"/>
          <w:lang w:val="zh-CN"/>
        </w:rPr>
        <w:t>格式</w:t>
      </w:r>
      <w:r>
        <w:rPr>
          <w:rFonts w:hint="eastAsia" w:ascii="宋体" w:hAnsi="宋体" w:cs="Times New Roman"/>
          <w:b/>
          <w:bCs/>
          <w:sz w:val="24"/>
          <w:szCs w:val="24"/>
        </w:rPr>
        <w:t>5</w:t>
      </w:r>
      <w:r>
        <w:rPr>
          <w:rFonts w:hint="eastAsia" w:ascii="宋体" w:hAnsi="宋体" w:cs="Times New Roman"/>
          <w:b/>
          <w:bCs/>
          <w:sz w:val="24"/>
          <w:szCs w:val="24"/>
          <w:lang w:val="zh-CN"/>
        </w:rPr>
        <w:t>、</w:t>
      </w:r>
      <w:r>
        <w:rPr>
          <w:rFonts w:hint="eastAsia" w:ascii="宋体" w:hAnsi="宋体" w:cs="Times New Roman"/>
          <w:b/>
          <w:bCs/>
          <w:sz w:val="24"/>
          <w:szCs w:val="24"/>
          <w:highlight w:val="white"/>
        </w:rPr>
        <w:t>供应商资格证明及评审所需材料</w:t>
      </w:r>
    </w:p>
    <w:p>
      <w:pPr>
        <w:spacing w:line="360" w:lineRule="auto"/>
        <w:jc w:val="left"/>
        <w:rPr>
          <w:rFonts w:hint="eastAsia" w:ascii="宋体" w:hAnsi="宋体" w:cs="Times New Roman"/>
          <w:b/>
          <w:bCs/>
          <w:sz w:val="24"/>
          <w:szCs w:val="24"/>
          <w:lang w:val="zh-CN"/>
        </w:rPr>
      </w:pPr>
      <w:r>
        <w:rPr>
          <w:rFonts w:hint="eastAsia" w:ascii="宋体" w:hAnsi="宋体"/>
          <w:sz w:val="24"/>
          <w:szCs w:val="24"/>
        </w:rPr>
        <w:t>供应商应仔细查看招标公告、评标办法及招标文件中需提供的资料，确保提供齐全。（加盖公章）</w:t>
      </w:r>
    </w:p>
    <w:p>
      <w:pPr>
        <w:spacing w:line="360" w:lineRule="auto"/>
        <w:jc w:val="center"/>
        <w:rPr>
          <w:rFonts w:hint="eastAsia" w:ascii="宋体" w:hAnsi="宋体" w:cs="Times New Roman"/>
          <w:b/>
          <w:bCs/>
          <w:sz w:val="24"/>
          <w:szCs w:val="24"/>
          <w:highlight w:val="white"/>
        </w:rPr>
      </w:pPr>
    </w:p>
    <w:p>
      <w:pPr>
        <w:spacing w:line="360" w:lineRule="auto"/>
        <w:jc w:val="center"/>
        <w:rPr>
          <w:rFonts w:hint="eastAsia" w:ascii="宋体" w:hAnsi="宋体" w:cs="Times New Roman"/>
          <w:b/>
          <w:bCs/>
          <w:sz w:val="24"/>
          <w:szCs w:val="24"/>
          <w:highlight w:val="white"/>
        </w:rPr>
      </w:pPr>
    </w:p>
    <w:p>
      <w:pPr>
        <w:spacing w:line="360" w:lineRule="auto"/>
        <w:jc w:val="center"/>
        <w:rPr>
          <w:rFonts w:hint="eastAsia" w:ascii="宋体" w:hAnsi="宋体" w:cs="Times New Roman"/>
          <w:b/>
          <w:bCs/>
          <w:sz w:val="24"/>
          <w:szCs w:val="24"/>
          <w:highlight w:val="white"/>
        </w:rPr>
      </w:pPr>
    </w:p>
    <w:p>
      <w:pPr>
        <w:spacing w:line="360" w:lineRule="auto"/>
        <w:jc w:val="center"/>
        <w:rPr>
          <w:rFonts w:hint="eastAsia" w:ascii="宋体" w:hAnsi="宋体" w:cs="Times New Roman"/>
          <w:b/>
          <w:bCs/>
          <w:sz w:val="24"/>
          <w:szCs w:val="24"/>
          <w:highlight w:val="white"/>
        </w:rPr>
      </w:pPr>
    </w:p>
    <w:p>
      <w:pPr>
        <w:spacing w:line="360" w:lineRule="auto"/>
        <w:jc w:val="center"/>
        <w:rPr>
          <w:rFonts w:hint="eastAsia" w:ascii="宋体" w:hAnsi="宋体" w:cs="Times New Roman"/>
          <w:b/>
          <w:bCs/>
          <w:sz w:val="24"/>
          <w:szCs w:val="24"/>
          <w:highlight w:val="white"/>
        </w:rPr>
      </w:pPr>
    </w:p>
    <w:p>
      <w:pPr>
        <w:spacing w:line="360" w:lineRule="auto"/>
        <w:jc w:val="center"/>
        <w:rPr>
          <w:rFonts w:hint="eastAsia" w:ascii="宋体" w:hAnsi="宋体" w:cs="Times New Roman"/>
          <w:b/>
          <w:bCs/>
          <w:sz w:val="24"/>
          <w:szCs w:val="24"/>
        </w:rPr>
      </w:pPr>
      <w:r>
        <w:rPr>
          <w:rFonts w:hint="eastAsia" w:ascii="宋体" w:hAnsi="宋体" w:cs="Times New Roman"/>
          <w:b/>
          <w:bCs/>
          <w:sz w:val="24"/>
          <w:szCs w:val="24"/>
          <w:highlight w:val="white"/>
        </w:rPr>
        <w:t>格式6、类似业绩</w:t>
      </w:r>
    </w:p>
    <w:p>
      <w:pPr>
        <w:snapToGrid w:val="0"/>
        <w:ind w:right="-33"/>
        <w:jc w:val="center"/>
        <w:textAlignment w:val="baseline"/>
        <w:rPr>
          <w:rFonts w:ascii="宋体" w:hAnsi="宋体"/>
          <w:sz w:val="24"/>
          <w:szCs w:val="24"/>
        </w:rPr>
      </w:pPr>
      <w:r>
        <w:rPr>
          <w:rFonts w:hint="eastAsia" w:ascii="宋体" w:hAnsi="宋体"/>
          <w:sz w:val="24"/>
          <w:szCs w:val="24"/>
        </w:rPr>
        <w:t>（自 年 月 日以来）</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2574"/>
        <w:gridCol w:w="1335"/>
        <w:gridCol w:w="1515"/>
        <w:gridCol w:w="84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21" w:type="dxa"/>
            <w:noWrap/>
            <w:vAlign w:val="center"/>
          </w:tcPr>
          <w:p>
            <w:pPr>
              <w:snapToGrid w:val="0"/>
              <w:ind w:right="-33"/>
              <w:jc w:val="center"/>
              <w:textAlignment w:val="baseline"/>
              <w:rPr>
                <w:rFonts w:ascii="宋体" w:hAnsi="宋体"/>
                <w:sz w:val="24"/>
                <w:szCs w:val="24"/>
              </w:rPr>
            </w:pPr>
            <w:r>
              <w:rPr>
                <w:rFonts w:hint="eastAsia" w:ascii="宋体" w:hAnsi="宋体"/>
                <w:sz w:val="24"/>
                <w:szCs w:val="24"/>
              </w:rPr>
              <w:t>序号</w:t>
            </w:r>
          </w:p>
        </w:tc>
        <w:tc>
          <w:tcPr>
            <w:tcW w:w="1979" w:type="dxa"/>
            <w:noWrap/>
            <w:vAlign w:val="center"/>
          </w:tcPr>
          <w:p>
            <w:pPr>
              <w:snapToGrid w:val="0"/>
              <w:ind w:right="-33"/>
              <w:jc w:val="center"/>
              <w:textAlignment w:val="baseline"/>
              <w:rPr>
                <w:rFonts w:ascii="宋体" w:hAnsi="宋体"/>
                <w:sz w:val="24"/>
                <w:szCs w:val="24"/>
              </w:rPr>
            </w:pPr>
            <w:r>
              <w:rPr>
                <w:rFonts w:hint="eastAsia" w:ascii="宋体" w:hAnsi="宋体"/>
                <w:sz w:val="24"/>
                <w:szCs w:val="24"/>
              </w:rPr>
              <w:t>业主名称</w:t>
            </w:r>
          </w:p>
        </w:tc>
        <w:tc>
          <w:tcPr>
            <w:tcW w:w="2574" w:type="dxa"/>
            <w:noWrap/>
            <w:vAlign w:val="center"/>
          </w:tcPr>
          <w:p>
            <w:pPr>
              <w:snapToGrid w:val="0"/>
              <w:ind w:right="-33"/>
              <w:jc w:val="center"/>
              <w:textAlignment w:val="baseline"/>
              <w:rPr>
                <w:rFonts w:ascii="宋体" w:hAnsi="宋体"/>
                <w:sz w:val="24"/>
                <w:szCs w:val="24"/>
              </w:rPr>
            </w:pPr>
            <w:r>
              <w:rPr>
                <w:rFonts w:hint="eastAsia" w:ascii="宋体" w:hAnsi="宋体"/>
                <w:sz w:val="24"/>
                <w:szCs w:val="24"/>
              </w:rPr>
              <w:t>项目名称</w:t>
            </w:r>
          </w:p>
        </w:tc>
        <w:tc>
          <w:tcPr>
            <w:tcW w:w="1335" w:type="dxa"/>
            <w:noWrap/>
            <w:vAlign w:val="center"/>
          </w:tcPr>
          <w:p>
            <w:pPr>
              <w:snapToGrid w:val="0"/>
              <w:ind w:right="-33"/>
              <w:jc w:val="center"/>
              <w:textAlignment w:val="baseline"/>
              <w:rPr>
                <w:rFonts w:ascii="宋体" w:hAnsi="宋体"/>
                <w:sz w:val="24"/>
                <w:szCs w:val="24"/>
              </w:rPr>
            </w:pPr>
            <w:r>
              <w:rPr>
                <w:rFonts w:hint="eastAsia" w:ascii="宋体" w:hAnsi="宋体"/>
                <w:sz w:val="24"/>
                <w:szCs w:val="24"/>
              </w:rPr>
              <w:t>联系人</w:t>
            </w:r>
          </w:p>
        </w:tc>
        <w:tc>
          <w:tcPr>
            <w:tcW w:w="1515" w:type="dxa"/>
            <w:noWrap/>
            <w:vAlign w:val="center"/>
          </w:tcPr>
          <w:p>
            <w:pPr>
              <w:snapToGrid w:val="0"/>
              <w:ind w:right="-33"/>
              <w:jc w:val="center"/>
              <w:textAlignment w:val="baseline"/>
              <w:rPr>
                <w:rFonts w:ascii="宋体" w:hAnsi="宋体"/>
                <w:sz w:val="24"/>
                <w:szCs w:val="24"/>
              </w:rPr>
            </w:pPr>
            <w:r>
              <w:rPr>
                <w:rFonts w:hint="eastAsia" w:ascii="宋体" w:hAnsi="宋体"/>
                <w:sz w:val="24"/>
                <w:szCs w:val="24"/>
              </w:rPr>
              <w:t>联系方式</w:t>
            </w:r>
          </w:p>
        </w:tc>
        <w:tc>
          <w:tcPr>
            <w:tcW w:w="840" w:type="dxa"/>
            <w:noWrap/>
            <w:vAlign w:val="center"/>
          </w:tcPr>
          <w:p>
            <w:pPr>
              <w:snapToGrid w:val="0"/>
              <w:ind w:right="-33"/>
              <w:jc w:val="center"/>
              <w:textAlignment w:val="baseline"/>
              <w:rPr>
                <w:rFonts w:ascii="宋体" w:hAnsi="宋体"/>
                <w:sz w:val="24"/>
                <w:szCs w:val="24"/>
              </w:rPr>
            </w:pPr>
            <w:r>
              <w:rPr>
                <w:rFonts w:hint="eastAsia" w:ascii="宋体" w:hAnsi="宋体"/>
                <w:sz w:val="24"/>
                <w:szCs w:val="24"/>
              </w:rPr>
              <w:t>完成情况</w:t>
            </w:r>
          </w:p>
        </w:tc>
        <w:tc>
          <w:tcPr>
            <w:tcW w:w="1115" w:type="dxa"/>
            <w:noWrap/>
            <w:vAlign w:val="center"/>
          </w:tcPr>
          <w:p>
            <w:pPr>
              <w:snapToGrid w:val="0"/>
              <w:ind w:right="-33"/>
              <w:jc w:val="center"/>
              <w:textAlignment w:val="baseline"/>
              <w:rPr>
                <w:rFonts w:ascii="宋体" w:hAnsi="宋体"/>
                <w:sz w:val="24"/>
                <w:szCs w:val="24"/>
              </w:rPr>
            </w:pPr>
            <w:r>
              <w:rPr>
                <w:rFonts w:hint="eastAsia" w:ascii="宋体" w:hAnsi="宋体"/>
                <w:sz w:val="24"/>
                <w:szCs w:val="24"/>
              </w:rPr>
              <w:t>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ign w:val="center"/>
          </w:tcPr>
          <w:p>
            <w:pPr>
              <w:snapToGrid w:val="0"/>
              <w:ind w:right="-33"/>
              <w:jc w:val="center"/>
              <w:textAlignment w:val="baseline"/>
              <w:rPr>
                <w:rFonts w:ascii="宋体" w:hAnsi="宋体"/>
                <w:sz w:val="24"/>
                <w:szCs w:val="24"/>
              </w:rPr>
            </w:pPr>
          </w:p>
        </w:tc>
        <w:tc>
          <w:tcPr>
            <w:tcW w:w="1979" w:type="dxa"/>
            <w:noWrap/>
            <w:vAlign w:val="center"/>
          </w:tcPr>
          <w:p>
            <w:pPr>
              <w:snapToGrid w:val="0"/>
              <w:ind w:right="-33"/>
              <w:jc w:val="center"/>
              <w:textAlignment w:val="baseline"/>
              <w:rPr>
                <w:rFonts w:ascii="宋体" w:hAnsi="宋体"/>
                <w:sz w:val="24"/>
                <w:szCs w:val="24"/>
              </w:rPr>
            </w:pPr>
          </w:p>
        </w:tc>
        <w:tc>
          <w:tcPr>
            <w:tcW w:w="2574" w:type="dxa"/>
            <w:noWrap/>
            <w:vAlign w:val="center"/>
          </w:tcPr>
          <w:p>
            <w:pPr>
              <w:snapToGrid w:val="0"/>
              <w:ind w:right="-33"/>
              <w:jc w:val="center"/>
              <w:textAlignment w:val="baseline"/>
              <w:rPr>
                <w:rFonts w:ascii="宋体" w:hAnsi="宋体"/>
                <w:sz w:val="24"/>
                <w:szCs w:val="24"/>
              </w:rPr>
            </w:pPr>
          </w:p>
        </w:tc>
        <w:tc>
          <w:tcPr>
            <w:tcW w:w="1335" w:type="dxa"/>
            <w:noWrap/>
            <w:vAlign w:val="center"/>
          </w:tcPr>
          <w:p>
            <w:pPr>
              <w:snapToGrid w:val="0"/>
              <w:ind w:right="-33"/>
              <w:jc w:val="center"/>
              <w:textAlignment w:val="baseline"/>
              <w:rPr>
                <w:rFonts w:ascii="宋体" w:hAnsi="宋体"/>
                <w:sz w:val="24"/>
                <w:szCs w:val="24"/>
              </w:rPr>
            </w:pPr>
          </w:p>
        </w:tc>
        <w:tc>
          <w:tcPr>
            <w:tcW w:w="1515" w:type="dxa"/>
            <w:noWrap/>
            <w:vAlign w:val="center"/>
          </w:tcPr>
          <w:p>
            <w:pPr>
              <w:snapToGrid w:val="0"/>
              <w:ind w:right="-33"/>
              <w:jc w:val="center"/>
              <w:textAlignment w:val="baseline"/>
              <w:rPr>
                <w:rFonts w:ascii="宋体" w:hAnsi="宋体"/>
                <w:sz w:val="24"/>
                <w:szCs w:val="24"/>
              </w:rPr>
            </w:pPr>
          </w:p>
        </w:tc>
        <w:tc>
          <w:tcPr>
            <w:tcW w:w="840" w:type="dxa"/>
            <w:noWrap/>
            <w:vAlign w:val="center"/>
          </w:tcPr>
          <w:p>
            <w:pPr>
              <w:snapToGrid w:val="0"/>
              <w:ind w:right="-33"/>
              <w:jc w:val="center"/>
              <w:textAlignment w:val="baseline"/>
              <w:rPr>
                <w:rFonts w:ascii="宋体" w:hAnsi="宋体"/>
                <w:sz w:val="24"/>
                <w:szCs w:val="24"/>
              </w:rPr>
            </w:pPr>
          </w:p>
        </w:tc>
        <w:tc>
          <w:tcPr>
            <w:tcW w:w="1115" w:type="dxa"/>
            <w:noWrap/>
            <w:vAlign w:val="center"/>
          </w:tcPr>
          <w:p>
            <w:pPr>
              <w:snapToGrid w:val="0"/>
              <w:ind w:right="-33"/>
              <w:jc w:val="center"/>
              <w:textAlignment w:val="baseline"/>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ign w:val="center"/>
          </w:tcPr>
          <w:p>
            <w:pPr>
              <w:snapToGrid w:val="0"/>
              <w:ind w:right="-33"/>
              <w:jc w:val="center"/>
              <w:textAlignment w:val="baseline"/>
              <w:rPr>
                <w:rFonts w:ascii="宋体" w:hAnsi="宋体"/>
                <w:sz w:val="24"/>
                <w:szCs w:val="24"/>
              </w:rPr>
            </w:pPr>
          </w:p>
        </w:tc>
        <w:tc>
          <w:tcPr>
            <w:tcW w:w="1979" w:type="dxa"/>
            <w:noWrap/>
            <w:vAlign w:val="center"/>
          </w:tcPr>
          <w:p>
            <w:pPr>
              <w:snapToGrid w:val="0"/>
              <w:ind w:right="-33"/>
              <w:jc w:val="center"/>
              <w:textAlignment w:val="baseline"/>
              <w:rPr>
                <w:rFonts w:ascii="宋体" w:hAnsi="宋体"/>
                <w:sz w:val="24"/>
                <w:szCs w:val="24"/>
              </w:rPr>
            </w:pPr>
          </w:p>
        </w:tc>
        <w:tc>
          <w:tcPr>
            <w:tcW w:w="2574" w:type="dxa"/>
            <w:noWrap/>
            <w:vAlign w:val="center"/>
          </w:tcPr>
          <w:p>
            <w:pPr>
              <w:snapToGrid w:val="0"/>
              <w:ind w:right="-33"/>
              <w:jc w:val="center"/>
              <w:textAlignment w:val="baseline"/>
              <w:rPr>
                <w:rFonts w:ascii="宋体" w:hAnsi="宋体"/>
                <w:sz w:val="24"/>
                <w:szCs w:val="24"/>
              </w:rPr>
            </w:pPr>
          </w:p>
        </w:tc>
        <w:tc>
          <w:tcPr>
            <w:tcW w:w="1335" w:type="dxa"/>
            <w:noWrap/>
            <w:vAlign w:val="center"/>
          </w:tcPr>
          <w:p>
            <w:pPr>
              <w:snapToGrid w:val="0"/>
              <w:ind w:right="-33"/>
              <w:jc w:val="center"/>
              <w:textAlignment w:val="baseline"/>
              <w:rPr>
                <w:rFonts w:ascii="宋体" w:hAnsi="宋体"/>
                <w:sz w:val="24"/>
                <w:szCs w:val="24"/>
              </w:rPr>
            </w:pPr>
          </w:p>
        </w:tc>
        <w:tc>
          <w:tcPr>
            <w:tcW w:w="1515" w:type="dxa"/>
            <w:noWrap/>
            <w:vAlign w:val="center"/>
          </w:tcPr>
          <w:p>
            <w:pPr>
              <w:snapToGrid w:val="0"/>
              <w:ind w:right="-33"/>
              <w:jc w:val="center"/>
              <w:textAlignment w:val="baseline"/>
              <w:rPr>
                <w:rFonts w:ascii="宋体" w:hAnsi="宋体"/>
                <w:sz w:val="24"/>
                <w:szCs w:val="24"/>
              </w:rPr>
            </w:pPr>
          </w:p>
        </w:tc>
        <w:tc>
          <w:tcPr>
            <w:tcW w:w="840" w:type="dxa"/>
            <w:noWrap/>
            <w:vAlign w:val="center"/>
          </w:tcPr>
          <w:p>
            <w:pPr>
              <w:snapToGrid w:val="0"/>
              <w:ind w:right="-33"/>
              <w:jc w:val="center"/>
              <w:textAlignment w:val="baseline"/>
              <w:rPr>
                <w:rFonts w:ascii="宋体" w:hAnsi="宋体"/>
                <w:sz w:val="24"/>
                <w:szCs w:val="24"/>
              </w:rPr>
            </w:pPr>
          </w:p>
        </w:tc>
        <w:tc>
          <w:tcPr>
            <w:tcW w:w="1115" w:type="dxa"/>
            <w:noWrap/>
            <w:vAlign w:val="center"/>
          </w:tcPr>
          <w:p>
            <w:pPr>
              <w:snapToGrid w:val="0"/>
              <w:ind w:right="-33"/>
              <w:jc w:val="center"/>
              <w:textAlignment w:val="baseline"/>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ign w:val="center"/>
          </w:tcPr>
          <w:p>
            <w:pPr>
              <w:snapToGrid w:val="0"/>
              <w:ind w:right="-33"/>
              <w:jc w:val="center"/>
              <w:textAlignment w:val="baseline"/>
              <w:rPr>
                <w:rFonts w:ascii="宋体" w:hAnsi="宋体"/>
                <w:sz w:val="24"/>
                <w:szCs w:val="24"/>
              </w:rPr>
            </w:pPr>
          </w:p>
        </w:tc>
        <w:tc>
          <w:tcPr>
            <w:tcW w:w="1979" w:type="dxa"/>
            <w:noWrap/>
            <w:vAlign w:val="center"/>
          </w:tcPr>
          <w:p>
            <w:pPr>
              <w:snapToGrid w:val="0"/>
              <w:ind w:right="-33"/>
              <w:jc w:val="center"/>
              <w:textAlignment w:val="baseline"/>
              <w:rPr>
                <w:rFonts w:ascii="宋体" w:hAnsi="宋体"/>
                <w:sz w:val="24"/>
                <w:szCs w:val="24"/>
              </w:rPr>
            </w:pPr>
          </w:p>
        </w:tc>
        <w:tc>
          <w:tcPr>
            <w:tcW w:w="2574" w:type="dxa"/>
            <w:noWrap/>
            <w:vAlign w:val="center"/>
          </w:tcPr>
          <w:p>
            <w:pPr>
              <w:snapToGrid w:val="0"/>
              <w:ind w:right="-33"/>
              <w:jc w:val="center"/>
              <w:textAlignment w:val="baseline"/>
              <w:rPr>
                <w:rFonts w:ascii="宋体" w:hAnsi="宋体"/>
                <w:sz w:val="24"/>
                <w:szCs w:val="24"/>
              </w:rPr>
            </w:pPr>
          </w:p>
        </w:tc>
        <w:tc>
          <w:tcPr>
            <w:tcW w:w="1335" w:type="dxa"/>
            <w:noWrap/>
            <w:vAlign w:val="center"/>
          </w:tcPr>
          <w:p>
            <w:pPr>
              <w:snapToGrid w:val="0"/>
              <w:ind w:right="-33"/>
              <w:jc w:val="center"/>
              <w:textAlignment w:val="baseline"/>
              <w:rPr>
                <w:rFonts w:ascii="宋体" w:hAnsi="宋体"/>
                <w:sz w:val="24"/>
                <w:szCs w:val="24"/>
              </w:rPr>
            </w:pPr>
          </w:p>
        </w:tc>
        <w:tc>
          <w:tcPr>
            <w:tcW w:w="1515" w:type="dxa"/>
            <w:noWrap/>
            <w:vAlign w:val="center"/>
          </w:tcPr>
          <w:p>
            <w:pPr>
              <w:snapToGrid w:val="0"/>
              <w:ind w:right="-33"/>
              <w:jc w:val="center"/>
              <w:textAlignment w:val="baseline"/>
              <w:rPr>
                <w:rFonts w:ascii="宋体" w:hAnsi="宋体"/>
                <w:sz w:val="24"/>
                <w:szCs w:val="24"/>
              </w:rPr>
            </w:pPr>
          </w:p>
        </w:tc>
        <w:tc>
          <w:tcPr>
            <w:tcW w:w="840" w:type="dxa"/>
            <w:noWrap/>
            <w:vAlign w:val="center"/>
          </w:tcPr>
          <w:p>
            <w:pPr>
              <w:snapToGrid w:val="0"/>
              <w:ind w:right="-33"/>
              <w:jc w:val="center"/>
              <w:textAlignment w:val="baseline"/>
              <w:rPr>
                <w:rFonts w:ascii="宋体" w:hAnsi="宋体"/>
                <w:sz w:val="24"/>
                <w:szCs w:val="24"/>
              </w:rPr>
            </w:pPr>
          </w:p>
        </w:tc>
        <w:tc>
          <w:tcPr>
            <w:tcW w:w="1115" w:type="dxa"/>
            <w:noWrap/>
            <w:vAlign w:val="center"/>
          </w:tcPr>
          <w:p>
            <w:pPr>
              <w:snapToGrid w:val="0"/>
              <w:ind w:right="-33"/>
              <w:jc w:val="center"/>
              <w:textAlignment w:val="baseline"/>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ign w:val="center"/>
          </w:tcPr>
          <w:p>
            <w:pPr>
              <w:snapToGrid w:val="0"/>
              <w:ind w:right="-33"/>
              <w:jc w:val="center"/>
              <w:textAlignment w:val="baseline"/>
              <w:rPr>
                <w:rFonts w:ascii="宋体" w:hAnsi="宋体"/>
                <w:sz w:val="24"/>
                <w:szCs w:val="24"/>
              </w:rPr>
            </w:pPr>
          </w:p>
        </w:tc>
        <w:tc>
          <w:tcPr>
            <w:tcW w:w="1979" w:type="dxa"/>
            <w:noWrap/>
            <w:vAlign w:val="center"/>
          </w:tcPr>
          <w:p>
            <w:pPr>
              <w:snapToGrid w:val="0"/>
              <w:ind w:right="-33"/>
              <w:jc w:val="center"/>
              <w:textAlignment w:val="baseline"/>
              <w:rPr>
                <w:rFonts w:ascii="宋体" w:hAnsi="宋体"/>
                <w:sz w:val="24"/>
                <w:szCs w:val="24"/>
              </w:rPr>
            </w:pPr>
          </w:p>
        </w:tc>
        <w:tc>
          <w:tcPr>
            <w:tcW w:w="2574" w:type="dxa"/>
            <w:noWrap/>
            <w:vAlign w:val="center"/>
          </w:tcPr>
          <w:p>
            <w:pPr>
              <w:snapToGrid w:val="0"/>
              <w:ind w:right="-33"/>
              <w:jc w:val="center"/>
              <w:textAlignment w:val="baseline"/>
              <w:rPr>
                <w:rFonts w:ascii="宋体" w:hAnsi="宋体"/>
                <w:sz w:val="24"/>
                <w:szCs w:val="24"/>
              </w:rPr>
            </w:pPr>
          </w:p>
        </w:tc>
        <w:tc>
          <w:tcPr>
            <w:tcW w:w="1335" w:type="dxa"/>
            <w:noWrap/>
            <w:vAlign w:val="center"/>
          </w:tcPr>
          <w:p>
            <w:pPr>
              <w:snapToGrid w:val="0"/>
              <w:ind w:right="-33"/>
              <w:jc w:val="center"/>
              <w:textAlignment w:val="baseline"/>
              <w:rPr>
                <w:rFonts w:ascii="宋体" w:hAnsi="宋体"/>
                <w:sz w:val="24"/>
                <w:szCs w:val="24"/>
              </w:rPr>
            </w:pPr>
          </w:p>
        </w:tc>
        <w:tc>
          <w:tcPr>
            <w:tcW w:w="1515" w:type="dxa"/>
            <w:noWrap/>
            <w:vAlign w:val="center"/>
          </w:tcPr>
          <w:p>
            <w:pPr>
              <w:snapToGrid w:val="0"/>
              <w:ind w:right="-33"/>
              <w:jc w:val="center"/>
              <w:textAlignment w:val="baseline"/>
              <w:rPr>
                <w:rFonts w:ascii="宋体" w:hAnsi="宋体"/>
                <w:sz w:val="24"/>
                <w:szCs w:val="24"/>
              </w:rPr>
            </w:pPr>
          </w:p>
        </w:tc>
        <w:tc>
          <w:tcPr>
            <w:tcW w:w="840" w:type="dxa"/>
            <w:noWrap/>
            <w:vAlign w:val="center"/>
          </w:tcPr>
          <w:p>
            <w:pPr>
              <w:snapToGrid w:val="0"/>
              <w:ind w:right="-33"/>
              <w:jc w:val="center"/>
              <w:textAlignment w:val="baseline"/>
              <w:rPr>
                <w:rFonts w:ascii="宋体" w:hAnsi="宋体"/>
                <w:sz w:val="24"/>
                <w:szCs w:val="24"/>
              </w:rPr>
            </w:pPr>
          </w:p>
        </w:tc>
        <w:tc>
          <w:tcPr>
            <w:tcW w:w="1115" w:type="dxa"/>
            <w:noWrap/>
            <w:vAlign w:val="center"/>
          </w:tcPr>
          <w:p>
            <w:pPr>
              <w:snapToGrid w:val="0"/>
              <w:ind w:right="-33"/>
              <w:jc w:val="center"/>
              <w:textAlignment w:val="baseline"/>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noWrap/>
            <w:vAlign w:val="center"/>
          </w:tcPr>
          <w:p>
            <w:pPr>
              <w:snapToGrid w:val="0"/>
              <w:ind w:right="-33"/>
              <w:jc w:val="center"/>
              <w:textAlignment w:val="baseline"/>
              <w:rPr>
                <w:rFonts w:ascii="宋体" w:hAnsi="宋体"/>
                <w:sz w:val="24"/>
                <w:szCs w:val="24"/>
              </w:rPr>
            </w:pPr>
          </w:p>
        </w:tc>
        <w:tc>
          <w:tcPr>
            <w:tcW w:w="1979" w:type="dxa"/>
            <w:noWrap/>
            <w:vAlign w:val="center"/>
          </w:tcPr>
          <w:p>
            <w:pPr>
              <w:snapToGrid w:val="0"/>
              <w:ind w:right="-33"/>
              <w:jc w:val="center"/>
              <w:textAlignment w:val="baseline"/>
              <w:rPr>
                <w:rFonts w:ascii="宋体" w:hAnsi="宋体"/>
                <w:sz w:val="24"/>
                <w:szCs w:val="24"/>
              </w:rPr>
            </w:pPr>
          </w:p>
        </w:tc>
        <w:tc>
          <w:tcPr>
            <w:tcW w:w="2574" w:type="dxa"/>
            <w:noWrap/>
            <w:vAlign w:val="center"/>
          </w:tcPr>
          <w:p>
            <w:pPr>
              <w:snapToGrid w:val="0"/>
              <w:ind w:right="-33"/>
              <w:jc w:val="center"/>
              <w:textAlignment w:val="baseline"/>
              <w:rPr>
                <w:rFonts w:ascii="宋体" w:hAnsi="宋体"/>
                <w:sz w:val="24"/>
                <w:szCs w:val="24"/>
              </w:rPr>
            </w:pPr>
          </w:p>
        </w:tc>
        <w:tc>
          <w:tcPr>
            <w:tcW w:w="1335" w:type="dxa"/>
            <w:noWrap/>
            <w:vAlign w:val="center"/>
          </w:tcPr>
          <w:p>
            <w:pPr>
              <w:snapToGrid w:val="0"/>
              <w:ind w:right="-33"/>
              <w:jc w:val="center"/>
              <w:textAlignment w:val="baseline"/>
              <w:rPr>
                <w:rFonts w:ascii="宋体" w:hAnsi="宋体"/>
                <w:sz w:val="24"/>
                <w:szCs w:val="24"/>
              </w:rPr>
            </w:pPr>
          </w:p>
        </w:tc>
        <w:tc>
          <w:tcPr>
            <w:tcW w:w="1515" w:type="dxa"/>
            <w:noWrap/>
            <w:vAlign w:val="center"/>
          </w:tcPr>
          <w:p>
            <w:pPr>
              <w:snapToGrid w:val="0"/>
              <w:ind w:right="-33"/>
              <w:jc w:val="center"/>
              <w:textAlignment w:val="baseline"/>
              <w:rPr>
                <w:rFonts w:ascii="宋体" w:hAnsi="宋体"/>
                <w:sz w:val="24"/>
                <w:szCs w:val="24"/>
              </w:rPr>
            </w:pPr>
          </w:p>
        </w:tc>
        <w:tc>
          <w:tcPr>
            <w:tcW w:w="840" w:type="dxa"/>
            <w:noWrap/>
            <w:vAlign w:val="center"/>
          </w:tcPr>
          <w:p>
            <w:pPr>
              <w:snapToGrid w:val="0"/>
              <w:ind w:right="-33"/>
              <w:jc w:val="center"/>
              <w:textAlignment w:val="baseline"/>
              <w:rPr>
                <w:rFonts w:ascii="宋体" w:hAnsi="宋体"/>
                <w:sz w:val="24"/>
                <w:szCs w:val="24"/>
              </w:rPr>
            </w:pPr>
          </w:p>
        </w:tc>
        <w:tc>
          <w:tcPr>
            <w:tcW w:w="1115" w:type="dxa"/>
            <w:noWrap/>
            <w:vAlign w:val="center"/>
          </w:tcPr>
          <w:p>
            <w:pPr>
              <w:snapToGrid w:val="0"/>
              <w:ind w:right="-33"/>
              <w:jc w:val="center"/>
              <w:textAlignment w:val="baseline"/>
              <w:rPr>
                <w:rFonts w:ascii="宋体" w:hAnsi="宋体"/>
                <w:sz w:val="24"/>
                <w:szCs w:val="24"/>
              </w:rPr>
            </w:pPr>
          </w:p>
        </w:tc>
      </w:tr>
    </w:tbl>
    <w:p>
      <w:pPr>
        <w:snapToGrid w:val="0"/>
        <w:ind w:right="-33"/>
        <w:jc w:val="left"/>
        <w:textAlignment w:val="baseline"/>
        <w:rPr>
          <w:rFonts w:hint="eastAsia" w:ascii="宋体" w:hAnsi="宋体"/>
          <w:sz w:val="24"/>
          <w:szCs w:val="24"/>
        </w:rPr>
      </w:pPr>
    </w:p>
    <w:p>
      <w:pPr>
        <w:snapToGrid w:val="0"/>
        <w:ind w:right="-33"/>
        <w:jc w:val="left"/>
        <w:textAlignment w:val="baseline"/>
        <w:rPr>
          <w:rFonts w:hint="eastAsia" w:ascii="宋体" w:hAnsi="宋体"/>
          <w:sz w:val="24"/>
          <w:szCs w:val="24"/>
        </w:rPr>
      </w:pPr>
      <w:r>
        <w:rPr>
          <w:rFonts w:hint="eastAsia" w:ascii="宋体" w:hAnsi="宋体"/>
          <w:sz w:val="24"/>
          <w:szCs w:val="24"/>
        </w:rPr>
        <w:t>附：证明材料</w:t>
      </w:r>
    </w:p>
    <w:p>
      <w:pPr>
        <w:snapToGrid w:val="0"/>
        <w:ind w:right="-33"/>
        <w:jc w:val="right"/>
        <w:textAlignment w:val="baseline"/>
        <w:rPr>
          <w:rFonts w:ascii="宋体" w:hAnsi="宋体"/>
          <w:sz w:val="24"/>
          <w:szCs w:val="24"/>
        </w:rPr>
      </w:pPr>
      <w:r>
        <w:rPr>
          <w:rFonts w:hint="eastAsia" w:ascii="宋体" w:hAnsi="宋体"/>
          <w:sz w:val="24"/>
          <w:szCs w:val="24"/>
        </w:rPr>
        <w:t>供应商名称：（公章）</w:t>
      </w:r>
    </w:p>
    <w:p>
      <w:pPr>
        <w:snapToGrid w:val="0"/>
        <w:ind w:right="-33"/>
        <w:jc w:val="right"/>
        <w:textAlignment w:val="baseline"/>
        <w:rPr>
          <w:rFonts w:ascii="宋体" w:hAnsi="宋体"/>
          <w:sz w:val="24"/>
          <w:szCs w:val="24"/>
        </w:rPr>
      </w:pPr>
    </w:p>
    <w:p>
      <w:pPr>
        <w:snapToGrid w:val="0"/>
        <w:ind w:right="-33"/>
        <w:jc w:val="right"/>
        <w:textAlignment w:val="baseline"/>
        <w:rPr>
          <w:rFonts w:ascii="宋体" w:hAnsi="宋体"/>
          <w:sz w:val="24"/>
          <w:szCs w:val="24"/>
        </w:rPr>
      </w:pPr>
      <w:r>
        <w:rPr>
          <w:rFonts w:hint="eastAsia" w:ascii="宋体" w:hAnsi="宋体"/>
          <w:sz w:val="24"/>
          <w:szCs w:val="24"/>
        </w:rPr>
        <w:t>法定代表人或授权委托代理人：（签字或盖章）</w:t>
      </w:r>
    </w:p>
    <w:p>
      <w:pPr>
        <w:snapToGrid w:val="0"/>
        <w:spacing w:line="360" w:lineRule="auto"/>
        <w:ind w:right="-33"/>
        <w:jc w:val="center"/>
        <w:textAlignment w:val="baseline"/>
        <w:rPr>
          <w:rFonts w:ascii="宋体" w:hAnsi="宋体"/>
          <w:b/>
          <w:bCs/>
          <w:sz w:val="24"/>
          <w:szCs w:val="24"/>
        </w:rPr>
      </w:pPr>
    </w:p>
    <w:p>
      <w:pPr>
        <w:spacing w:line="360" w:lineRule="auto"/>
        <w:jc w:val="center"/>
        <w:rPr>
          <w:rFonts w:hint="eastAsia" w:ascii="宋体" w:hAnsi="宋体" w:cs="Times New Roman"/>
          <w:b/>
          <w:bCs/>
          <w:sz w:val="24"/>
          <w:szCs w:val="24"/>
          <w:highlight w:val="white"/>
        </w:rPr>
      </w:pPr>
    </w:p>
    <w:p>
      <w:pPr>
        <w:pStyle w:val="2"/>
        <w:ind w:firstLine="3132" w:firstLineChars="1300"/>
        <w:rPr>
          <w:rFonts w:hint="eastAsia" w:hAnsi="宋体"/>
          <w:b/>
          <w:bCs/>
          <w:sz w:val="24"/>
          <w:szCs w:val="24"/>
          <w:highlight w:val="white"/>
        </w:rPr>
      </w:pPr>
    </w:p>
    <w:p>
      <w:pPr>
        <w:pStyle w:val="2"/>
        <w:ind w:firstLine="3132" w:firstLineChars="1300"/>
        <w:rPr>
          <w:rFonts w:hint="eastAsia" w:hAnsi="宋体"/>
          <w:b/>
          <w:bCs/>
          <w:sz w:val="24"/>
          <w:szCs w:val="24"/>
          <w:highlight w:val="white"/>
        </w:rPr>
      </w:pPr>
    </w:p>
    <w:p>
      <w:pPr>
        <w:pStyle w:val="3"/>
        <w:rPr>
          <w:rFonts w:hint="eastAsia" w:hAnsi="宋体" w:cs="Times New Roman"/>
          <w:b/>
          <w:bCs/>
          <w:sz w:val="24"/>
          <w:highlight w:val="white"/>
        </w:rPr>
      </w:pPr>
    </w:p>
    <w:p>
      <w:pPr>
        <w:rPr>
          <w:rFonts w:hint="eastAsia" w:hAnsi="宋体" w:cs="Times New Roman"/>
          <w:b/>
          <w:bCs/>
          <w:sz w:val="24"/>
          <w:szCs w:val="24"/>
          <w:highlight w:val="white"/>
        </w:rPr>
      </w:pPr>
    </w:p>
    <w:p>
      <w:pPr>
        <w:pStyle w:val="2"/>
        <w:rPr>
          <w:rFonts w:hint="eastAsia"/>
        </w:rPr>
      </w:pPr>
    </w:p>
    <w:p>
      <w:pPr>
        <w:pStyle w:val="2"/>
        <w:ind w:firstLine="3132" w:firstLineChars="1300"/>
        <w:rPr>
          <w:rFonts w:hint="eastAsia" w:hAnsi="宋体"/>
          <w:b/>
          <w:bCs/>
          <w:sz w:val="24"/>
          <w:szCs w:val="24"/>
          <w:highlight w:val="white"/>
        </w:rPr>
      </w:pPr>
    </w:p>
    <w:p>
      <w:pPr>
        <w:pStyle w:val="2"/>
        <w:ind w:firstLine="3132" w:firstLineChars="1300"/>
        <w:rPr>
          <w:rFonts w:hint="eastAsia" w:hAnsi="宋体"/>
          <w:b/>
          <w:bCs/>
          <w:sz w:val="24"/>
          <w:szCs w:val="24"/>
          <w:highlight w:val="white"/>
        </w:rPr>
      </w:pPr>
    </w:p>
    <w:p>
      <w:pPr>
        <w:rPr>
          <w:rFonts w:hint="eastAsia" w:cs="Times New Roman"/>
          <w:highlight w:val="white"/>
        </w:rPr>
      </w:pPr>
    </w:p>
    <w:p>
      <w:pPr>
        <w:spacing w:line="360" w:lineRule="auto"/>
        <w:jc w:val="center"/>
        <w:rPr>
          <w:rFonts w:hint="eastAsia" w:ascii="宋体" w:hAnsi="宋体" w:cs="Times New Roman"/>
          <w:b/>
          <w:bCs/>
          <w:sz w:val="24"/>
          <w:szCs w:val="24"/>
          <w:highlight w:val="white"/>
        </w:rPr>
      </w:pPr>
    </w:p>
    <w:p>
      <w:pPr>
        <w:pStyle w:val="2"/>
        <w:rPr>
          <w:rFonts w:hint="eastAsia" w:hAnsi="宋体"/>
          <w:b/>
          <w:bCs/>
          <w:sz w:val="24"/>
          <w:szCs w:val="24"/>
          <w:highlight w:val="white"/>
        </w:rPr>
      </w:pPr>
    </w:p>
    <w:p>
      <w:pPr>
        <w:pStyle w:val="3"/>
        <w:rPr>
          <w:rFonts w:hint="eastAsia"/>
        </w:rPr>
      </w:pPr>
    </w:p>
    <w:p>
      <w:pPr>
        <w:pStyle w:val="5"/>
        <w:snapToGrid w:val="0"/>
        <w:ind w:right="-33"/>
        <w:textAlignment w:val="baseline"/>
      </w:pPr>
      <w:r>
        <w:rPr>
          <w:rFonts w:hint="eastAsia" w:ascii="宋体" w:hAnsi="宋体" w:eastAsia="宋体" w:cs="宋体"/>
          <w:bCs w:val="0"/>
          <w:kern w:val="2"/>
          <w:sz w:val="24"/>
          <w:szCs w:val="24"/>
          <w:lang w:bidi="ar"/>
        </w:rPr>
        <w:t>格式7、</w:t>
      </w:r>
      <w:bookmarkStart w:id="145" w:name="_Toc8610"/>
      <w:r>
        <w:rPr>
          <w:rFonts w:hint="eastAsia" w:ascii="宋体" w:hAnsi="宋体" w:eastAsia="宋体"/>
          <w:sz w:val="24"/>
          <w:szCs w:val="24"/>
          <w:highlight w:val="white"/>
        </w:rPr>
        <w:t>服务本项目人员一览表</w:t>
      </w:r>
      <w:bookmarkEnd w:id="145"/>
    </w:p>
    <w:tbl>
      <w:tblPr>
        <w:tblStyle w:val="1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7"/>
        <w:gridCol w:w="1052"/>
        <w:gridCol w:w="1055"/>
        <w:gridCol w:w="1483"/>
        <w:gridCol w:w="901"/>
        <w:gridCol w:w="1141"/>
        <w:gridCol w:w="841"/>
        <w:gridCol w:w="1003"/>
        <w:gridCol w:w="1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07" w:type="dxa"/>
            <w:vMerge w:val="restart"/>
            <w:noWrap/>
            <w:vAlign w:val="center"/>
          </w:tcPr>
          <w:p>
            <w:pPr>
              <w:pStyle w:val="24"/>
              <w:snapToGrid w:val="0"/>
              <w:spacing w:line="360" w:lineRule="auto"/>
              <w:ind w:right="-33"/>
              <w:jc w:val="center"/>
              <w:textAlignment w:val="baseline"/>
              <w:rPr>
                <w:sz w:val="24"/>
                <w:szCs w:val="24"/>
              </w:rPr>
            </w:pPr>
            <w:r>
              <w:rPr>
                <w:rFonts w:hint="eastAsia"/>
                <w:sz w:val="24"/>
                <w:szCs w:val="24"/>
              </w:rPr>
              <w:t>职务</w:t>
            </w:r>
          </w:p>
        </w:tc>
        <w:tc>
          <w:tcPr>
            <w:tcW w:w="1052" w:type="dxa"/>
            <w:vMerge w:val="restart"/>
            <w:noWrap/>
            <w:vAlign w:val="center"/>
          </w:tcPr>
          <w:p>
            <w:pPr>
              <w:pStyle w:val="24"/>
              <w:snapToGrid w:val="0"/>
              <w:spacing w:line="360" w:lineRule="auto"/>
              <w:ind w:right="-33"/>
              <w:jc w:val="center"/>
              <w:textAlignment w:val="baseline"/>
              <w:rPr>
                <w:sz w:val="24"/>
                <w:szCs w:val="24"/>
              </w:rPr>
            </w:pPr>
            <w:r>
              <w:rPr>
                <w:rFonts w:hint="eastAsia"/>
                <w:sz w:val="24"/>
                <w:szCs w:val="24"/>
              </w:rPr>
              <w:t>姓名</w:t>
            </w:r>
          </w:p>
        </w:tc>
        <w:tc>
          <w:tcPr>
            <w:tcW w:w="1055" w:type="dxa"/>
            <w:vMerge w:val="restart"/>
            <w:noWrap/>
            <w:vAlign w:val="center"/>
          </w:tcPr>
          <w:p>
            <w:pPr>
              <w:pStyle w:val="24"/>
              <w:snapToGrid w:val="0"/>
              <w:spacing w:line="360" w:lineRule="auto"/>
              <w:ind w:right="-33"/>
              <w:jc w:val="center"/>
              <w:textAlignment w:val="baseline"/>
              <w:rPr>
                <w:sz w:val="24"/>
                <w:szCs w:val="24"/>
              </w:rPr>
            </w:pPr>
            <w:r>
              <w:rPr>
                <w:rFonts w:hint="eastAsia"/>
                <w:sz w:val="24"/>
                <w:szCs w:val="24"/>
              </w:rPr>
              <w:t>职称</w:t>
            </w:r>
          </w:p>
        </w:tc>
        <w:tc>
          <w:tcPr>
            <w:tcW w:w="5369" w:type="dxa"/>
            <w:gridSpan w:val="5"/>
            <w:noWrap/>
            <w:vAlign w:val="center"/>
          </w:tcPr>
          <w:p>
            <w:pPr>
              <w:pStyle w:val="24"/>
              <w:snapToGrid w:val="0"/>
              <w:spacing w:line="360" w:lineRule="auto"/>
              <w:ind w:right="-33"/>
              <w:jc w:val="center"/>
              <w:textAlignment w:val="baseline"/>
              <w:rPr>
                <w:sz w:val="24"/>
                <w:szCs w:val="24"/>
              </w:rPr>
            </w:pPr>
            <w:r>
              <w:rPr>
                <w:rFonts w:hint="eastAsia"/>
                <w:sz w:val="24"/>
                <w:szCs w:val="24"/>
              </w:rPr>
              <w:t>执业或职业资格证明</w:t>
            </w:r>
          </w:p>
        </w:tc>
        <w:tc>
          <w:tcPr>
            <w:tcW w:w="1491" w:type="dxa"/>
            <w:vMerge w:val="restart"/>
            <w:noWrap/>
            <w:vAlign w:val="center"/>
          </w:tcPr>
          <w:p>
            <w:pPr>
              <w:pStyle w:val="24"/>
              <w:snapToGrid w:val="0"/>
              <w:spacing w:line="360" w:lineRule="auto"/>
              <w:ind w:right="-33"/>
              <w:jc w:val="center"/>
              <w:textAlignment w:val="baseline"/>
              <w:rPr>
                <w:sz w:val="24"/>
                <w:szCs w:val="24"/>
              </w:rPr>
            </w:pPr>
            <w:r>
              <w:rPr>
                <w:rFonts w:hint="eastAsia"/>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jc w:val="center"/>
        </w:trPr>
        <w:tc>
          <w:tcPr>
            <w:tcW w:w="1007" w:type="dxa"/>
            <w:vMerge w:val="continue"/>
            <w:tcBorders>
              <w:top w:val="nil"/>
            </w:tcBorders>
            <w:noWrap/>
            <w:vAlign w:val="center"/>
          </w:tcPr>
          <w:p>
            <w:pPr>
              <w:snapToGrid w:val="0"/>
              <w:spacing w:line="360" w:lineRule="auto"/>
              <w:ind w:right="-33"/>
              <w:jc w:val="center"/>
              <w:textAlignment w:val="baseline"/>
              <w:rPr>
                <w:rFonts w:ascii="宋体" w:hAnsi="宋体"/>
                <w:sz w:val="24"/>
                <w:szCs w:val="24"/>
              </w:rPr>
            </w:pPr>
          </w:p>
        </w:tc>
        <w:tc>
          <w:tcPr>
            <w:tcW w:w="1052" w:type="dxa"/>
            <w:vMerge w:val="continue"/>
            <w:tcBorders>
              <w:top w:val="nil"/>
            </w:tcBorders>
            <w:noWrap/>
            <w:vAlign w:val="center"/>
          </w:tcPr>
          <w:p>
            <w:pPr>
              <w:snapToGrid w:val="0"/>
              <w:spacing w:line="360" w:lineRule="auto"/>
              <w:ind w:right="-33"/>
              <w:jc w:val="center"/>
              <w:textAlignment w:val="baseline"/>
              <w:rPr>
                <w:rFonts w:ascii="宋体" w:hAnsi="宋体"/>
                <w:sz w:val="24"/>
                <w:szCs w:val="24"/>
              </w:rPr>
            </w:pPr>
          </w:p>
        </w:tc>
        <w:tc>
          <w:tcPr>
            <w:tcW w:w="1055" w:type="dxa"/>
            <w:vMerge w:val="continue"/>
            <w:tcBorders>
              <w:top w:val="nil"/>
            </w:tcBorders>
            <w:noWrap/>
            <w:vAlign w:val="center"/>
          </w:tcPr>
          <w:p>
            <w:pPr>
              <w:snapToGrid w:val="0"/>
              <w:spacing w:line="360" w:lineRule="auto"/>
              <w:ind w:right="-33"/>
              <w:jc w:val="center"/>
              <w:textAlignment w:val="baseline"/>
              <w:rPr>
                <w:rFonts w:ascii="宋体" w:hAnsi="宋体"/>
                <w:sz w:val="24"/>
                <w:szCs w:val="24"/>
              </w:rPr>
            </w:pPr>
          </w:p>
        </w:tc>
        <w:tc>
          <w:tcPr>
            <w:tcW w:w="1483" w:type="dxa"/>
            <w:noWrap/>
            <w:vAlign w:val="center"/>
          </w:tcPr>
          <w:p>
            <w:pPr>
              <w:pStyle w:val="24"/>
              <w:snapToGrid w:val="0"/>
              <w:spacing w:line="360" w:lineRule="auto"/>
              <w:ind w:right="-33"/>
              <w:jc w:val="center"/>
              <w:textAlignment w:val="baseline"/>
              <w:rPr>
                <w:sz w:val="24"/>
                <w:szCs w:val="24"/>
              </w:rPr>
            </w:pPr>
            <w:r>
              <w:rPr>
                <w:rFonts w:hint="eastAsia"/>
                <w:sz w:val="24"/>
                <w:szCs w:val="24"/>
              </w:rPr>
              <w:t>证书名称</w:t>
            </w:r>
          </w:p>
        </w:tc>
        <w:tc>
          <w:tcPr>
            <w:tcW w:w="901" w:type="dxa"/>
            <w:noWrap/>
            <w:vAlign w:val="center"/>
          </w:tcPr>
          <w:p>
            <w:pPr>
              <w:pStyle w:val="24"/>
              <w:snapToGrid w:val="0"/>
              <w:spacing w:line="360" w:lineRule="auto"/>
              <w:ind w:right="-33"/>
              <w:jc w:val="center"/>
              <w:textAlignment w:val="baseline"/>
              <w:rPr>
                <w:sz w:val="24"/>
                <w:szCs w:val="24"/>
              </w:rPr>
            </w:pPr>
            <w:r>
              <w:rPr>
                <w:rFonts w:hint="eastAsia"/>
                <w:sz w:val="24"/>
                <w:szCs w:val="24"/>
              </w:rPr>
              <w:t>级别</w:t>
            </w:r>
          </w:p>
        </w:tc>
        <w:tc>
          <w:tcPr>
            <w:tcW w:w="1141" w:type="dxa"/>
            <w:noWrap/>
            <w:vAlign w:val="center"/>
          </w:tcPr>
          <w:p>
            <w:pPr>
              <w:pStyle w:val="24"/>
              <w:snapToGrid w:val="0"/>
              <w:spacing w:line="360" w:lineRule="auto"/>
              <w:ind w:right="-33"/>
              <w:jc w:val="center"/>
              <w:textAlignment w:val="baseline"/>
              <w:rPr>
                <w:sz w:val="24"/>
                <w:szCs w:val="24"/>
              </w:rPr>
            </w:pPr>
            <w:r>
              <w:rPr>
                <w:rFonts w:hint="eastAsia"/>
                <w:sz w:val="24"/>
                <w:szCs w:val="24"/>
              </w:rPr>
              <w:t>证号</w:t>
            </w:r>
          </w:p>
        </w:tc>
        <w:tc>
          <w:tcPr>
            <w:tcW w:w="841" w:type="dxa"/>
            <w:noWrap/>
            <w:vAlign w:val="center"/>
          </w:tcPr>
          <w:p>
            <w:pPr>
              <w:pStyle w:val="24"/>
              <w:snapToGrid w:val="0"/>
              <w:spacing w:line="360" w:lineRule="auto"/>
              <w:ind w:right="-33"/>
              <w:jc w:val="center"/>
              <w:textAlignment w:val="baseline"/>
              <w:rPr>
                <w:sz w:val="24"/>
                <w:szCs w:val="24"/>
              </w:rPr>
            </w:pPr>
            <w:r>
              <w:rPr>
                <w:rFonts w:hint="eastAsia"/>
                <w:sz w:val="24"/>
                <w:szCs w:val="24"/>
              </w:rPr>
              <w:t>专业</w:t>
            </w:r>
          </w:p>
        </w:tc>
        <w:tc>
          <w:tcPr>
            <w:tcW w:w="1003" w:type="dxa"/>
            <w:noWrap/>
            <w:vAlign w:val="center"/>
          </w:tcPr>
          <w:p>
            <w:pPr>
              <w:pStyle w:val="24"/>
              <w:snapToGrid w:val="0"/>
              <w:spacing w:line="360" w:lineRule="auto"/>
              <w:ind w:right="-33"/>
              <w:jc w:val="center"/>
              <w:textAlignment w:val="baseline"/>
              <w:rPr>
                <w:sz w:val="24"/>
                <w:szCs w:val="24"/>
              </w:rPr>
            </w:pPr>
          </w:p>
        </w:tc>
        <w:tc>
          <w:tcPr>
            <w:tcW w:w="1491" w:type="dxa"/>
            <w:vMerge w:val="continue"/>
            <w:tcBorders>
              <w:top w:val="nil"/>
            </w:tcBorders>
            <w:noWrap/>
            <w:vAlign w:val="center"/>
          </w:tcPr>
          <w:p>
            <w:pPr>
              <w:snapToGrid w:val="0"/>
              <w:spacing w:line="360" w:lineRule="auto"/>
              <w:ind w:right="-33"/>
              <w:jc w:val="center"/>
              <w:textAlignment w:val="baseline"/>
              <w:rPr>
                <w:rFonts w:ascii="宋体" w:hAnsi="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3" w:hRule="atLeast"/>
          <w:jc w:val="center"/>
        </w:trPr>
        <w:tc>
          <w:tcPr>
            <w:tcW w:w="1007"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1052"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1055"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1483"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901"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1141"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841"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1003"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c>
          <w:tcPr>
            <w:tcW w:w="1491" w:type="dxa"/>
            <w:tcBorders>
              <w:bottom w:val="single" w:color="000000" w:sz="8" w:space="0"/>
            </w:tcBorders>
            <w:noWrap/>
            <w:vAlign w:val="center"/>
          </w:tcPr>
          <w:p>
            <w:pPr>
              <w:pStyle w:val="24"/>
              <w:snapToGrid w:val="0"/>
              <w:spacing w:line="360" w:lineRule="auto"/>
              <w:ind w:right="-33"/>
              <w:jc w:val="center"/>
              <w:textAlignment w:val="baseline"/>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3" w:hRule="atLeast"/>
          <w:jc w:val="center"/>
        </w:trPr>
        <w:tc>
          <w:tcPr>
            <w:tcW w:w="1007"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1052"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1055"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1483"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901"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1141"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841"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1003"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c>
          <w:tcPr>
            <w:tcW w:w="1491" w:type="dxa"/>
            <w:tcBorders>
              <w:top w:val="single" w:color="000000" w:sz="8" w:space="0"/>
            </w:tcBorders>
            <w:noWrap/>
            <w:vAlign w:val="center"/>
          </w:tcPr>
          <w:p>
            <w:pPr>
              <w:pStyle w:val="24"/>
              <w:snapToGrid w:val="0"/>
              <w:spacing w:line="360" w:lineRule="auto"/>
              <w:ind w:right="-33"/>
              <w:jc w:val="center"/>
              <w:textAlignment w:val="baseline"/>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jc w:val="center"/>
        </w:trPr>
        <w:tc>
          <w:tcPr>
            <w:tcW w:w="1007" w:type="dxa"/>
            <w:noWrap/>
            <w:vAlign w:val="center"/>
          </w:tcPr>
          <w:p>
            <w:pPr>
              <w:pStyle w:val="24"/>
              <w:snapToGrid w:val="0"/>
              <w:spacing w:line="360" w:lineRule="auto"/>
              <w:ind w:right="-33"/>
              <w:jc w:val="center"/>
              <w:textAlignment w:val="baseline"/>
              <w:rPr>
                <w:sz w:val="24"/>
                <w:szCs w:val="24"/>
              </w:rPr>
            </w:pPr>
          </w:p>
        </w:tc>
        <w:tc>
          <w:tcPr>
            <w:tcW w:w="1052" w:type="dxa"/>
            <w:noWrap/>
            <w:vAlign w:val="center"/>
          </w:tcPr>
          <w:p>
            <w:pPr>
              <w:pStyle w:val="24"/>
              <w:snapToGrid w:val="0"/>
              <w:spacing w:line="360" w:lineRule="auto"/>
              <w:ind w:right="-33"/>
              <w:jc w:val="center"/>
              <w:textAlignment w:val="baseline"/>
              <w:rPr>
                <w:sz w:val="24"/>
                <w:szCs w:val="24"/>
              </w:rPr>
            </w:pPr>
          </w:p>
        </w:tc>
        <w:tc>
          <w:tcPr>
            <w:tcW w:w="1055" w:type="dxa"/>
            <w:noWrap/>
            <w:vAlign w:val="center"/>
          </w:tcPr>
          <w:p>
            <w:pPr>
              <w:pStyle w:val="24"/>
              <w:snapToGrid w:val="0"/>
              <w:spacing w:line="360" w:lineRule="auto"/>
              <w:ind w:right="-33"/>
              <w:jc w:val="center"/>
              <w:textAlignment w:val="baseline"/>
              <w:rPr>
                <w:sz w:val="24"/>
                <w:szCs w:val="24"/>
              </w:rPr>
            </w:pPr>
          </w:p>
        </w:tc>
        <w:tc>
          <w:tcPr>
            <w:tcW w:w="1483" w:type="dxa"/>
            <w:noWrap/>
            <w:vAlign w:val="center"/>
          </w:tcPr>
          <w:p>
            <w:pPr>
              <w:pStyle w:val="24"/>
              <w:snapToGrid w:val="0"/>
              <w:spacing w:line="360" w:lineRule="auto"/>
              <w:ind w:right="-33"/>
              <w:jc w:val="center"/>
              <w:textAlignment w:val="baseline"/>
              <w:rPr>
                <w:sz w:val="24"/>
                <w:szCs w:val="24"/>
              </w:rPr>
            </w:pPr>
          </w:p>
        </w:tc>
        <w:tc>
          <w:tcPr>
            <w:tcW w:w="901" w:type="dxa"/>
            <w:noWrap/>
            <w:vAlign w:val="center"/>
          </w:tcPr>
          <w:p>
            <w:pPr>
              <w:pStyle w:val="24"/>
              <w:snapToGrid w:val="0"/>
              <w:spacing w:line="360" w:lineRule="auto"/>
              <w:ind w:right="-33"/>
              <w:jc w:val="center"/>
              <w:textAlignment w:val="baseline"/>
              <w:rPr>
                <w:sz w:val="24"/>
                <w:szCs w:val="24"/>
              </w:rPr>
            </w:pPr>
          </w:p>
        </w:tc>
        <w:tc>
          <w:tcPr>
            <w:tcW w:w="1141" w:type="dxa"/>
            <w:noWrap/>
            <w:vAlign w:val="center"/>
          </w:tcPr>
          <w:p>
            <w:pPr>
              <w:pStyle w:val="24"/>
              <w:snapToGrid w:val="0"/>
              <w:spacing w:line="360" w:lineRule="auto"/>
              <w:ind w:right="-33"/>
              <w:jc w:val="center"/>
              <w:textAlignment w:val="baseline"/>
              <w:rPr>
                <w:sz w:val="24"/>
                <w:szCs w:val="24"/>
              </w:rPr>
            </w:pPr>
          </w:p>
        </w:tc>
        <w:tc>
          <w:tcPr>
            <w:tcW w:w="841" w:type="dxa"/>
            <w:noWrap/>
            <w:vAlign w:val="center"/>
          </w:tcPr>
          <w:p>
            <w:pPr>
              <w:pStyle w:val="24"/>
              <w:snapToGrid w:val="0"/>
              <w:spacing w:line="360" w:lineRule="auto"/>
              <w:ind w:right="-33"/>
              <w:jc w:val="center"/>
              <w:textAlignment w:val="baseline"/>
              <w:rPr>
                <w:sz w:val="24"/>
                <w:szCs w:val="24"/>
              </w:rPr>
            </w:pPr>
          </w:p>
        </w:tc>
        <w:tc>
          <w:tcPr>
            <w:tcW w:w="1003" w:type="dxa"/>
            <w:noWrap/>
            <w:vAlign w:val="center"/>
          </w:tcPr>
          <w:p>
            <w:pPr>
              <w:pStyle w:val="24"/>
              <w:snapToGrid w:val="0"/>
              <w:spacing w:line="360" w:lineRule="auto"/>
              <w:ind w:right="-33"/>
              <w:jc w:val="center"/>
              <w:textAlignment w:val="baseline"/>
              <w:rPr>
                <w:sz w:val="24"/>
                <w:szCs w:val="24"/>
              </w:rPr>
            </w:pPr>
          </w:p>
        </w:tc>
        <w:tc>
          <w:tcPr>
            <w:tcW w:w="1491" w:type="dxa"/>
            <w:noWrap/>
            <w:vAlign w:val="center"/>
          </w:tcPr>
          <w:p>
            <w:pPr>
              <w:pStyle w:val="24"/>
              <w:snapToGrid w:val="0"/>
              <w:spacing w:line="360" w:lineRule="auto"/>
              <w:ind w:right="-33"/>
              <w:jc w:val="center"/>
              <w:textAlignment w:val="baseline"/>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jc w:val="center"/>
        </w:trPr>
        <w:tc>
          <w:tcPr>
            <w:tcW w:w="1007" w:type="dxa"/>
            <w:noWrap/>
            <w:vAlign w:val="center"/>
          </w:tcPr>
          <w:p>
            <w:pPr>
              <w:pStyle w:val="24"/>
              <w:snapToGrid w:val="0"/>
              <w:spacing w:line="360" w:lineRule="auto"/>
              <w:ind w:right="-33"/>
              <w:jc w:val="center"/>
              <w:textAlignment w:val="baseline"/>
              <w:rPr>
                <w:sz w:val="24"/>
                <w:szCs w:val="24"/>
              </w:rPr>
            </w:pPr>
          </w:p>
        </w:tc>
        <w:tc>
          <w:tcPr>
            <w:tcW w:w="1052" w:type="dxa"/>
            <w:noWrap/>
            <w:vAlign w:val="center"/>
          </w:tcPr>
          <w:p>
            <w:pPr>
              <w:pStyle w:val="24"/>
              <w:snapToGrid w:val="0"/>
              <w:spacing w:line="360" w:lineRule="auto"/>
              <w:ind w:right="-33"/>
              <w:jc w:val="center"/>
              <w:textAlignment w:val="baseline"/>
              <w:rPr>
                <w:sz w:val="24"/>
                <w:szCs w:val="24"/>
              </w:rPr>
            </w:pPr>
          </w:p>
        </w:tc>
        <w:tc>
          <w:tcPr>
            <w:tcW w:w="1055" w:type="dxa"/>
            <w:noWrap/>
            <w:vAlign w:val="center"/>
          </w:tcPr>
          <w:p>
            <w:pPr>
              <w:pStyle w:val="24"/>
              <w:snapToGrid w:val="0"/>
              <w:spacing w:line="360" w:lineRule="auto"/>
              <w:ind w:right="-33"/>
              <w:jc w:val="center"/>
              <w:textAlignment w:val="baseline"/>
              <w:rPr>
                <w:sz w:val="24"/>
                <w:szCs w:val="24"/>
              </w:rPr>
            </w:pPr>
          </w:p>
        </w:tc>
        <w:tc>
          <w:tcPr>
            <w:tcW w:w="1483" w:type="dxa"/>
            <w:noWrap/>
            <w:vAlign w:val="center"/>
          </w:tcPr>
          <w:p>
            <w:pPr>
              <w:pStyle w:val="24"/>
              <w:snapToGrid w:val="0"/>
              <w:spacing w:line="360" w:lineRule="auto"/>
              <w:ind w:right="-33"/>
              <w:jc w:val="center"/>
              <w:textAlignment w:val="baseline"/>
              <w:rPr>
                <w:sz w:val="24"/>
                <w:szCs w:val="24"/>
              </w:rPr>
            </w:pPr>
          </w:p>
        </w:tc>
        <w:tc>
          <w:tcPr>
            <w:tcW w:w="901" w:type="dxa"/>
            <w:noWrap/>
            <w:vAlign w:val="center"/>
          </w:tcPr>
          <w:p>
            <w:pPr>
              <w:pStyle w:val="24"/>
              <w:snapToGrid w:val="0"/>
              <w:spacing w:line="360" w:lineRule="auto"/>
              <w:ind w:right="-33"/>
              <w:jc w:val="center"/>
              <w:textAlignment w:val="baseline"/>
              <w:rPr>
                <w:sz w:val="24"/>
                <w:szCs w:val="24"/>
              </w:rPr>
            </w:pPr>
          </w:p>
        </w:tc>
        <w:tc>
          <w:tcPr>
            <w:tcW w:w="1141" w:type="dxa"/>
            <w:noWrap/>
            <w:vAlign w:val="center"/>
          </w:tcPr>
          <w:p>
            <w:pPr>
              <w:pStyle w:val="24"/>
              <w:snapToGrid w:val="0"/>
              <w:spacing w:line="360" w:lineRule="auto"/>
              <w:ind w:right="-33"/>
              <w:jc w:val="center"/>
              <w:textAlignment w:val="baseline"/>
              <w:rPr>
                <w:sz w:val="24"/>
                <w:szCs w:val="24"/>
              </w:rPr>
            </w:pPr>
          </w:p>
        </w:tc>
        <w:tc>
          <w:tcPr>
            <w:tcW w:w="841" w:type="dxa"/>
            <w:noWrap/>
            <w:vAlign w:val="center"/>
          </w:tcPr>
          <w:p>
            <w:pPr>
              <w:pStyle w:val="24"/>
              <w:snapToGrid w:val="0"/>
              <w:spacing w:line="360" w:lineRule="auto"/>
              <w:ind w:right="-33"/>
              <w:jc w:val="center"/>
              <w:textAlignment w:val="baseline"/>
              <w:rPr>
                <w:sz w:val="24"/>
                <w:szCs w:val="24"/>
              </w:rPr>
            </w:pPr>
          </w:p>
        </w:tc>
        <w:tc>
          <w:tcPr>
            <w:tcW w:w="1003" w:type="dxa"/>
            <w:noWrap/>
            <w:vAlign w:val="center"/>
          </w:tcPr>
          <w:p>
            <w:pPr>
              <w:pStyle w:val="24"/>
              <w:snapToGrid w:val="0"/>
              <w:spacing w:line="360" w:lineRule="auto"/>
              <w:ind w:right="-33"/>
              <w:jc w:val="center"/>
              <w:textAlignment w:val="baseline"/>
              <w:rPr>
                <w:sz w:val="24"/>
                <w:szCs w:val="24"/>
              </w:rPr>
            </w:pPr>
          </w:p>
        </w:tc>
        <w:tc>
          <w:tcPr>
            <w:tcW w:w="1491" w:type="dxa"/>
            <w:noWrap/>
            <w:vAlign w:val="center"/>
          </w:tcPr>
          <w:p>
            <w:pPr>
              <w:pStyle w:val="24"/>
              <w:snapToGrid w:val="0"/>
              <w:spacing w:line="360" w:lineRule="auto"/>
              <w:ind w:right="-33"/>
              <w:jc w:val="center"/>
              <w:textAlignment w:val="baseline"/>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jc w:val="center"/>
        </w:trPr>
        <w:tc>
          <w:tcPr>
            <w:tcW w:w="1007" w:type="dxa"/>
            <w:noWrap/>
            <w:vAlign w:val="center"/>
          </w:tcPr>
          <w:p>
            <w:pPr>
              <w:pStyle w:val="24"/>
              <w:snapToGrid w:val="0"/>
              <w:spacing w:line="360" w:lineRule="auto"/>
              <w:ind w:right="-33"/>
              <w:jc w:val="center"/>
              <w:textAlignment w:val="baseline"/>
              <w:rPr>
                <w:sz w:val="24"/>
                <w:szCs w:val="24"/>
              </w:rPr>
            </w:pPr>
          </w:p>
        </w:tc>
        <w:tc>
          <w:tcPr>
            <w:tcW w:w="1052" w:type="dxa"/>
            <w:noWrap/>
            <w:vAlign w:val="center"/>
          </w:tcPr>
          <w:p>
            <w:pPr>
              <w:pStyle w:val="24"/>
              <w:snapToGrid w:val="0"/>
              <w:spacing w:line="360" w:lineRule="auto"/>
              <w:ind w:right="-33"/>
              <w:jc w:val="center"/>
              <w:textAlignment w:val="baseline"/>
              <w:rPr>
                <w:sz w:val="24"/>
                <w:szCs w:val="24"/>
              </w:rPr>
            </w:pPr>
          </w:p>
        </w:tc>
        <w:tc>
          <w:tcPr>
            <w:tcW w:w="1055" w:type="dxa"/>
            <w:noWrap/>
            <w:vAlign w:val="center"/>
          </w:tcPr>
          <w:p>
            <w:pPr>
              <w:pStyle w:val="24"/>
              <w:snapToGrid w:val="0"/>
              <w:spacing w:line="360" w:lineRule="auto"/>
              <w:ind w:right="-33"/>
              <w:jc w:val="center"/>
              <w:textAlignment w:val="baseline"/>
              <w:rPr>
                <w:sz w:val="24"/>
                <w:szCs w:val="24"/>
              </w:rPr>
            </w:pPr>
          </w:p>
        </w:tc>
        <w:tc>
          <w:tcPr>
            <w:tcW w:w="1483" w:type="dxa"/>
            <w:noWrap/>
            <w:vAlign w:val="center"/>
          </w:tcPr>
          <w:p>
            <w:pPr>
              <w:pStyle w:val="24"/>
              <w:snapToGrid w:val="0"/>
              <w:spacing w:line="360" w:lineRule="auto"/>
              <w:ind w:right="-33"/>
              <w:jc w:val="center"/>
              <w:textAlignment w:val="baseline"/>
              <w:rPr>
                <w:sz w:val="24"/>
                <w:szCs w:val="24"/>
              </w:rPr>
            </w:pPr>
          </w:p>
        </w:tc>
        <w:tc>
          <w:tcPr>
            <w:tcW w:w="901" w:type="dxa"/>
            <w:noWrap/>
            <w:vAlign w:val="center"/>
          </w:tcPr>
          <w:p>
            <w:pPr>
              <w:pStyle w:val="24"/>
              <w:snapToGrid w:val="0"/>
              <w:spacing w:line="360" w:lineRule="auto"/>
              <w:ind w:right="-33"/>
              <w:jc w:val="center"/>
              <w:textAlignment w:val="baseline"/>
              <w:rPr>
                <w:sz w:val="24"/>
                <w:szCs w:val="24"/>
              </w:rPr>
            </w:pPr>
          </w:p>
        </w:tc>
        <w:tc>
          <w:tcPr>
            <w:tcW w:w="1141" w:type="dxa"/>
            <w:noWrap/>
            <w:vAlign w:val="center"/>
          </w:tcPr>
          <w:p>
            <w:pPr>
              <w:pStyle w:val="24"/>
              <w:snapToGrid w:val="0"/>
              <w:spacing w:line="360" w:lineRule="auto"/>
              <w:ind w:right="-33"/>
              <w:jc w:val="center"/>
              <w:textAlignment w:val="baseline"/>
              <w:rPr>
                <w:sz w:val="24"/>
                <w:szCs w:val="24"/>
              </w:rPr>
            </w:pPr>
          </w:p>
        </w:tc>
        <w:tc>
          <w:tcPr>
            <w:tcW w:w="841" w:type="dxa"/>
            <w:noWrap/>
            <w:vAlign w:val="center"/>
          </w:tcPr>
          <w:p>
            <w:pPr>
              <w:pStyle w:val="24"/>
              <w:snapToGrid w:val="0"/>
              <w:spacing w:line="360" w:lineRule="auto"/>
              <w:ind w:right="-33"/>
              <w:jc w:val="center"/>
              <w:textAlignment w:val="baseline"/>
              <w:rPr>
                <w:sz w:val="24"/>
                <w:szCs w:val="24"/>
              </w:rPr>
            </w:pPr>
          </w:p>
        </w:tc>
        <w:tc>
          <w:tcPr>
            <w:tcW w:w="1003" w:type="dxa"/>
            <w:noWrap/>
            <w:vAlign w:val="center"/>
          </w:tcPr>
          <w:p>
            <w:pPr>
              <w:pStyle w:val="24"/>
              <w:snapToGrid w:val="0"/>
              <w:spacing w:line="360" w:lineRule="auto"/>
              <w:ind w:right="-33"/>
              <w:jc w:val="center"/>
              <w:textAlignment w:val="baseline"/>
              <w:rPr>
                <w:sz w:val="24"/>
                <w:szCs w:val="24"/>
              </w:rPr>
            </w:pPr>
          </w:p>
        </w:tc>
        <w:tc>
          <w:tcPr>
            <w:tcW w:w="1491" w:type="dxa"/>
            <w:noWrap/>
            <w:vAlign w:val="center"/>
          </w:tcPr>
          <w:p>
            <w:pPr>
              <w:pStyle w:val="24"/>
              <w:snapToGrid w:val="0"/>
              <w:spacing w:line="360" w:lineRule="auto"/>
              <w:ind w:right="-33"/>
              <w:jc w:val="center"/>
              <w:textAlignment w:val="baseline"/>
              <w:rPr>
                <w:sz w:val="24"/>
                <w:szCs w:val="24"/>
              </w:rPr>
            </w:pPr>
          </w:p>
        </w:tc>
      </w:tr>
    </w:tbl>
    <w:p>
      <w:pPr>
        <w:snapToGrid w:val="0"/>
        <w:ind w:right="-33"/>
        <w:textAlignment w:val="baseline"/>
        <w:rPr>
          <w:rFonts w:ascii="宋体" w:hAnsi="宋体"/>
          <w:sz w:val="24"/>
          <w:szCs w:val="24"/>
        </w:rPr>
      </w:pPr>
    </w:p>
    <w:p>
      <w:pPr>
        <w:snapToGrid w:val="0"/>
        <w:ind w:right="-33"/>
        <w:textAlignment w:val="baseline"/>
        <w:rPr>
          <w:rFonts w:hint="eastAsia" w:ascii="宋体" w:hAnsi="宋体"/>
          <w:sz w:val="24"/>
          <w:szCs w:val="24"/>
        </w:rPr>
      </w:pPr>
      <w:r>
        <w:rPr>
          <w:rFonts w:hint="eastAsia" w:ascii="宋体" w:hAnsi="宋体"/>
          <w:sz w:val="24"/>
          <w:szCs w:val="24"/>
        </w:rPr>
        <w:t>附：人员证书扫描件</w:t>
      </w:r>
    </w:p>
    <w:p>
      <w:pPr>
        <w:snapToGrid w:val="0"/>
        <w:ind w:right="-33"/>
        <w:jc w:val="right"/>
        <w:textAlignment w:val="baseline"/>
        <w:rPr>
          <w:rFonts w:ascii="宋体" w:hAnsi="宋体"/>
          <w:sz w:val="24"/>
          <w:szCs w:val="24"/>
        </w:rPr>
      </w:pPr>
      <w:r>
        <w:rPr>
          <w:rFonts w:hint="eastAsia" w:ascii="宋体" w:hAnsi="宋体"/>
          <w:sz w:val="24"/>
          <w:szCs w:val="24"/>
        </w:rPr>
        <w:t>供应商名称：（公章）</w:t>
      </w:r>
    </w:p>
    <w:p>
      <w:pPr>
        <w:snapToGrid w:val="0"/>
        <w:ind w:right="-33"/>
        <w:jc w:val="right"/>
        <w:textAlignment w:val="baseline"/>
        <w:rPr>
          <w:rFonts w:ascii="宋体" w:hAnsi="宋体"/>
          <w:sz w:val="24"/>
          <w:szCs w:val="24"/>
        </w:rPr>
      </w:pPr>
    </w:p>
    <w:p>
      <w:pPr>
        <w:snapToGrid w:val="0"/>
        <w:ind w:right="-33"/>
        <w:jc w:val="right"/>
        <w:textAlignment w:val="baseline"/>
        <w:rPr>
          <w:rFonts w:ascii="宋体" w:hAnsi="宋体"/>
          <w:sz w:val="24"/>
          <w:szCs w:val="24"/>
        </w:rPr>
      </w:pPr>
      <w:r>
        <w:rPr>
          <w:rFonts w:hint="eastAsia" w:ascii="宋体" w:hAnsi="宋体"/>
          <w:sz w:val="24"/>
          <w:szCs w:val="24"/>
        </w:rPr>
        <w:t>法定代表人或授权委托代理人：（签字或盖章）</w:t>
      </w:r>
    </w:p>
    <w:p>
      <w:pPr>
        <w:snapToGrid w:val="0"/>
        <w:ind w:right="-33"/>
        <w:textAlignment w:val="baseline"/>
        <w:rPr>
          <w:rFonts w:ascii="宋体" w:hAnsi="宋体"/>
          <w:spacing w:val="-4"/>
          <w:sz w:val="24"/>
          <w:szCs w:val="24"/>
        </w:rPr>
      </w:pPr>
    </w:p>
    <w:p>
      <w:pPr>
        <w:spacing w:line="360" w:lineRule="auto"/>
        <w:jc w:val="center"/>
        <w:rPr>
          <w:rFonts w:hint="eastAsia" w:ascii="宋体" w:hAnsi="宋体" w:cs="Times New Roman"/>
          <w:b/>
          <w:bCs/>
          <w:sz w:val="24"/>
          <w:szCs w:val="24"/>
          <w:highlight w:val="white"/>
        </w:rPr>
      </w:pPr>
    </w:p>
    <w:p>
      <w:pPr>
        <w:pStyle w:val="2"/>
        <w:rPr>
          <w:rFonts w:hint="eastAsia"/>
        </w:rPr>
      </w:pPr>
    </w:p>
    <w:p>
      <w:pPr>
        <w:pStyle w:val="2"/>
        <w:tabs>
          <w:tab w:val="left" w:pos="574"/>
        </w:tabs>
        <w:autoSpaceDE w:val="0"/>
        <w:spacing w:line="360" w:lineRule="auto"/>
        <w:jc w:val="left"/>
        <w:rPr>
          <w:rFonts w:hint="eastAsia" w:hAnsi="宋体" w:cs="宋体"/>
          <w:b/>
          <w:kern w:val="2"/>
          <w:sz w:val="24"/>
          <w:szCs w:val="24"/>
          <w:lang w:bidi="ar"/>
        </w:rPr>
      </w:pPr>
    </w:p>
    <w:p>
      <w:pPr>
        <w:pStyle w:val="2"/>
        <w:tabs>
          <w:tab w:val="left" w:pos="574"/>
        </w:tabs>
        <w:autoSpaceDE w:val="0"/>
        <w:spacing w:line="360" w:lineRule="auto"/>
        <w:jc w:val="center"/>
        <w:rPr>
          <w:rFonts w:hint="eastAsia" w:hAnsi="宋体" w:cs="宋体"/>
          <w:b/>
          <w:kern w:val="2"/>
          <w:sz w:val="24"/>
          <w:szCs w:val="24"/>
          <w:lang w:bidi="ar"/>
        </w:rPr>
      </w:pPr>
    </w:p>
    <w:p>
      <w:pPr>
        <w:pStyle w:val="2"/>
        <w:tabs>
          <w:tab w:val="left" w:pos="574"/>
        </w:tabs>
        <w:autoSpaceDE w:val="0"/>
        <w:spacing w:line="360" w:lineRule="auto"/>
        <w:jc w:val="center"/>
        <w:rPr>
          <w:rFonts w:hint="eastAsia" w:hAnsi="宋体" w:cs="宋体"/>
          <w:b/>
          <w:kern w:val="2"/>
          <w:sz w:val="24"/>
          <w:szCs w:val="24"/>
          <w:lang w:bidi="ar"/>
        </w:rPr>
      </w:pPr>
    </w:p>
    <w:p>
      <w:pPr>
        <w:pStyle w:val="2"/>
        <w:tabs>
          <w:tab w:val="left" w:pos="574"/>
        </w:tabs>
        <w:autoSpaceDE w:val="0"/>
        <w:spacing w:line="360" w:lineRule="auto"/>
        <w:jc w:val="center"/>
        <w:rPr>
          <w:rFonts w:hint="eastAsia" w:hAnsi="宋体" w:cs="宋体"/>
          <w:color w:val="000000"/>
          <w:sz w:val="24"/>
          <w:szCs w:val="24"/>
          <w:u w:val="single"/>
        </w:rPr>
      </w:pPr>
      <w:r>
        <w:rPr>
          <w:rFonts w:hint="eastAsia" w:hAnsi="宋体" w:cs="宋体"/>
          <w:b/>
          <w:kern w:val="2"/>
          <w:sz w:val="24"/>
          <w:szCs w:val="24"/>
          <w:lang w:bidi="ar"/>
        </w:rPr>
        <w:t>格式8、设计方案</w:t>
      </w:r>
    </w:p>
    <w:p>
      <w:pPr>
        <w:spacing w:line="360" w:lineRule="auto"/>
        <w:jc w:val="center"/>
        <w:rPr>
          <w:rFonts w:hint="eastAsia" w:ascii="宋体" w:hAnsi="宋体" w:cs="Times New Roman"/>
          <w:b/>
          <w:bCs/>
          <w:sz w:val="24"/>
          <w:szCs w:val="24"/>
          <w:highlight w:val="white"/>
          <w:lang w:val="zh-CN"/>
        </w:rPr>
      </w:pPr>
      <w:r>
        <w:rPr>
          <w:rFonts w:hint="eastAsia" w:ascii="宋体" w:hAnsi="宋体" w:cs="Times New Roman"/>
          <w:b/>
          <w:bCs/>
          <w:sz w:val="24"/>
          <w:szCs w:val="24"/>
          <w:highlight w:val="white"/>
          <w:lang w:val="zh-CN"/>
        </w:rPr>
        <w:t>（格式自拟）</w:t>
      </w:r>
    </w:p>
    <w:p>
      <w:pPr>
        <w:tabs>
          <w:tab w:val="center" w:pos="5713"/>
          <w:tab w:val="right" w:pos="8306"/>
        </w:tabs>
        <w:spacing w:line="360" w:lineRule="auto"/>
        <w:ind w:firstLine="3120" w:firstLineChars="1300"/>
        <w:jc w:val="left"/>
        <w:rPr>
          <w:rFonts w:hint="eastAsia" w:ascii="宋体" w:hAnsi="宋体"/>
          <w:sz w:val="24"/>
          <w:szCs w:val="24"/>
        </w:rPr>
      </w:pPr>
      <w:r>
        <w:rPr>
          <w:rFonts w:ascii="宋体" w:hAnsi="宋体"/>
          <w:sz w:val="24"/>
          <w:szCs w:val="24"/>
        </w:rPr>
        <w:tab/>
      </w:r>
    </w:p>
    <w:p>
      <w:pPr>
        <w:snapToGrid w:val="0"/>
        <w:spacing w:after="156" w:afterLines="50"/>
        <w:jc w:val="center"/>
        <w:outlineLvl w:val="0"/>
        <w:rPr>
          <w:rFonts w:hint="eastAsia" w:ascii="宋体" w:hAnsi="宋体"/>
          <w:b/>
          <w:sz w:val="24"/>
          <w:szCs w:val="24"/>
          <w:lang w:bidi="ar"/>
        </w:rPr>
      </w:pPr>
    </w:p>
    <w:p>
      <w:pPr>
        <w:snapToGrid w:val="0"/>
        <w:spacing w:after="156" w:afterLines="50"/>
        <w:jc w:val="center"/>
        <w:outlineLvl w:val="0"/>
        <w:rPr>
          <w:rFonts w:hint="eastAsia" w:ascii="宋体" w:hAnsi="宋体"/>
          <w:b/>
          <w:sz w:val="24"/>
          <w:szCs w:val="24"/>
          <w:lang w:bidi="ar"/>
        </w:rPr>
      </w:pPr>
    </w:p>
    <w:p>
      <w:pPr>
        <w:snapToGrid w:val="0"/>
        <w:spacing w:after="156" w:afterLines="50"/>
        <w:jc w:val="center"/>
        <w:outlineLvl w:val="0"/>
        <w:rPr>
          <w:rFonts w:hint="eastAsia" w:ascii="宋体" w:hAnsi="宋体"/>
          <w:b/>
          <w:sz w:val="24"/>
          <w:szCs w:val="24"/>
          <w:lang w:bidi="ar"/>
        </w:rPr>
      </w:pPr>
    </w:p>
    <w:p>
      <w:pPr>
        <w:pStyle w:val="2"/>
        <w:rPr>
          <w:rFonts w:hint="eastAsia"/>
        </w:rPr>
      </w:pPr>
    </w:p>
    <w:p>
      <w:pPr>
        <w:snapToGrid w:val="0"/>
        <w:spacing w:after="156" w:afterLines="50"/>
        <w:jc w:val="center"/>
        <w:outlineLvl w:val="0"/>
        <w:rPr>
          <w:rFonts w:hint="eastAsia" w:ascii="宋体" w:hAnsi="宋体"/>
          <w:b/>
          <w:sz w:val="24"/>
          <w:szCs w:val="24"/>
          <w:lang w:bidi="ar"/>
        </w:rPr>
      </w:pPr>
    </w:p>
    <w:p>
      <w:pPr>
        <w:snapToGrid w:val="0"/>
        <w:spacing w:after="156" w:afterLines="50"/>
        <w:jc w:val="center"/>
        <w:outlineLvl w:val="0"/>
        <w:rPr>
          <w:rFonts w:hint="eastAsia" w:ascii="宋体" w:hAnsi="宋体"/>
          <w:b/>
          <w:sz w:val="24"/>
          <w:szCs w:val="24"/>
          <w:lang w:bidi="ar"/>
        </w:rPr>
      </w:pPr>
    </w:p>
    <w:p>
      <w:pPr>
        <w:snapToGrid w:val="0"/>
        <w:spacing w:after="156" w:afterLines="50"/>
        <w:jc w:val="center"/>
        <w:outlineLvl w:val="0"/>
        <w:rPr>
          <w:rFonts w:hint="eastAsia" w:ascii="宋体" w:hAnsi="宋体"/>
          <w:b/>
          <w:sz w:val="24"/>
          <w:szCs w:val="24"/>
          <w:lang w:bidi="ar"/>
        </w:rPr>
      </w:pPr>
      <w:r>
        <w:rPr>
          <w:rFonts w:hint="eastAsia" w:ascii="宋体" w:hAnsi="宋体"/>
          <w:b/>
          <w:sz w:val="24"/>
          <w:szCs w:val="24"/>
          <w:lang w:bidi="ar"/>
        </w:rPr>
        <w:t>格式9、承诺函</w:t>
      </w:r>
    </w:p>
    <w:p>
      <w:pPr>
        <w:spacing w:line="440" w:lineRule="exact"/>
        <w:jc w:val="center"/>
        <w:rPr>
          <w:rFonts w:hint="eastAsia" w:ascii="宋体" w:hAnsi="宋体"/>
          <w:sz w:val="24"/>
          <w:szCs w:val="24"/>
        </w:rPr>
      </w:pPr>
    </w:p>
    <w:p>
      <w:pPr>
        <w:spacing w:line="360" w:lineRule="auto"/>
        <w:jc w:val="center"/>
        <w:rPr>
          <w:rFonts w:hint="eastAsia" w:ascii="宋体" w:hAnsi="宋体"/>
          <w:b/>
          <w:bCs/>
          <w:sz w:val="24"/>
          <w:szCs w:val="24"/>
        </w:rPr>
      </w:pPr>
      <w:r>
        <w:rPr>
          <w:rFonts w:hint="eastAsia" w:ascii="宋体" w:hAnsi="宋体"/>
          <w:b/>
          <w:bCs/>
          <w:sz w:val="24"/>
          <w:szCs w:val="24"/>
        </w:rPr>
        <w:t>信誉承诺</w:t>
      </w:r>
    </w:p>
    <w:p>
      <w:pPr>
        <w:spacing w:line="360" w:lineRule="auto"/>
        <w:ind w:firstLine="480" w:firstLineChars="200"/>
        <w:rPr>
          <w:rFonts w:hint="eastAsia" w:ascii="宋体" w:hAnsi="宋体"/>
          <w:sz w:val="24"/>
          <w:szCs w:val="24"/>
        </w:rPr>
      </w:pPr>
      <w:r>
        <w:rPr>
          <w:rFonts w:hint="eastAsia" w:ascii="宋体" w:hAnsi="宋体"/>
          <w:sz w:val="24"/>
          <w:szCs w:val="24"/>
        </w:rPr>
        <w:t>本公司郑重声明，我公司无以下不良信用记录情形：</w:t>
      </w:r>
    </w:p>
    <w:p>
      <w:pPr>
        <w:spacing w:line="360" w:lineRule="auto"/>
        <w:ind w:firstLine="480" w:firstLineChars="200"/>
        <w:rPr>
          <w:rFonts w:hint="eastAsia"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1 \* GB3</w:instrText>
      </w:r>
      <w:r>
        <w:rPr>
          <w:rFonts w:hint="eastAsia" w:ascii="宋体" w:hAnsi="宋体"/>
          <w:bCs/>
          <w:sz w:val="24"/>
          <w:szCs w:val="24"/>
        </w:rPr>
        <w:fldChar w:fldCharType="separate"/>
      </w:r>
      <w:r>
        <w:rPr>
          <w:rFonts w:hint="eastAsia" w:ascii="宋体" w:hAnsi="宋体"/>
          <w:bCs/>
          <w:sz w:val="24"/>
          <w:szCs w:val="24"/>
        </w:rPr>
        <w:t>①</w:t>
      </w:r>
      <w:r>
        <w:rPr>
          <w:rFonts w:hint="eastAsia" w:ascii="宋体" w:hAnsi="宋体"/>
          <w:bCs/>
          <w:sz w:val="24"/>
          <w:szCs w:val="24"/>
        </w:rPr>
        <w:fldChar w:fldCharType="end"/>
      </w:r>
      <w:r>
        <w:rPr>
          <w:rFonts w:hint="eastAsia" w:ascii="宋体" w:hAnsi="宋体"/>
          <w:bCs/>
          <w:sz w:val="24"/>
          <w:szCs w:val="24"/>
        </w:rPr>
        <w:t>被最高人民法院在“信用中国”网站（www.creditchina.gov.cn）列入失信被执行人受惩黑名单；</w:t>
      </w:r>
    </w:p>
    <w:p>
      <w:pPr>
        <w:spacing w:line="360" w:lineRule="auto"/>
        <w:ind w:firstLine="480" w:firstLineChars="200"/>
        <w:rPr>
          <w:rFonts w:hint="eastAsia"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2 \* GB3</w:instrText>
      </w:r>
      <w:r>
        <w:rPr>
          <w:rFonts w:hint="eastAsia" w:ascii="宋体" w:hAnsi="宋体"/>
          <w:bCs/>
          <w:sz w:val="24"/>
          <w:szCs w:val="24"/>
        </w:rPr>
        <w:fldChar w:fldCharType="separate"/>
      </w:r>
      <w:r>
        <w:rPr>
          <w:rFonts w:hint="eastAsia" w:ascii="宋体" w:hAnsi="宋体"/>
          <w:bCs/>
          <w:sz w:val="24"/>
          <w:szCs w:val="24"/>
        </w:rPr>
        <w:t>②</w:t>
      </w:r>
      <w:r>
        <w:rPr>
          <w:rFonts w:hint="eastAsia" w:ascii="宋体" w:hAnsi="宋体"/>
          <w:bCs/>
          <w:sz w:val="24"/>
          <w:szCs w:val="24"/>
        </w:rPr>
        <w:fldChar w:fldCharType="end"/>
      </w:r>
      <w:r>
        <w:rPr>
          <w:rFonts w:hint="eastAsia" w:ascii="宋体" w:hAnsi="宋体"/>
          <w:bCs/>
          <w:sz w:val="24"/>
          <w:szCs w:val="24"/>
        </w:rPr>
        <w:t>被国家税务总局列入“重大税收违法案件当事人”名单。</w:t>
      </w:r>
    </w:p>
    <w:p>
      <w:pPr>
        <w:spacing w:line="360" w:lineRule="auto"/>
        <w:ind w:firstLine="480" w:firstLineChars="200"/>
        <w:rPr>
          <w:rFonts w:hint="eastAsia"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3 \* GB3</w:instrText>
      </w:r>
      <w:r>
        <w:rPr>
          <w:rFonts w:hint="eastAsia" w:ascii="宋体" w:hAnsi="宋体"/>
          <w:bCs/>
          <w:sz w:val="24"/>
          <w:szCs w:val="24"/>
        </w:rPr>
        <w:fldChar w:fldCharType="separate"/>
      </w:r>
      <w:r>
        <w:rPr>
          <w:rFonts w:hint="eastAsia" w:ascii="宋体" w:hAnsi="宋体"/>
          <w:bCs/>
          <w:sz w:val="24"/>
          <w:szCs w:val="24"/>
        </w:rPr>
        <w:t>③</w:t>
      </w:r>
      <w:r>
        <w:rPr>
          <w:rFonts w:hint="eastAsia" w:ascii="宋体" w:hAnsi="宋体"/>
          <w:bCs/>
          <w:sz w:val="24"/>
          <w:szCs w:val="24"/>
        </w:rPr>
        <w:fldChar w:fldCharType="end"/>
      </w:r>
      <w:r>
        <w:rPr>
          <w:rFonts w:hint="eastAsia" w:ascii="宋体" w:hAnsi="宋体"/>
          <w:bCs/>
          <w:sz w:val="24"/>
          <w:szCs w:val="24"/>
        </w:rPr>
        <w:t>被中国政府采购网（www.ccgp.gov.cn）列入“政府采购严重违法失信行为记录名单</w:t>
      </w:r>
    </w:p>
    <w:p>
      <w:pPr>
        <w:spacing w:line="360" w:lineRule="auto"/>
        <w:ind w:firstLine="480" w:firstLineChars="200"/>
        <w:rPr>
          <w:rFonts w:hint="eastAsia" w:ascii="宋体" w:hAnsi="宋体"/>
          <w:bCs/>
          <w:sz w:val="24"/>
          <w:szCs w:val="24"/>
        </w:rPr>
      </w:pPr>
      <w:r>
        <w:rPr>
          <w:rFonts w:hint="eastAsia" w:ascii="宋体" w:hAnsi="宋体"/>
          <w:bCs/>
          <w:sz w:val="24"/>
          <w:szCs w:val="24"/>
        </w:rPr>
        <w:t>④被工商行政管理机关在国家企业信用信息公示系统（www.gsxt.gov.cn）中列入严重违法失信企业名单。</w:t>
      </w:r>
    </w:p>
    <w:p>
      <w:pPr>
        <w:spacing w:line="360" w:lineRule="auto"/>
        <w:ind w:firstLine="480" w:firstLineChars="200"/>
        <w:rPr>
          <w:rFonts w:hint="eastAsia" w:ascii="宋体" w:hAnsi="宋体"/>
          <w:bCs/>
          <w:sz w:val="24"/>
          <w:szCs w:val="24"/>
        </w:rPr>
      </w:pPr>
      <w:r>
        <w:rPr>
          <w:rFonts w:hint="eastAsia" w:ascii="宋体" w:hAnsi="宋体"/>
          <w:bCs/>
          <w:sz w:val="24"/>
          <w:szCs w:val="24"/>
          <w:lang w:val="en-US" w:eastAsia="zh-CN"/>
        </w:rPr>
        <w:fldChar w:fldCharType="begin"/>
      </w:r>
      <w:r>
        <w:rPr>
          <w:rFonts w:hint="eastAsia" w:ascii="宋体" w:hAnsi="宋体"/>
          <w:bCs/>
          <w:sz w:val="24"/>
          <w:szCs w:val="24"/>
          <w:lang w:val="en-US" w:eastAsia="zh-CN"/>
        </w:rPr>
        <w:instrText xml:space="preserve"> = 5 \* GB3 \* MERGEFORMAT </w:instrText>
      </w:r>
      <w:r>
        <w:rPr>
          <w:rFonts w:hint="eastAsia" w:ascii="宋体" w:hAnsi="宋体"/>
          <w:bCs/>
          <w:sz w:val="24"/>
          <w:szCs w:val="24"/>
          <w:lang w:val="en-US" w:eastAsia="zh-CN"/>
        </w:rPr>
        <w:fldChar w:fldCharType="separate"/>
      </w:r>
      <w:r>
        <w:rPr>
          <w:rFonts w:hint="eastAsia" w:ascii="宋体" w:hAnsi="宋体"/>
          <w:bCs/>
          <w:sz w:val="24"/>
          <w:szCs w:val="24"/>
          <w:lang w:val="en-US" w:eastAsia="zh-CN"/>
        </w:rPr>
        <w:t>⑤</w:t>
      </w:r>
      <w:r>
        <w:rPr>
          <w:rFonts w:hint="eastAsia" w:ascii="宋体" w:hAnsi="宋体"/>
          <w:bCs/>
          <w:sz w:val="24"/>
          <w:szCs w:val="24"/>
          <w:lang w:val="en-US" w:eastAsia="zh-CN"/>
        </w:rPr>
        <w:fldChar w:fldCharType="end"/>
      </w:r>
      <w:r>
        <w:rPr>
          <w:rFonts w:hint="eastAsia" w:ascii="宋体" w:hAnsi="宋体"/>
          <w:bCs/>
          <w:sz w:val="24"/>
          <w:szCs w:val="24"/>
          <w:lang w:val="en-US" w:eastAsia="zh-CN"/>
        </w:rPr>
        <w:t>投标人及其法定代表人、拟任本项目负责人</w:t>
      </w:r>
      <w:bookmarkStart w:id="149" w:name="_GoBack"/>
      <w:bookmarkEnd w:id="149"/>
      <w:r>
        <w:rPr>
          <w:rFonts w:hint="eastAsia" w:ascii="宋体" w:hAnsi="宋体"/>
          <w:bCs/>
          <w:sz w:val="24"/>
          <w:szCs w:val="24"/>
          <w:lang w:val="en-US" w:eastAsia="zh-CN"/>
        </w:rPr>
        <w:t>被列入全国法院失信被执行人名单。</w:t>
      </w:r>
    </w:p>
    <w:p>
      <w:pPr>
        <w:spacing w:line="360" w:lineRule="auto"/>
        <w:ind w:firstLine="480" w:firstLineChars="200"/>
        <w:rPr>
          <w:rFonts w:hint="eastAsia" w:ascii="宋体" w:hAnsi="宋体"/>
          <w:sz w:val="24"/>
          <w:szCs w:val="24"/>
        </w:rPr>
      </w:pPr>
      <w:r>
        <w:rPr>
          <w:rFonts w:hint="eastAsia" w:ascii="宋体" w:hAnsi="宋体"/>
          <w:sz w:val="24"/>
          <w:szCs w:val="24"/>
        </w:rPr>
        <w:t>我公司已就上述不良信用行为按照招标文件中投标人须知前附表规定进行了查询。</w:t>
      </w:r>
    </w:p>
    <w:p>
      <w:pPr>
        <w:spacing w:line="360" w:lineRule="auto"/>
        <w:ind w:firstLine="480" w:firstLineChars="200"/>
        <w:rPr>
          <w:rFonts w:hint="eastAsia" w:ascii="宋体" w:hAnsi="宋体"/>
          <w:color w:val="000000"/>
          <w:kern w:val="0"/>
          <w:sz w:val="24"/>
          <w:szCs w:val="24"/>
        </w:rPr>
      </w:pPr>
      <w:r>
        <w:rPr>
          <w:rFonts w:hint="eastAsia" w:ascii="宋体" w:hAnsi="宋体"/>
          <w:sz w:val="24"/>
          <w:szCs w:val="24"/>
        </w:rPr>
        <w:t>我公司承诺：合同签订前，若我公司具有不良信用记录情形，贵方可取消我公司中标资格或者不授予合同，所有责任由我公司自行承担。同时，我公司愿意无条件接受监管部门的调查处理。 我方承诺不存在本项目招标公告中所列</w:t>
      </w:r>
      <w:r>
        <w:rPr>
          <w:rFonts w:hint="eastAsia" w:ascii="宋体" w:hAnsi="宋体"/>
          <w:bCs/>
          <w:color w:val="000000"/>
          <w:kern w:val="0"/>
          <w:sz w:val="24"/>
          <w:szCs w:val="24"/>
        </w:rPr>
        <w:t>不良信用记录</w:t>
      </w:r>
      <w:r>
        <w:rPr>
          <w:rFonts w:hint="eastAsia" w:ascii="宋体" w:hAnsi="宋体"/>
          <w:color w:val="000000"/>
          <w:kern w:val="0"/>
          <w:sz w:val="24"/>
          <w:szCs w:val="24"/>
        </w:rPr>
        <w:t>。</w:t>
      </w:r>
      <w:r>
        <w:rPr>
          <w:rFonts w:hint="eastAsia" w:ascii="宋体" w:hAnsi="宋体"/>
          <w:sz w:val="24"/>
          <w:szCs w:val="24"/>
        </w:rPr>
        <w:t>若我方中标后查询不符</w:t>
      </w:r>
      <w:r>
        <w:rPr>
          <w:rFonts w:hint="eastAsia" w:ascii="宋体" w:hAnsi="宋体"/>
          <w:color w:val="000000"/>
          <w:kern w:val="0"/>
          <w:sz w:val="24"/>
          <w:szCs w:val="24"/>
        </w:rPr>
        <w:t>，视为我方虚假投标，可取消中标资格并承担相应责任。</w:t>
      </w:r>
      <w:r>
        <w:rPr>
          <w:rFonts w:hint="eastAsia" w:ascii="宋体" w:hAnsi="宋体"/>
          <w:sz w:val="24"/>
          <w:szCs w:val="24"/>
        </w:rPr>
        <w:t>若我方（乙方）中标后，我方承诺严格按照招标文件规定的供货方式（期限）供货及严格履行售后服务承诺。</w:t>
      </w:r>
    </w:p>
    <w:p>
      <w:pPr>
        <w:spacing w:line="360" w:lineRule="auto"/>
        <w:rPr>
          <w:rFonts w:hint="eastAsia" w:ascii="宋体" w:hAnsi="宋体"/>
          <w:sz w:val="24"/>
          <w:szCs w:val="24"/>
        </w:rPr>
      </w:pPr>
    </w:p>
    <w:p>
      <w:pPr>
        <w:spacing w:line="360" w:lineRule="auto"/>
        <w:ind w:left="4200" w:leftChars="2000"/>
        <w:rPr>
          <w:rFonts w:hint="eastAsia" w:ascii="宋体" w:hAnsi="宋体"/>
          <w:sz w:val="24"/>
          <w:szCs w:val="24"/>
        </w:rPr>
      </w:pPr>
      <w:r>
        <w:rPr>
          <w:rFonts w:hint="eastAsia" w:ascii="宋体" w:hAnsi="宋体"/>
          <w:sz w:val="24"/>
          <w:szCs w:val="24"/>
        </w:rPr>
        <w:t>投标供应商公章：</w:t>
      </w:r>
    </w:p>
    <w:p>
      <w:pPr>
        <w:spacing w:line="360" w:lineRule="auto"/>
        <w:ind w:left="4200" w:leftChars="2000"/>
        <w:rPr>
          <w:rFonts w:ascii="宋体" w:hAnsi="宋体"/>
          <w:sz w:val="24"/>
          <w:szCs w:val="24"/>
        </w:rPr>
      </w:pPr>
      <w:r>
        <w:rPr>
          <w:rFonts w:hint="eastAsia" w:ascii="宋体" w:hAnsi="宋体"/>
          <w:sz w:val="24"/>
          <w:szCs w:val="24"/>
        </w:rPr>
        <w:t>日期：</w:t>
      </w:r>
    </w:p>
    <w:p>
      <w:pPr>
        <w:spacing w:line="360" w:lineRule="auto"/>
        <w:jc w:val="center"/>
        <w:rPr>
          <w:rFonts w:hint="eastAsia" w:ascii="宋体" w:hAnsi="宋体" w:cs="Times New Roman"/>
          <w:b/>
          <w:bCs/>
          <w:sz w:val="24"/>
          <w:szCs w:val="24"/>
          <w:highlight w:val="white"/>
          <w:lang w:val="zh-CN"/>
        </w:rPr>
      </w:pPr>
      <w:bookmarkStart w:id="146" w:name="_Toc243946214"/>
      <w:bookmarkEnd w:id="146"/>
      <w:bookmarkStart w:id="147" w:name="_Toc243680621"/>
      <w:bookmarkEnd w:id="147"/>
      <w:bookmarkStart w:id="148" w:name="_Toc245740663"/>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hint="eastAsia" w:ascii="宋体" w:hAnsi="宋体" w:cs="Times New Roman"/>
          <w:b/>
          <w:bCs/>
          <w:sz w:val="24"/>
          <w:szCs w:val="24"/>
          <w:highlight w:val="white"/>
          <w:lang w:val="zh-CN"/>
        </w:rPr>
      </w:pPr>
    </w:p>
    <w:p>
      <w:pPr>
        <w:pStyle w:val="2"/>
        <w:rPr>
          <w:rFonts w:hint="eastAsia" w:hAnsi="宋体"/>
          <w:b/>
          <w:bCs/>
          <w:sz w:val="24"/>
          <w:szCs w:val="24"/>
          <w:highlight w:val="white"/>
          <w:lang w:val="zh-CN"/>
        </w:rPr>
      </w:pPr>
    </w:p>
    <w:p>
      <w:pPr>
        <w:pStyle w:val="3"/>
        <w:rPr>
          <w:rFonts w:hint="eastAsia" w:ascii="宋体" w:hAnsi="宋体" w:cs="Times New Roman"/>
          <w:b/>
          <w:bCs/>
          <w:sz w:val="24"/>
          <w:highlight w:val="white"/>
          <w:lang w:val="zh-CN"/>
        </w:rPr>
      </w:pPr>
    </w:p>
    <w:bookmarkEnd w:id="148"/>
    <w:p>
      <w:pPr>
        <w:pStyle w:val="3"/>
        <w:ind w:left="0" w:leftChars="0" w:firstLine="0" w:firstLineChars="0"/>
        <w:rPr>
          <w:rFonts w:hint="eastAsia"/>
          <w:lang w:val="zh-CN"/>
        </w:rPr>
      </w:pPr>
    </w:p>
    <w:p>
      <w:pPr>
        <w:spacing w:line="360" w:lineRule="auto"/>
        <w:jc w:val="center"/>
        <w:rPr>
          <w:rFonts w:ascii="宋体" w:hAnsi="宋体" w:cs="Times New Roman"/>
          <w:b/>
          <w:bCs/>
          <w:sz w:val="24"/>
          <w:szCs w:val="24"/>
          <w:highlight w:val="white"/>
          <w:lang w:val="zh-CN"/>
        </w:rPr>
      </w:pPr>
      <w:r>
        <w:rPr>
          <w:rFonts w:hint="eastAsia" w:ascii="宋体" w:hAnsi="宋体" w:cs="Times New Roman"/>
          <w:b/>
          <w:bCs/>
          <w:sz w:val="24"/>
          <w:szCs w:val="24"/>
          <w:highlight w:val="white"/>
          <w:lang w:val="zh-CN"/>
        </w:rPr>
        <w:t>格式</w:t>
      </w:r>
      <w:r>
        <w:rPr>
          <w:rFonts w:hint="eastAsia" w:ascii="宋体" w:hAnsi="宋体" w:cs="Times New Roman"/>
          <w:b/>
          <w:bCs/>
          <w:sz w:val="24"/>
          <w:szCs w:val="24"/>
          <w:highlight w:val="white"/>
        </w:rPr>
        <w:t>10</w:t>
      </w:r>
      <w:r>
        <w:rPr>
          <w:rFonts w:hint="eastAsia" w:ascii="宋体" w:hAnsi="宋体" w:cs="Times New Roman"/>
          <w:b/>
          <w:bCs/>
          <w:sz w:val="24"/>
          <w:szCs w:val="24"/>
          <w:highlight w:val="white"/>
          <w:lang w:val="zh-CN"/>
        </w:rPr>
        <w:t>、</w:t>
      </w:r>
      <w:r>
        <w:rPr>
          <w:rFonts w:hint="eastAsia" w:ascii="宋体" w:hAnsi="宋体"/>
          <w:b/>
          <w:bCs/>
          <w:sz w:val="24"/>
          <w:szCs w:val="24"/>
          <w:lang w:bidi="zh-CN"/>
        </w:rPr>
        <w:t>中小企业声明函(服务)</w:t>
      </w:r>
    </w:p>
    <w:p>
      <w:pPr>
        <w:pStyle w:val="2"/>
        <w:spacing w:line="360" w:lineRule="auto"/>
        <w:ind w:firstLine="480" w:firstLineChars="200"/>
        <w:jc w:val="left"/>
        <w:rPr>
          <w:rFonts w:hAnsi="宋体" w:cs="宋体"/>
          <w:sz w:val="24"/>
          <w:szCs w:val="24"/>
        </w:rPr>
      </w:pPr>
      <w:r>
        <w:rPr>
          <w:rFonts w:hint="eastAsia" w:hAnsi="宋体" w:cs="宋体"/>
          <w:sz w:val="24"/>
          <w:szCs w:val="24"/>
        </w:rPr>
        <w:t>本公司(联合体)郑重声明，根据《政府采购促进中小企业发展管理办法》(财库( 2020 )46号)的规定，本公司(联合体)参加</w:t>
      </w:r>
      <w:r>
        <w:rPr>
          <w:rFonts w:hint="eastAsia" w:hAnsi="宋体" w:cs="宋体"/>
          <w:sz w:val="24"/>
          <w:szCs w:val="24"/>
          <w:u w:val="single"/>
        </w:rPr>
        <w:t xml:space="preserve">  (单位名称)  </w:t>
      </w:r>
      <w:r>
        <w:rPr>
          <w:rFonts w:hint="eastAsia" w:hAnsi="宋体" w:cs="宋体"/>
          <w:sz w:val="24"/>
          <w:szCs w:val="24"/>
        </w:rPr>
        <w:t>的</w:t>
      </w:r>
      <w:r>
        <w:rPr>
          <w:rFonts w:hint="eastAsia" w:hAnsi="宋体" w:cs="宋体"/>
          <w:sz w:val="24"/>
          <w:szCs w:val="24"/>
          <w:u w:val="single"/>
        </w:rPr>
        <w:t xml:space="preserve"> (项目名称) </w:t>
      </w:r>
      <w:r>
        <w:rPr>
          <w:rFonts w:hint="eastAsia"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
        <w:numPr>
          <w:ilvl w:val="0"/>
          <w:numId w:val="4"/>
        </w:numPr>
        <w:spacing w:line="360" w:lineRule="auto"/>
        <w:jc w:val="left"/>
        <w:rPr>
          <w:rFonts w:hAnsi="宋体" w:cs="宋体"/>
          <w:sz w:val="24"/>
          <w:szCs w:val="24"/>
        </w:rPr>
      </w:pPr>
      <w:r>
        <w:rPr>
          <w:rFonts w:hint="eastAsia" w:hAnsi="宋体" w:cs="宋体"/>
          <w:sz w:val="24"/>
          <w:szCs w:val="24"/>
          <w:u w:val="single"/>
        </w:rPr>
        <w:t xml:space="preserve"> (标的名称)</w:t>
      </w:r>
      <w:r>
        <w:rPr>
          <w:rFonts w:hint="eastAsia" w:hAnsi="宋体" w:cs="宋体"/>
          <w:sz w:val="24"/>
          <w:szCs w:val="24"/>
        </w:rPr>
        <w:t>，属于</w:t>
      </w:r>
      <w:r>
        <w:rPr>
          <w:rFonts w:hint="eastAsia" w:hAnsi="宋体" w:cs="宋体"/>
          <w:sz w:val="24"/>
          <w:szCs w:val="24"/>
          <w:u w:val="single"/>
        </w:rPr>
        <w:t xml:space="preserve"> (采购文件中明确的所属行业)</w:t>
      </w:r>
      <w:r>
        <w:rPr>
          <w:rFonts w:hint="eastAsia" w:hAnsi="宋体" w:cs="宋体"/>
          <w:sz w:val="24"/>
          <w:szCs w:val="24"/>
        </w:rPr>
        <w:t xml:space="preserve"> ；承建(承接)企业为</w:t>
      </w:r>
      <w:r>
        <w:rPr>
          <w:rFonts w:hint="eastAsia" w:hAnsi="宋体" w:cs="宋体"/>
          <w:sz w:val="24"/>
          <w:szCs w:val="24"/>
          <w:u w:val="single"/>
        </w:rPr>
        <w:t xml:space="preserve"> (企业名称)</w:t>
      </w:r>
      <w:r>
        <w:rPr>
          <w:rFonts w:hint="eastAsia" w:hAnsi="宋体" w:cs="宋体"/>
          <w:sz w:val="24"/>
          <w:szCs w:val="24"/>
        </w:rPr>
        <w:t>，从业人员人， 营业收入为万元，资产总额为万元，属于</w:t>
      </w:r>
      <w:r>
        <w:rPr>
          <w:rFonts w:hint="eastAsia" w:hAnsi="宋体" w:cs="宋体"/>
          <w:sz w:val="24"/>
          <w:szCs w:val="24"/>
          <w:u w:val="single"/>
        </w:rPr>
        <w:t>(中型企业、小型企业、微型企业)</w:t>
      </w:r>
      <w:r>
        <w:rPr>
          <w:rFonts w:hint="eastAsia" w:hAnsi="宋体" w:cs="宋体"/>
          <w:sz w:val="24"/>
          <w:szCs w:val="24"/>
        </w:rPr>
        <w:t xml:space="preserve"> ；</w:t>
      </w:r>
    </w:p>
    <w:p>
      <w:pPr>
        <w:pStyle w:val="2"/>
        <w:numPr>
          <w:ilvl w:val="0"/>
          <w:numId w:val="4"/>
        </w:numPr>
        <w:spacing w:line="360" w:lineRule="auto"/>
        <w:jc w:val="left"/>
        <w:rPr>
          <w:rFonts w:hAnsi="宋体" w:cs="宋体"/>
          <w:sz w:val="24"/>
          <w:szCs w:val="24"/>
        </w:rPr>
      </w:pPr>
      <w:r>
        <w:rPr>
          <w:rFonts w:hint="eastAsia" w:hAnsi="宋体" w:cs="宋体"/>
          <w:sz w:val="24"/>
          <w:szCs w:val="24"/>
          <w:u w:val="single"/>
        </w:rPr>
        <w:t xml:space="preserve"> (标的名称)</w:t>
      </w:r>
      <w:r>
        <w:rPr>
          <w:rFonts w:hint="eastAsia" w:hAnsi="宋体" w:cs="宋体"/>
          <w:sz w:val="24"/>
          <w:szCs w:val="24"/>
        </w:rPr>
        <w:t>，属于</w:t>
      </w:r>
      <w:r>
        <w:rPr>
          <w:rFonts w:hint="eastAsia" w:hAnsi="宋体" w:cs="宋体"/>
          <w:sz w:val="24"/>
          <w:szCs w:val="24"/>
          <w:u w:val="single"/>
        </w:rPr>
        <w:t xml:space="preserve"> (采购文件中明确的所属行业)</w:t>
      </w:r>
      <w:r>
        <w:rPr>
          <w:rFonts w:hint="eastAsia" w:hAnsi="宋体" w:cs="宋体"/>
          <w:sz w:val="24"/>
          <w:szCs w:val="24"/>
        </w:rPr>
        <w:t xml:space="preserve"> ；承建(承接)企业为</w:t>
      </w:r>
      <w:r>
        <w:rPr>
          <w:rFonts w:hint="eastAsia" w:hAnsi="宋体" w:cs="宋体"/>
          <w:sz w:val="24"/>
          <w:szCs w:val="24"/>
          <w:u w:val="single"/>
        </w:rPr>
        <w:t xml:space="preserve"> (企业名称)</w:t>
      </w:r>
      <w:r>
        <w:rPr>
          <w:rFonts w:hint="eastAsia" w:hAnsi="宋体" w:cs="宋体"/>
          <w:sz w:val="24"/>
          <w:szCs w:val="24"/>
        </w:rPr>
        <w:t>，从业人员人， 营业收入为万元，资产总额为万元，属于</w:t>
      </w:r>
      <w:r>
        <w:rPr>
          <w:rFonts w:hint="eastAsia" w:hAnsi="宋体" w:cs="宋体"/>
          <w:sz w:val="24"/>
          <w:szCs w:val="24"/>
          <w:u w:val="single"/>
        </w:rPr>
        <w:t>(中型企业、小型企业、微型企业)</w:t>
      </w:r>
      <w:r>
        <w:rPr>
          <w:rFonts w:hint="eastAsia" w:hAnsi="宋体" w:cs="宋体"/>
          <w:sz w:val="24"/>
          <w:szCs w:val="24"/>
        </w:rPr>
        <w:t xml:space="preserve"> ；</w:t>
      </w:r>
    </w:p>
    <w:p>
      <w:pPr>
        <w:pStyle w:val="3"/>
        <w:spacing w:line="360" w:lineRule="auto"/>
        <w:rPr>
          <w:rFonts w:ascii="宋体" w:hAnsi="宋体"/>
          <w:sz w:val="24"/>
        </w:rPr>
      </w:pPr>
      <w:r>
        <w:rPr>
          <w:rFonts w:hint="eastAsia" w:ascii="宋体" w:hAnsi="宋体"/>
          <w:sz w:val="24"/>
        </w:rPr>
        <w:t>......</w:t>
      </w:r>
    </w:p>
    <w:p>
      <w:pPr>
        <w:pStyle w:val="2"/>
        <w:spacing w:line="360" w:lineRule="auto"/>
        <w:ind w:firstLine="480" w:firstLineChars="200"/>
        <w:jc w:val="left"/>
        <w:rPr>
          <w:rFonts w:hAnsi="宋体" w:cs="宋体"/>
          <w:sz w:val="24"/>
          <w:szCs w:val="24"/>
        </w:rPr>
      </w:pPr>
      <w:r>
        <w:rPr>
          <w:rFonts w:hint="eastAsia" w:hAnsi="宋体" w:cs="宋体"/>
          <w:sz w:val="24"/>
          <w:szCs w:val="24"/>
        </w:rPr>
        <w:t>以上企业，不属于大企业的分支机构，不存在控股股东为大企业的情形，也不存在与大企业的负责人为同一人的情形。</w:t>
      </w:r>
    </w:p>
    <w:p>
      <w:pPr>
        <w:pStyle w:val="2"/>
        <w:spacing w:line="360" w:lineRule="auto"/>
        <w:ind w:firstLine="480" w:firstLineChars="200"/>
        <w:jc w:val="left"/>
        <w:rPr>
          <w:rFonts w:hAnsi="宋体" w:cs="宋体"/>
          <w:sz w:val="24"/>
          <w:szCs w:val="24"/>
        </w:rPr>
      </w:pPr>
      <w:r>
        <w:rPr>
          <w:rFonts w:hint="eastAsia" w:hAnsi="宋体" w:cs="宋体"/>
          <w:sz w:val="24"/>
          <w:szCs w:val="24"/>
        </w:rPr>
        <w:t>本企业对，上述声明内容的真实性负责。如有虛假，将依法承担相应责任。</w:t>
      </w:r>
    </w:p>
    <w:p>
      <w:pPr>
        <w:pStyle w:val="2"/>
        <w:jc w:val="right"/>
        <w:rPr>
          <w:rFonts w:hAnsi="宋体" w:cs="宋体"/>
          <w:sz w:val="24"/>
          <w:szCs w:val="24"/>
        </w:rPr>
      </w:pPr>
    </w:p>
    <w:p>
      <w:pPr>
        <w:pStyle w:val="2"/>
        <w:jc w:val="right"/>
        <w:rPr>
          <w:rFonts w:hAnsi="宋体" w:cs="宋体"/>
          <w:sz w:val="24"/>
          <w:szCs w:val="24"/>
        </w:rPr>
      </w:pPr>
    </w:p>
    <w:p>
      <w:pPr>
        <w:pStyle w:val="2"/>
        <w:spacing w:line="360" w:lineRule="auto"/>
        <w:jc w:val="left"/>
        <w:rPr>
          <w:rFonts w:hAnsi="宋体" w:cs="宋体"/>
          <w:sz w:val="24"/>
          <w:szCs w:val="24"/>
        </w:rPr>
      </w:pPr>
      <w:r>
        <w:rPr>
          <w:rFonts w:hint="eastAsia" w:hAnsi="宋体" w:cs="宋体"/>
          <w:sz w:val="24"/>
          <w:szCs w:val="24"/>
        </w:rPr>
        <w:t>企业名称(盖章) :</w:t>
      </w:r>
    </w:p>
    <w:p>
      <w:pPr>
        <w:pStyle w:val="2"/>
        <w:spacing w:line="360" w:lineRule="auto"/>
        <w:jc w:val="left"/>
        <w:rPr>
          <w:rFonts w:hint="eastAsia" w:hAnsi="宋体"/>
          <w:sz w:val="24"/>
          <w:szCs w:val="24"/>
        </w:rPr>
      </w:pPr>
      <w:r>
        <w:rPr>
          <w:rFonts w:hint="eastAsia" w:hAnsi="宋体" w:cs="宋体"/>
          <w:sz w:val="24"/>
          <w:szCs w:val="24"/>
        </w:rPr>
        <w:t>日期</w:t>
      </w:r>
      <w:r>
        <w:rPr>
          <w:rFonts w:hint="eastAsia" w:hAnsi="宋体"/>
          <w:sz w:val="24"/>
          <w:szCs w:val="24"/>
        </w:rPr>
        <w:t>:</w:t>
      </w:r>
    </w:p>
    <w:p>
      <w:pPr>
        <w:pStyle w:val="12"/>
        <w:rPr>
          <w:rFonts w:hint="eastAsia" w:ascii="宋体" w:hAnsi="宋体"/>
          <w:sz w:val="24"/>
          <w:szCs w:val="24"/>
        </w:rPr>
      </w:pPr>
    </w:p>
    <w:p>
      <w:pPr>
        <w:rPr>
          <w:rFonts w:hint="eastAsia" w:ascii="宋体" w:hAnsi="宋体" w:cs="Times New Roman"/>
          <w:sz w:val="24"/>
          <w:szCs w:val="24"/>
        </w:rPr>
      </w:pPr>
    </w:p>
    <w:p>
      <w:pPr>
        <w:jc w:val="center"/>
        <w:rPr>
          <w:rFonts w:hint="eastAsia" w:ascii="宋体" w:hAnsi="宋体"/>
          <w:b/>
          <w:bCs/>
          <w:sz w:val="24"/>
          <w:szCs w:val="24"/>
        </w:rPr>
      </w:pPr>
    </w:p>
    <w:p>
      <w:pPr>
        <w:jc w:val="center"/>
        <w:rPr>
          <w:rFonts w:hint="eastAsia" w:ascii="宋体" w:hAnsi="宋体"/>
          <w:b/>
          <w:bCs/>
          <w:sz w:val="24"/>
          <w:szCs w:val="24"/>
        </w:rPr>
      </w:pPr>
    </w:p>
    <w:p>
      <w:pPr>
        <w:jc w:val="center"/>
        <w:rPr>
          <w:rFonts w:hint="eastAsia" w:ascii="宋体" w:hAnsi="宋体"/>
          <w:b/>
          <w:bCs/>
          <w:sz w:val="24"/>
          <w:szCs w:val="24"/>
        </w:rPr>
      </w:pPr>
    </w:p>
    <w:p>
      <w:pPr>
        <w:jc w:val="center"/>
        <w:rPr>
          <w:rFonts w:hint="eastAsia" w:ascii="宋体" w:hAnsi="宋体"/>
          <w:b/>
          <w:bCs/>
          <w:sz w:val="24"/>
          <w:szCs w:val="24"/>
        </w:rPr>
      </w:pPr>
    </w:p>
    <w:p>
      <w:pPr>
        <w:jc w:val="center"/>
        <w:rPr>
          <w:rFonts w:hint="eastAsia" w:ascii="宋体" w:hAnsi="宋体"/>
          <w:b/>
          <w:bCs/>
          <w:sz w:val="24"/>
          <w:szCs w:val="24"/>
        </w:rPr>
      </w:pPr>
    </w:p>
    <w:p>
      <w:pPr>
        <w:rPr>
          <w:rFonts w:hint="eastAsia" w:cs="Times New Roman"/>
        </w:rPr>
      </w:pPr>
    </w:p>
    <w:p>
      <w:pPr>
        <w:jc w:val="center"/>
        <w:rPr>
          <w:rFonts w:hint="eastAsia" w:ascii="宋体" w:hAnsi="宋体"/>
          <w:b/>
          <w:bCs/>
          <w:sz w:val="24"/>
          <w:szCs w:val="24"/>
        </w:rPr>
      </w:pPr>
    </w:p>
    <w:p>
      <w:pPr>
        <w:jc w:val="center"/>
        <w:rPr>
          <w:rFonts w:hint="eastAsia" w:ascii="宋体" w:hAnsi="宋体"/>
          <w:b/>
          <w:bCs/>
          <w:sz w:val="24"/>
          <w:szCs w:val="24"/>
        </w:rPr>
      </w:pPr>
    </w:p>
    <w:p>
      <w:pPr>
        <w:pStyle w:val="2"/>
        <w:rPr>
          <w:rFonts w:hint="eastAsia"/>
        </w:rPr>
      </w:pPr>
    </w:p>
    <w:p>
      <w:pPr>
        <w:jc w:val="both"/>
        <w:rPr>
          <w:rFonts w:hint="eastAsia" w:ascii="宋体" w:hAnsi="宋体"/>
          <w:b/>
          <w:bCs/>
          <w:sz w:val="24"/>
          <w:szCs w:val="24"/>
        </w:rPr>
      </w:pPr>
    </w:p>
    <w:p>
      <w:pPr>
        <w:jc w:val="center"/>
        <w:rPr>
          <w:rFonts w:hint="eastAsia" w:ascii="宋体" w:hAnsi="宋体"/>
          <w:b/>
          <w:bCs/>
          <w:sz w:val="24"/>
          <w:szCs w:val="24"/>
        </w:rPr>
      </w:pPr>
    </w:p>
    <w:p>
      <w:pPr>
        <w:jc w:val="center"/>
        <w:rPr>
          <w:rFonts w:ascii="宋体" w:hAnsi="宋体"/>
          <w:b/>
          <w:bCs/>
          <w:sz w:val="24"/>
          <w:szCs w:val="24"/>
        </w:rPr>
      </w:pPr>
      <w:r>
        <w:rPr>
          <w:rFonts w:hint="eastAsia" w:ascii="宋体" w:hAnsi="宋体"/>
          <w:b/>
          <w:bCs/>
          <w:sz w:val="24"/>
          <w:szCs w:val="24"/>
        </w:rPr>
        <w:t>最终报价或第</w:t>
      </w:r>
      <w:r>
        <w:rPr>
          <w:rFonts w:hint="eastAsia" w:ascii="宋体" w:hAnsi="宋体"/>
          <w:b/>
          <w:bCs/>
          <w:sz w:val="24"/>
          <w:szCs w:val="24"/>
          <w:u w:val="single"/>
        </w:rPr>
        <w:t xml:space="preserve">    </w:t>
      </w:r>
      <w:r>
        <w:rPr>
          <w:rFonts w:hint="eastAsia" w:ascii="宋体" w:hAnsi="宋体"/>
          <w:b/>
          <w:bCs/>
          <w:sz w:val="24"/>
          <w:szCs w:val="24"/>
        </w:rPr>
        <w:t>次报价表</w:t>
      </w:r>
    </w:p>
    <w:p>
      <w:pPr>
        <w:jc w:val="center"/>
        <w:rPr>
          <w:rFonts w:ascii="宋体" w:hAnsi="宋体"/>
          <w:b/>
          <w:bCs/>
          <w:sz w:val="24"/>
          <w:szCs w:val="24"/>
        </w:rPr>
      </w:pPr>
    </w:p>
    <w:p>
      <w:pPr>
        <w:spacing w:line="360" w:lineRule="auto"/>
        <w:ind w:firstLine="240" w:firstLineChars="100"/>
        <w:rPr>
          <w:rFonts w:ascii="宋体" w:hAnsi="宋体"/>
          <w:sz w:val="24"/>
          <w:szCs w:val="24"/>
        </w:rPr>
      </w:pPr>
      <w:r>
        <w:rPr>
          <w:rFonts w:hint="eastAsia" w:ascii="宋体" w:hAnsi="宋体"/>
          <w:sz w:val="24"/>
          <w:szCs w:val="24"/>
        </w:rPr>
        <w:t xml:space="preserve">项目编号：                                              货币单位： 元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2543" w:type="dxa"/>
            <w:tcBorders>
              <w:top w:val="single" w:color="auto" w:sz="4" w:space="0"/>
              <w:bottom w:val="single" w:color="auto" w:sz="4" w:space="0"/>
              <w:right w:val="single" w:color="auto" w:sz="4" w:space="0"/>
            </w:tcBorders>
            <w:noWrap w:val="0"/>
            <w:vAlign w:val="center"/>
          </w:tcPr>
          <w:p>
            <w:pPr>
              <w:wordWrap w:val="0"/>
              <w:topLinePunct/>
              <w:spacing w:line="360" w:lineRule="auto"/>
              <w:jc w:val="center"/>
              <w:rPr>
                <w:rFonts w:ascii="宋体" w:hAnsi="宋体"/>
                <w:sz w:val="24"/>
                <w:szCs w:val="24"/>
              </w:rPr>
            </w:pPr>
            <w:r>
              <w:rPr>
                <w:rFonts w:hint="eastAsia" w:ascii="宋体" w:hAnsi="宋体"/>
                <w:sz w:val="24"/>
                <w:szCs w:val="24"/>
              </w:rPr>
              <w:t>项 目 名 称</w:t>
            </w:r>
          </w:p>
        </w:tc>
        <w:tc>
          <w:tcPr>
            <w:tcW w:w="6497" w:type="dxa"/>
            <w:tcBorders>
              <w:top w:val="single" w:color="auto" w:sz="4" w:space="0"/>
              <w:bottom w:val="single" w:color="auto" w:sz="4" w:space="0"/>
              <w:right w:val="single" w:color="auto" w:sz="4" w:space="0"/>
            </w:tcBorders>
            <w:noWrap w:val="0"/>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43" w:type="dxa"/>
            <w:tcBorders>
              <w:top w:val="nil"/>
            </w:tcBorders>
            <w:noWrap w:val="0"/>
            <w:vAlign w:val="center"/>
          </w:tcPr>
          <w:p>
            <w:pPr>
              <w:wordWrap w:val="0"/>
              <w:topLinePunct/>
              <w:spacing w:line="360" w:lineRule="auto"/>
              <w:jc w:val="center"/>
              <w:rPr>
                <w:rFonts w:ascii="宋体" w:hAnsi="宋体"/>
                <w:sz w:val="24"/>
                <w:szCs w:val="24"/>
              </w:rPr>
            </w:pPr>
            <w:r>
              <w:rPr>
                <w:rFonts w:hint="eastAsia" w:ascii="宋体" w:hAnsi="宋体"/>
                <w:sz w:val="24"/>
                <w:szCs w:val="24"/>
              </w:rPr>
              <w:t>投标人名称</w:t>
            </w:r>
          </w:p>
        </w:tc>
        <w:tc>
          <w:tcPr>
            <w:tcW w:w="6497" w:type="dxa"/>
            <w:tcBorders>
              <w:top w:val="nil"/>
            </w:tcBorders>
            <w:noWrap w:val="0"/>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jc w:val="center"/>
        </w:trPr>
        <w:tc>
          <w:tcPr>
            <w:tcW w:w="2543" w:type="dxa"/>
            <w:tcBorders>
              <w:bottom w:val="single" w:color="auto" w:sz="4" w:space="0"/>
            </w:tcBorders>
            <w:noWrap w:val="0"/>
            <w:vAlign w:val="center"/>
          </w:tcPr>
          <w:p>
            <w:pPr>
              <w:wordWrap w:val="0"/>
              <w:topLinePunct/>
              <w:spacing w:line="360" w:lineRule="auto"/>
              <w:jc w:val="center"/>
              <w:rPr>
                <w:rFonts w:ascii="宋体" w:hAnsi="宋体"/>
                <w:sz w:val="24"/>
                <w:szCs w:val="24"/>
              </w:rPr>
            </w:pPr>
            <w:r>
              <w:rPr>
                <w:rFonts w:hint="eastAsia" w:ascii="宋体" w:hAnsi="宋体"/>
                <w:sz w:val="24"/>
                <w:szCs w:val="24"/>
              </w:rPr>
              <w:t>投标报价</w:t>
            </w:r>
          </w:p>
          <w:p>
            <w:pPr>
              <w:wordWrap w:val="0"/>
              <w:topLinePunct/>
              <w:spacing w:line="360" w:lineRule="auto"/>
              <w:jc w:val="center"/>
              <w:rPr>
                <w:rFonts w:ascii="宋体" w:hAnsi="宋体"/>
                <w:sz w:val="24"/>
                <w:szCs w:val="24"/>
              </w:rPr>
            </w:pPr>
            <w:r>
              <w:rPr>
                <w:rFonts w:hint="eastAsia" w:ascii="宋体" w:hAnsi="宋体"/>
                <w:sz w:val="24"/>
                <w:szCs w:val="24"/>
              </w:rPr>
              <w:t>（人民币）</w:t>
            </w:r>
          </w:p>
        </w:tc>
        <w:tc>
          <w:tcPr>
            <w:tcW w:w="6497" w:type="dxa"/>
            <w:tcBorders>
              <w:bottom w:val="single" w:color="auto" w:sz="4" w:space="0"/>
            </w:tcBorders>
            <w:noWrap w:val="0"/>
            <w:vAlign w:val="center"/>
          </w:tcPr>
          <w:p>
            <w:pPr>
              <w:snapToGrid w:val="0"/>
              <w:rPr>
                <w:rFonts w:ascii="宋体" w:hAnsi="宋体"/>
                <w:sz w:val="24"/>
                <w:szCs w:val="24"/>
              </w:rPr>
            </w:pPr>
          </w:p>
          <w:p>
            <w:pPr>
              <w:snapToGrid w:val="0"/>
              <w:rPr>
                <w:rFonts w:ascii="宋体" w:hAnsi="宋体"/>
                <w:sz w:val="24"/>
                <w:szCs w:val="24"/>
              </w:rPr>
            </w:pPr>
            <w:r>
              <w:rPr>
                <w:rFonts w:hint="eastAsia" w:ascii="宋体" w:hAnsi="宋体"/>
                <w:sz w:val="24"/>
                <w:szCs w:val="24"/>
              </w:rPr>
              <w:t>(大写）人民币</w:t>
            </w:r>
          </w:p>
          <w:p>
            <w:pPr>
              <w:wordWrap w:val="0"/>
              <w:topLinePunct/>
              <w:rPr>
                <w:rFonts w:ascii="宋体" w:hAnsi="宋体"/>
                <w:sz w:val="24"/>
                <w:szCs w:val="24"/>
              </w:rPr>
            </w:pPr>
          </w:p>
          <w:p>
            <w:pPr>
              <w:wordWrap w:val="0"/>
              <w:topLinePunct/>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2543" w:type="dxa"/>
            <w:tcBorders>
              <w:bottom w:val="single" w:color="auto" w:sz="4" w:space="0"/>
            </w:tcBorders>
            <w:noWrap w:val="0"/>
            <w:vAlign w:val="center"/>
          </w:tcPr>
          <w:p>
            <w:pPr>
              <w:wordWrap w:val="0"/>
              <w:topLinePunct/>
              <w:spacing w:line="360" w:lineRule="auto"/>
              <w:jc w:val="center"/>
              <w:rPr>
                <w:rFonts w:ascii="宋体" w:hAnsi="宋体"/>
                <w:sz w:val="24"/>
                <w:szCs w:val="24"/>
              </w:rPr>
            </w:pPr>
            <w:r>
              <w:rPr>
                <w:rFonts w:hint="eastAsia" w:ascii="宋体" w:hAnsi="宋体"/>
                <w:sz w:val="24"/>
                <w:szCs w:val="24"/>
              </w:rPr>
              <w:t>质量要求</w:t>
            </w:r>
          </w:p>
        </w:tc>
        <w:tc>
          <w:tcPr>
            <w:tcW w:w="6497" w:type="dxa"/>
            <w:tcBorders>
              <w:bottom w:val="single" w:color="auto" w:sz="4" w:space="0"/>
            </w:tcBorders>
            <w:noWrap w:val="0"/>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543" w:type="dxa"/>
            <w:noWrap w:val="0"/>
            <w:vAlign w:val="center"/>
          </w:tcPr>
          <w:p>
            <w:pPr>
              <w:wordWrap w:val="0"/>
              <w:topLinePunct/>
              <w:spacing w:line="360" w:lineRule="auto"/>
              <w:jc w:val="center"/>
              <w:rPr>
                <w:rFonts w:ascii="宋体" w:hAnsi="宋体"/>
                <w:sz w:val="24"/>
                <w:szCs w:val="24"/>
              </w:rPr>
            </w:pPr>
            <w:r>
              <w:rPr>
                <w:rFonts w:hint="eastAsia" w:ascii="宋体" w:hAnsi="宋体"/>
                <w:sz w:val="24"/>
                <w:szCs w:val="24"/>
              </w:rPr>
              <w:t>服务期</w:t>
            </w:r>
          </w:p>
        </w:tc>
        <w:tc>
          <w:tcPr>
            <w:tcW w:w="6497" w:type="dxa"/>
            <w:noWrap w:val="0"/>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2543" w:type="dxa"/>
            <w:noWrap w:val="0"/>
            <w:vAlign w:val="center"/>
          </w:tcPr>
          <w:p>
            <w:pPr>
              <w:wordWrap w:val="0"/>
              <w:topLinePunct/>
              <w:spacing w:line="360" w:lineRule="auto"/>
              <w:jc w:val="center"/>
              <w:rPr>
                <w:rFonts w:ascii="宋体" w:hAnsi="宋体"/>
                <w:sz w:val="24"/>
                <w:szCs w:val="24"/>
              </w:rPr>
            </w:pPr>
            <w:r>
              <w:rPr>
                <w:rFonts w:hint="eastAsia" w:ascii="宋体" w:hAnsi="宋体"/>
                <w:sz w:val="24"/>
                <w:szCs w:val="24"/>
              </w:rPr>
              <w:t>付款方式</w:t>
            </w:r>
          </w:p>
          <w:p>
            <w:pPr>
              <w:wordWrap w:val="0"/>
              <w:topLinePunct/>
              <w:spacing w:line="360" w:lineRule="auto"/>
              <w:jc w:val="center"/>
              <w:rPr>
                <w:rFonts w:ascii="宋体" w:hAnsi="宋体"/>
                <w:sz w:val="24"/>
                <w:szCs w:val="24"/>
              </w:rPr>
            </w:pPr>
            <w:r>
              <w:rPr>
                <w:rFonts w:hint="eastAsia" w:ascii="宋体" w:hAnsi="宋体"/>
                <w:sz w:val="24"/>
                <w:szCs w:val="24"/>
              </w:rPr>
              <w:t>是否响应</w:t>
            </w:r>
          </w:p>
        </w:tc>
        <w:tc>
          <w:tcPr>
            <w:tcW w:w="6497" w:type="dxa"/>
            <w:noWrap w:val="0"/>
            <w:vAlign w:val="center"/>
          </w:tcPr>
          <w:p>
            <w:pPr>
              <w:wordWrap w:val="0"/>
              <w:topLinePunct/>
              <w:spacing w:line="360" w:lineRule="auto"/>
              <w:rPr>
                <w:rFonts w:ascii="宋体" w:hAnsi="宋体"/>
                <w:sz w:val="24"/>
                <w:szCs w:val="24"/>
              </w:rPr>
            </w:pPr>
            <w:r>
              <w:rPr>
                <w:rFonts w:hint="eastAsia" w:ascii="宋体" w:hAnsi="宋体"/>
                <w:sz w:val="24"/>
                <w:szCs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2543" w:type="dxa"/>
            <w:noWrap w:val="0"/>
            <w:vAlign w:val="center"/>
          </w:tcPr>
          <w:p>
            <w:pPr>
              <w:wordWrap w:val="0"/>
              <w:topLinePunct/>
              <w:spacing w:line="360" w:lineRule="auto"/>
              <w:jc w:val="center"/>
              <w:rPr>
                <w:rFonts w:ascii="宋体" w:hAnsi="宋体"/>
                <w:sz w:val="24"/>
                <w:szCs w:val="24"/>
              </w:rPr>
            </w:pPr>
            <w:r>
              <w:rPr>
                <w:rFonts w:hint="eastAsia" w:ascii="宋体" w:hAnsi="宋体"/>
                <w:sz w:val="24"/>
                <w:szCs w:val="24"/>
              </w:rPr>
              <w:t>备注</w:t>
            </w:r>
          </w:p>
        </w:tc>
        <w:tc>
          <w:tcPr>
            <w:tcW w:w="6497" w:type="dxa"/>
            <w:noWrap w:val="0"/>
            <w:vAlign w:val="center"/>
          </w:tcPr>
          <w:p>
            <w:pPr>
              <w:wordWrap w:val="0"/>
              <w:topLinePunct/>
              <w:spacing w:line="360" w:lineRule="auto"/>
              <w:rPr>
                <w:rFonts w:ascii="宋体" w:hAnsi="宋体"/>
                <w:sz w:val="24"/>
                <w:szCs w:val="24"/>
              </w:rPr>
            </w:pPr>
          </w:p>
        </w:tc>
      </w:tr>
    </w:tbl>
    <w:p>
      <w:pPr>
        <w:pStyle w:val="25"/>
        <w:spacing w:line="360" w:lineRule="auto"/>
        <w:rPr>
          <w:rFonts w:ascii="宋体" w:hAnsi="宋体"/>
          <w:sz w:val="24"/>
          <w:szCs w:val="24"/>
        </w:rPr>
      </w:pPr>
    </w:p>
    <w:p>
      <w:pPr>
        <w:pStyle w:val="25"/>
        <w:spacing w:line="360" w:lineRule="auto"/>
        <w:ind w:firstLine="240" w:firstLineChars="100"/>
        <w:rPr>
          <w:rFonts w:ascii="宋体" w:hAnsi="宋体"/>
          <w:sz w:val="24"/>
          <w:szCs w:val="24"/>
        </w:rPr>
      </w:pPr>
      <w:r>
        <w:rPr>
          <w:rFonts w:hint="eastAsia" w:ascii="宋体" w:hAnsi="宋体"/>
          <w:sz w:val="24"/>
          <w:szCs w:val="24"/>
        </w:rPr>
        <w:t>投标人(公章)：                 授权代表（或法人代表）签字或盖章：</w:t>
      </w:r>
    </w:p>
    <w:p>
      <w:pPr>
        <w:spacing w:line="360" w:lineRule="auto"/>
        <w:jc w:val="left"/>
        <w:rPr>
          <w:rFonts w:ascii="宋体" w:hAnsi="宋体"/>
          <w:b/>
          <w:sz w:val="24"/>
          <w:szCs w:val="24"/>
          <w:lang w:val="zh-CN"/>
        </w:rPr>
      </w:pPr>
    </w:p>
    <w:p>
      <w:pPr>
        <w:spacing w:line="360" w:lineRule="auto"/>
        <w:jc w:val="left"/>
        <w:rPr>
          <w:rFonts w:hint="eastAsia" w:ascii="宋体" w:hAnsi="宋体"/>
          <w:sz w:val="24"/>
          <w:szCs w:val="24"/>
        </w:rPr>
      </w:pPr>
      <w:r>
        <w:rPr>
          <w:rFonts w:hint="eastAsia" w:ascii="宋体" w:hAnsi="宋体"/>
          <w:b/>
          <w:sz w:val="24"/>
          <w:szCs w:val="24"/>
          <w:lang w:val="zh-CN"/>
        </w:rPr>
        <w:t>注：本页&lt;最终报价书&gt;由投标人在磋商现场依磋商情况填写，请加盖公章后带至开标现场备填（不需要装订在磋商响应文件内，请准备不少于两张），</w:t>
      </w:r>
      <w:r>
        <w:rPr>
          <w:rFonts w:hint="eastAsia" w:ascii="宋体" w:hAnsi="宋体"/>
          <w:b/>
          <w:sz w:val="24"/>
          <w:szCs w:val="24"/>
          <w:u w:val="single"/>
          <w:lang w:val="zh-CN"/>
        </w:rPr>
        <w:t>该表供磋商现场报价使用，打印该空表用于现场最终报价</w:t>
      </w:r>
      <w:r>
        <w:rPr>
          <w:rFonts w:hint="eastAsia" w:ascii="宋体" w:hAnsi="宋体"/>
          <w:b/>
          <w:sz w:val="24"/>
          <w:szCs w:val="24"/>
          <w:lang w:val="zh-CN"/>
        </w:rPr>
        <w:t>。</w:t>
      </w:r>
      <w:r>
        <w:rPr>
          <w:rFonts w:hint="eastAsia" w:ascii="宋体" w:hAnsi="宋体"/>
          <w:sz w:val="24"/>
          <w:szCs w:val="24"/>
          <w:lang w:val="zh-CN"/>
        </w:rPr>
        <w:t>考虑投标报价的方便，</w:t>
      </w:r>
      <w:r>
        <w:rPr>
          <w:rFonts w:hint="eastAsia" w:ascii="宋体" w:hAnsi="宋体"/>
          <w:sz w:val="24"/>
          <w:szCs w:val="24"/>
        </w:rPr>
        <w:t>投标人</w:t>
      </w:r>
      <w:r>
        <w:rPr>
          <w:rFonts w:hint="eastAsia" w:ascii="宋体" w:hAnsi="宋体"/>
          <w:sz w:val="24"/>
          <w:szCs w:val="24"/>
          <w:lang w:val="zh-CN"/>
        </w:rPr>
        <w:t>在填写的最终承诺报价为合同总价，项目所需费用均包含在合同总价内。</w:t>
      </w: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5</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3"/>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99668"/>
    <w:multiLevelType w:val="singleLevel"/>
    <w:tmpl w:val="86199668"/>
    <w:lvl w:ilvl="0" w:tentative="0">
      <w:start w:val="7"/>
      <w:numFmt w:val="chineseCounting"/>
      <w:suff w:val="nothing"/>
      <w:lvlText w:val="%1、"/>
      <w:lvlJc w:val="left"/>
      <w:rPr>
        <w:rFonts w:hint="eastAsia"/>
      </w:rPr>
    </w:lvl>
  </w:abstractNum>
  <w:abstractNum w:abstractNumId="1">
    <w:nsid w:val="8A3FB28B"/>
    <w:multiLevelType w:val="singleLevel"/>
    <w:tmpl w:val="8A3FB28B"/>
    <w:lvl w:ilvl="0" w:tentative="0">
      <w:start w:val="1"/>
      <w:numFmt w:val="chineseCounting"/>
      <w:suff w:val="space"/>
      <w:lvlText w:val="第%1章"/>
      <w:lvlJc w:val="left"/>
      <w:rPr>
        <w:rFonts w:hint="eastAsia"/>
      </w:rPr>
    </w:lvl>
  </w:abstractNum>
  <w:abstractNum w:abstractNumId="2">
    <w:nsid w:val="1AC89A7E"/>
    <w:multiLevelType w:val="singleLevel"/>
    <w:tmpl w:val="1AC89A7E"/>
    <w:lvl w:ilvl="0" w:tentative="0">
      <w:start w:val="1"/>
      <w:numFmt w:val="decimal"/>
      <w:suff w:val="space"/>
      <w:lvlText w:val="%1."/>
      <w:lvlJc w:val="left"/>
    </w:lvl>
  </w:abstractNum>
  <w:abstractNum w:abstractNumId="3">
    <w:nsid w:val="67C46CFC"/>
    <w:multiLevelType w:val="singleLevel"/>
    <w:tmpl w:val="67C46CFC"/>
    <w:lvl w:ilvl="0" w:tentative="0">
      <w:start w:val="3"/>
      <w:numFmt w:val="chineseCounting"/>
      <w:suff w:val="space"/>
      <w:lvlText w:val="第%1章"/>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OGYxNDE1Y2Q3MGFiNjU4MTNhY2FjYTIyYzZhZGIifQ=="/>
  </w:docVars>
  <w:rsids>
    <w:rsidRoot w:val="00000000"/>
    <w:rsid w:val="14D047CF"/>
    <w:rsid w:val="16733C17"/>
    <w:rsid w:val="17F7582F"/>
    <w:rsid w:val="1ABA2004"/>
    <w:rsid w:val="22587499"/>
    <w:rsid w:val="2EF13250"/>
    <w:rsid w:val="345676CA"/>
    <w:rsid w:val="36B40F9D"/>
    <w:rsid w:val="3F216A02"/>
    <w:rsid w:val="3F28618C"/>
    <w:rsid w:val="43A83E9E"/>
    <w:rsid w:val="4D0704A0"/>
    <w:rsid w:val="4D64761A"/>
    <w:rsid w:val="64CA677A"/>
    <w:rsid w:val="70961C91"/>
    <w:rsid w:val="70EE5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4">
    <w:name w:val="heading 1"/>
    <w:basedOn w:val="1"/>
    <w:next w:val="1"/>
    <w:qFormat/>
    <w:uiPriority w:val="0"/>
    <w:pPr>
      <w:keepNext/>
      <w:keepLines/>
      <w:spacing w:before="340" w:after="330" w:line="576" w:lineRule="auto"/>
      <w:outlineLvl w:val="0"/>
    </w:pPr>
    <w:rPr>
      <w:rFonts w:ascii="Calibri" w:hAnsi="Calibri" w:cs="Times New Roman"/>
      <w:b/>
      <w:bCs/>
      <w:kern w:val="44"/>
      <w:sz w:val="30"/>
      <w:szCs w:val="30"/>
    </w:rPr>
  </w:style>
  <w:style w:type="paragraph" w:styleId="5">
    <w:name w:val="heading 2"/>
    <w:basedOn w:val="1"/>
    <w:next w:val="1"/>
    <w:qFormat/>
    <w:uiPriority w:val="0"/>
    <w:pPr>
      <w:keepNext/>
      <w:keepLines/>
      <w:spacing w:before="260" w:after="260" w:line="415" w:lineRule="auto"/>
      <w:ind w:firstLine="628"/>
      <w:jc w:val="center"/>
      <w:outlineLvl w:val="1"/>
    </w:pPr>
    <w:rPr>
      <w:rFonts w:ascii="Arial" w:hAnsi="Arial" w:eastAsia="黑体" w:cs="Times New Roman"/>
      <w:b/>
      <w:bCs/>
      <w:kern w:val="0"/>
      <w:sz w:val="32"/>
      <w:szCs w:val="32"/>
    </w:rPr>
  </w:style>
  <w:style w:type="paragraph" w:styleId="6">
    <w:name w:val="heading 3"/>
    <w:basedOn w:val="1"/>
    <w:next w:val="1"/>
    <w:qFormat/>
    <w:uiPriority w:val="0"/>
    <w:pPr>
      <w:keepNext/>
      <w:keepLines/>
      <w:spacing w:before="260" w:after="260" w:line="415" w:lineRule="auto"/>
      <w:jc w:val="center"/>
      <w:outlineLvl w:val="2"/>
    </w:pPr>
    <w:rPr>
      <w:rFonts w:ascii="宋体" w:hAnsi="Calibri" w:cs="Times New Roman"/>
      <w:b/>
      <w:bCs/>
      <w:kern w:val="0"/>
      <w:sz w:val="32"/>
      <w:szCs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Arial" w:cs="Times New Roman"/>
      <w:kern w:val="0"/>
      <w:sz w:val="28"/>
      <w:szCs w:val="28"/>
    </w:rPr>
  </w:style>
  <w:style w:type="paragraph" w:styleId="3">
    <w:name w:val="toc 2"/>
    <w:basedOn w:val="1"/>
    <w:next w:val="1"/>
    <w:qFormat/>
    <w:uiPriority w:val="0"/>
    <w:pPr>
      <w:ind w:left="210"/>
      <w:jc w:val="left"/>
    </w:pPr>
    <w:rPr>
      <w:smallCaps/>
      <w:kern w:val="1"/>
      <w:sz w:val="28"/>
      <w:szCs w:val="24"/>
    </w:rPr>
  </w:style>
  <w:style w:type="paragraph" w:styleId="7">
    <w:name w:val="Body Text 3"/>
    <w:basedOn w:val="1"/>
    <w:qFormat/>
    <w:uiPriority w:val="0"/>
    <w:rPr>
      <w:rFonts w:ascii="黑体" w:hAnsi="Arial" w:eastAsia="黑体" w:cs="Times New Roman"/>
      <w:b/>
      <w:bCs/>
      <w:kern w:val="0"/>
      <w:sz w:val="28"/>
      <w:szCs w:val="28"/>
    </w:rPr>
  </w:style>
  <w:style w:type="paragraph" w:styleId="8">
    <w:name w:val="Body Text Indent"/>
    <w:basedOn w:val="1"/>
    <w:next w:val="9"/>
    <w:qFormat/>
    <w:uiPriority w:val="0"/>
    <w:pPr>
      <w:ind w:firstLine="645"/>
    </w:pPr>
    <w:rPr>
      <w:rFonts w:ascii="楷体_GB2312" w:hAnsi="Calibri" w:eastAsia="楷体_GB2312" w:cs="Times New Roman"/>
      <w:kern w:val="0"/>
      <w:sz w:val="32"/>
      <w:szCs w:val="32"/>
    </w:rPr>
  </w:style>
  <w:style w:type="paragraph" w:styleId="9">
    <w:name w:val="envelope return"/>
    <w:basedOn w:val="1"/>
    <w:qFormat/>
    <w:uiPriority w:val="0"/>
    <w:pPr>
      <w:snapToGrid w:val="0"/>
    </w:pPr>
    <w:rPr>
      <w:rFonts w:ascii="Arial" w:hAnsi="Arial" w:eastAsia="宋体" w:cs="Arial"/>
      <w:sz w:val="21"/>
      <w:szCs w:val="24"/>
    </w:rPr>
  </w:style>
  <w:style w:type="paragraph" w:styleId="10">
    <w:name w:val="List 2"/>
    <w:basedOn w:val="1"/>
    <w:qFormat/>
    <w:uiPriority w:val="0"/>
    <w:pPr>
      <w:spacing w:before="100" w:beforeAutospacing="1" w:after="100" w:afterAutospacing="1"/>
      <w:ind w:left="100" w:leftChars="200" w:hanging="200" w:hangingChars="200"/>
    </w:pPr>
    <w:rPr>
      <w:rFonts w:ascii="Times New Roman" w:hAnsi="Times New Roman" w:eastAsia="宋体" w:cs="Times New Roman"/>
    </w:rPr>
  </w:style>
  <w:style w:type="paragraph" w:styleId="11">
    <w:name w:val="Plain Text"/>
    <w:basedOn w:val="1"/>
    <w:qFormat/>
    <w:uiPriority w:val="0"/>
    <w:rPr>
      <w:rFonts w:ascii="宋体" w:hAnsi="Courier New" w:cs="Times New Roman"/>
      <w:kern w:val="0"/>
      <w:sz w:val="20"/>
    </w:rPr>
  </w:style>
  <w:style w:type="paragraph" w:styleId="12">
    <w:name w:val="Date"/>
    <w:basedOn w:val="1"/>
    <w:next w:val="1"/>
    <w:qFormat/>
    <w:uiPriority w:val="0"/>
    <w:rPr>
      <w:rFonts w:ascii="Calibri" w:hAnsi="Calibri" w:cs="Times New Roman"/>
      <w:b/>
      <w:bCs/>
      <w:kern w:val="0"/>
      <w:sz w:val="28"/>
      <w:szCs w:val="28"/>
    </w:rPr>
  </w:style>
  <w:style w:type="paragraph" w:styleId="13">
    <w:name w:val="footer"/>
    <w:basedOn w:val="1"/>
    <w:qFormat/>
    <w:uiPriority w:val="0"/>
    <w:pPr>
      <w:snapToGrid w:val="0"/>
      <w:jc w:val="left"/>
    </w:pPr>
    <w:rPr>
      <w:rFonts w:ascii="Calibri" w:hAnsi="Calibri" w:cs="Times New Roman"/>
      <w:kern w:val="0"/>
      <w:sz w:val="18"/>
      <w:szCs w:val="18"/>
    </w:rPr>
  </w:style>
  <w:style w:type="paragraph" w:styleId="14">
    <w:name w:val="header"/>
    <w:basedOn w:val="1"/>
    <w:next w:val="1"/>
    <w:qFormat/>
    <w:uiPriority w:val="0"/>
    <w:pPr>
      <w:pBdr>
        <w:bottom w:val="single" w:color="auto" w:sz="6" w:space="1"/>
      </w:pBdr>
      <w:snapToGrid w:val="0"/>
      <w:jc w:val="center"/>
    </w:pPr>
    <w:rPr>
      <w:rFonts w:ascii="Calibri" w:hAnsi="Calibri" w:cs="Times New Roman"/>
      <w:kern w:val="0"/>
      <w:sz w:val="18"/>
      <w:szCs w:val="18"/>
    </w:rPr>
  </w:style>
  <w:style w:type="paragraph" w:styleId="15">
    <w:name w:val="toc 1"/>
    <w:basedOn w:val="1"/>
    <w:next w:val="1"/>
    <w:qFormat/>
    <w:uiPriority w:val="0"/>
    <w:pPr>
      <w:spacing w:before="120" w:after="120"/>
      <w:jc w:val="left"/>
    </w:pPr>
    <w:rPr>
      <w:rFonts w:ascii="宋体" w:hAnsi="Times New Roman" w:eastAsia="宋体" w:cs="Times New Roman"/>
      <w:caps/>
      <w:sz w:val="28"/>
      <w:szCs w:val="28"/>
    </w:rPr>
  </w:style>
  <w:style w:type="paragraph" w:styleId="16">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17">
    <w:name w:val="Body Text First Indent"/>
    <w:basedOn w:val="2"/>
    <w:next w:val="1"/>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18">
    <w:name w:val="Body Text First Indent 2"/>
    <w:basedOn w:val="8"/>
    <w:next w:val="17"/>
    <w:qFormat/>
    <w:uiPriority w:val="0"/>
    <w:pPr>
      <w:spacing w:after="120"/>
      <w:ind w:left="420" w:leftChars="200" w:firstLine="420" w:firstLineChars="200"/>
    </w:pPr>
    <w:rPr>
      <w:rFonts w:ascii="Times New Roman" w:hAnsi="Times New Roman" w:eastAsia="宋体" w:cs="Times New Roman"/>
      <w:sz w:val="21"/>
      <w:szCs w:val="21"/>
    </w:rPr>
  </w:style>
  <w:style w:type="character" w:styleId="21">
    <w:name w:val="Hyperlink"/>
    <w:qFormat/>
    <w:uiPriority w:val="0"/>
    <w:rPr>
      <w:rFonts w:ascii="Times New Roman" w:hAnsi="Times New Roman" w:eastAsia="宋体" w:cs="Times New Roman"/>
      <w:color w:val="0000FF"/>
      <w:u w:val="none"/>
    </w:rPr>
  </w:style>
  <w:style w:type="character" w:customStyle="1" w:styleId="22">
    <w:name w:val="16"/>
    <w:qFormat/>
    <w:uiPriority w:val="0"/>
    <w:rPr>
      <w:rFonts w:hint="default" w:ascii="Times New Roman" w:hAnsi="Times New Roman" w:eastAsia="宋体" w:cs="Times New Roman"/>
      <w:color w:val="0000FF"/>
      <w:u w:val="single"/>
    </w:rPr>
  </w:style>
  <w:style w:type="paragraph" w:customStyle="1" w:styleId="23">
    <w:name w:val="样式3"/>
    <w:basedOn w:val="11"/>
    <w:qFormat/>
    <w:uiPriority w:val="99"/>
    <w:pPr>
      <w:spacing w:line="0" w:lineRule="atLeast"/>
      <w:outlineLvl w:val="0"/>
    </w:pPr>
    <w:rPr>
      <w:rFonts w:ascii="Times New Roman" w:hAnsi="Times New Roman" w:eastAsia="宋体" w:cs="Times New Roman"/>
      <w:sz w:val="28"/>
      <w:szCs w:val="28"/>
    </w:rPr>
  </w:style>
  <w:style w:type="paragraph" w:customStyle="1" w:styleId="24">
    <w:name w:val="Table Paragraph"/>
    <w:basedOn w:val="1"/>
    <w:next w:val="1"/>
    <w:qFormat/>
    <w:uiPriority w:val="1"/>
    <w:rPr>
      <w:rFonts w:ascii="宋体" w:hAnsi="宋体" w:eastAsia="宋体" w:cs="宋体"/>
      <w:lang w:val="zh-CN" w:eastAsia="zh-CN" w:bidi="zh-CN"/>
    </w:rPr>
  </w:style>
  <w:style w:type="paragraph" w:customStyle="1" w:styleId="25">
    <w:name w:val="国内正文"/>
    <w:basedOn w:val="1"/>
    <w:qFormat/>
    <w:uiPriority w:val="0"/>
    <w:rPr>
      <w:rFonts w:ascii="Times New Roman" w:hAnsi="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20795</Words>
  <Characters>22052</Characters>
  <Lines>0</Lines>
  <Paragraphs>0</Paragraphs>
  <TotalTime>9</TotalTime>
  <ScaleCrop>false</ScaleCrop>
  <LinksUpToDate>false</LinksUpToDate>
  <CharactersWithSpaces>24222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2022-06-08T08:51:16Z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7606F2673F81403C9F4D43AFCB5BD511</vt:lpwstr>
  </property>
</Properties>
</file>