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4C" w:rsidRPr="00171E4C" w:rsidRDefault="00171E4C" w:rsidP="00171E4C">
      <w:pPr>
        <w:widowControl/>
        <w:shd w:val="clear" w:color="auto" w:fill="FFFFFF"/>
        <w:spacing w:line="720" w:lineRule="atLeast"/>
        <w:jc w:val="center"/>
        <w:outlineLvl w:val="0"/>
        <w:rPr>
          <w:rFonts w:ascii="方正小标宋简体" w:eastAsia="方正小标宋简体" w:hAnsi="微软雅黑" w:cs="宋体"/>
          <w:color w:val="333333"/>
          <w:kern w:val="36"/>
          <w:sz w:val="44"/>
          <w:szCs w:val="44"/>
        </w:rPr>
      </w:pPr>
      <w:r w:rsidRPr="00171E4C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淮南经济技术开发区管理委员会2019年政府预算情况说明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A71FCA">
        <w:rPr>
          <w:rFonts w:ascii="仿宋_GB2312" w:eastAsia="仿宋_GB2312" w:hAnsi="仿宋" w:hint="eastAsia"/>
          <w:color w:val="333333"/>
          <w:sz w:val="32"/>
          <w:szCs w:val="32"/>
        </w:rPr>
        <w:t>为贯彻落实《中华人民共和国预算法》、《安徽省预算审查监督条例》等规定，根据《安徽省财政厅关于印发2019年预算公开工作方案的通知》（财预〔2019〕15号）要求，现将</w:t>
      </w:r>
      <w:r w:rsidR="006C18EA" w:rsidRPr="00A71FCA">
        <w:rPr>
          <w:rFonts w:ascii="仿宋_GB2312" w:eastAsia="仿宋_GB2312" w:hAnsi="仿宋" w:hint="eastAsia"/>
          <w:color w:val="333333"/>
          <w:sz w:val="32"/>
          <w:szCs w:val="32"/>
        </w:rPr>
        <w:t>淮南经济技术开发区管理委员会</w:t>
      </w:r>
      <w:r w:rsidRPr="00A71FCA">
        <w:rPr>
          <w:rFonts w:ascii="仿宋_GB2312" w:eastAsia="仿宋_GB2312" w:hAnsi="仿宋" w:hint="eastAsia"/>
          <w:color w:val="333333"/>
          <w:sz w:val="32"/>
          <w:szCs w:val="32"/>
        </w:rPr>
        <w:t>2019年政府预算情况说明如下：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</w:pPr>
      <w:r w:rsidRPr="00A71FCA">
        <w:rPr>
          <w:rFonts w:ascii="黑体" w:eastAsia="黑体" w:hAnsi="黑体" w:hint="eastAsia"/>
          <w:bCs/>
          <w:color w:val="333333"/>
          <w:sz w:val="32"/>
          <w:szCs w:val="32"/>
        </w:rPr>
        <w:t>一、政府收支预算安排情况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color w:val="333333"/>
          <w:sz w:val="32"/>
          <w:szCs w:val="32"/>
        </w:rPr>
      </w:pP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（一）2019年公共财政预算安排情况</w:t>
      </w:r>
    </w:p>
    <w:p w:rsidR="006C18EA" w:rsidRPr="00A71FCA" w:rsidRDefault="006C18EA" w:rsidP="00A71FCA">
      <w:pPr>
        <w:pStyle w:val="a3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A71FCA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全区</w:t>
      </w:r>
      <w:r w:rsidR="00171E4C" w:rsidRPr="00A71FCA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公共预算收入安排情况：</w:t>
      </w:r>
      <w:bookmarkStart w:id="0" w:name="OLE_LINK2"/>
      <w:bookmarkStart w:id="1" w:name="OLE_LINK1"/>
      <w:bookmarkEnd w:id="0"/>
      <w:bookmarkEnd w:id="1"/>
      <w:r w:rsidRPr="00A71FC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2019年，全区财政总收入预期目标62239万元，比上年实际完成数增长9%。其中，地方收入32432万元，与去年同期基本持平，上划中央收入及出口退税收入29807万元，比去年实际完成数增长19.6%。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A71FCA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全</w:t>
      </w:r>
      <w:r w:rsidR="006C18EA" w:rsidRPr="00A71FCA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区</w:t>
      </w:r>
      <w:r w:rsidRPr="00A71FCA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公共预算支出项目安排情况：</w:t>
      </w:r>
      <w:r w:rsidR="006C18EA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一般公共服务支出3349万元，公共安全支出166万元，教育支出1981万元，科学技术支出950万元，文化体育与传媒支出42万元，社会保障和就业支出2014万元，卫生健康支出361万元，节能环保支出577万元，城乡社区支出13469万元，农林水支出1556万元，商业服务业支出3853万元，国土资源事务支出136万元，灾害防治及管理支出197万元，债务付息支出1100万元，预备费500万元。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color w:val="333333"/>
          <w:sz w:val="32"/>
          <w:szCs w:val="32"/>
        </w:rPr>
      </w:pP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lastRenderedPageBreak/>
        <w:t>（二）2019年政府性基金预算安排情况</w:t>
      </w:r>
    </w:p>
    <w:p w:rsidR="00D56145" w:rsidRPr="00A71FCA" w:rsidRDefault="00D56145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A71FCA">
        <w:rPr>
          <w:rFonts w:ascii="仿宋_GB2312" w:eastAsia="仿宋_GB2312" w:hAnsi="微软雅黑" w:hint="eastAsia"/>
          <w:color w:val="333333"/>
          <w:sz w:val="32"/>
          <w:szCs w:val="32"/>
        </w:rPr>
        <w:t>2019年全区政府性基金预算收入4万元，其中政府性基金转移收入4万元。2019年全区政府性基金预算支出4万元，其中彩票公益金安排的支出4万元</w:t>
      </w:r>
      <w:r w:rsidR="00A71FCA">
        <w:rPr>
          <w:rFonts w:ascii="仿宋_GB2312" w:eastAsia="仿宋_GB2312" w:hAnsi="微软雅黑" w:hint="eastAsia"/>
          <w:color w:val="333333"/>
          <w:sz w:val="32"/>
          <w:szCs w:val="32"/>
        </w:rPr>
        <w:t>（</w:t>
      </w:r>
      <w:r w:rsidR="00A71FCA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用于社会福利的彩票公益金支出</w:t>
      </w:r>
      <w:r w:rsidR="00A71FCA">
        <w:rPr>
          <w:rFonts w:ascii="仿宋_GB2312" w:eastAsia="仿宋_GB2312" w:hAnsi="微软雅黑" w:hint="eastAsia"/>
          <w:color w:val="333333"/>
          <w:sz w:val="32"/>
          <w:szCs w:val="32"/>
        </w:rPr>
        <w:t>3万元，</w:t>
      </w:r>
      <w:r w:rsidR="005E58DC">
        <w:rPr>
          <w:rFonts w:ascii="仿宋_GB2312" w:eastAsia="仿宋_GB2312" w:hAnsi="微软雅黑" w:hint="eastAsia"/>
          <w:color w:val="333333"/>
          <w:sz w:val="32"/>
          <w:szCs w:val="32"/>
        </w:rPr>
        <w:t>用于城乡医疗救助</w:t>
      </w:r>
      <w:r w:rsidR="00A71FCA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的彩票公益金支出</w:t>
      </w:r>
      <w:r w:rsidR="00A71FCA">
        <w:rPr>
          <w:rFonts w:ascii="仿宋_GB2312" w:eastAsia="仿宋_GB2312" w:hAnsi="微软雅黑" w:hint="eastAsia"/>
          <w:color w:val="333333"/>
          <w:sz w:val="32"/>
          <w:szCs w:val="32"/>
        </w:rPr>
        <w:t>1万元）</w:t>
      </w:r>
      <w:r w:rsidRPr="00A71FCA">
        <w:rPr>
          <w:rFonts w:ascii="仿宋_GB2312" w:eastAsia="仿宋_GB2312" w:hAnsi="微软雅黑" w:hint="eastAsia"/>
          <w:color w:val="333333"/>
          <w:sz w:val="32"/>
          <w:szCs w:val="32"/>
        </w:rPr>
        <w:t>，政府性基金收支平衡。</w:t>
      </w:r>
    </w:p>
    <w:p w:rsid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bCs/>
          <w:color w:val="333333"/>
          <w:sz w:val="32"/>
          <w:szCs w:val="32"/>
        </w:rPr>
      </w:pP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（三）2019年国有资本经营预算安排情况</w:t>
      </w:r>
    </w:p>
    <w:p w:rsidR="00A71FCA" w:rsidRPr="00A71FCA" w:rsidRDefault="00A71FCA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bCs/>
          <w:color w:val="333333"/>
          <w:sz w:val="32"/>
          <w:szCs w:val="32"/>
        </w:rPr>
      </w:pPr>
      <w:r w:rsidRPr="00A71FCA">
        <w:rPr>
          <w:rFonts w:ascii="仿宋_GB2312" w:eastAsia="仿宋_GB2312" w:hAnsi="微软雅黑" w:hint="eastAsia"/>
          <w:bCs/>
          <w:color w:val="333333"/>
          <w:sz w:val="32"/>
          <w:szCs w:val="32"/>
        </w:rPr>
        <w:t>2019年</w:t>
      </w:r>
      <w:r>
        <w:rPr>
          <w:rFonts w:ascii="仿宋_GB2312" w:eastAsia="仿宋_GB2312" w:hAnsi="微软雅黑" w:hint="eastAsia"/>
          <w:bCs/>
          <w:color w:val="333333"/>
          <w:sz w:val="32"/>
          <w:szCs w:val="32"/>
        </w:rPr>
        <w:t>全区</w:t>
      </w:r>
      <w:r w:rsidRPr="00A71FCA">
        <w:rPr>
          <w:rFonts w:ascii="仿宋_GB2312" w:eastAsia="仿宋_GB2312" w:hAnsi="微软雅黑" w:hint="eastAsia"/>
          <w:bCs/>
          <w:color w:val="333333"/>
          <w:sz w:val="32"/>
          <w:szCs w:val="32"/>
        </w:rPr>
        <w:t>没有</w:t>
      </w:r>
      <w:r>
        <w:rPr>
          <w:rFonts w:ascii="仿宋_GB2312" w:eastAsia="仿宋_GB2312" w:hAnsi="微软雅黑" w:hint="eastAsia"/>
          <w:bCs/>
          <w:color w:val="333333"/>
          <w:sz w:val="32"/>
          <w:szCs w:val="32"/>
        </w:rPr>
        <w:t>编制</w:t>
      </w:r>
      <w:r w:rsidRPr="00A71FCA">
        <w:rPr>
          <w:rFonts w:ascii="仿宋_GB2312" w:eastAsia="仿宋_GB2312" w:hAnsi="微软雅黑" w:hint="eastAsia"/>
          <w:bCs/>
          <w:color w:val="333333"/>
          <w:sz w:val="32"/>
          <w:szCs w:val="32"/>
        </w:rPr>
        <w:t>国有资本经营预算。</w:t>
      </w:r>
    </w:p>
    <w:p w:rsidR="00171E4C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bCs/>
          <w:color w:val="333333"/>
          <w:sz w:val="32"/>
          <w:szCs w:val="32"/>
        </w:rPr>
      </w:pP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（四）2019年社会保险基金预算安排情况</w:t>
      </w:r>
    </w:p>
    <w:p w:rsidR="00A71FCA" w:rsidRPr="00A71FCA" w:rsidRDefault="00A71FCA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bCs/>
          <w:color w:val="333333"/>
          <w:sz w:val="32"/>
          <w:szCs w:val="32"/>
        </w:rPr>
      </w:pPr>
      <w:r w:rsidRPr="00A71FCA">
        <w:rPr>
          <w:rFonts w:ascii="仿宋_GB2312" w:eastAsia="仿宋_GB2312" w:hAnsi="微软雅黑" w:hint="eastAsia"/>
          <w:bCs/>
          <w:color w:val="333333"/>
          <w:sz w:val="32"/>
          <w:szCs w:val="32"/>
        </w:rPr>
        <w:t>2019年</w:t>
      </w:r>
      <w:r>
        <w:rPr>
          <w:rFonts w:ascii="仿宋_GB2312" w:eastAsia="仿宋_GB2312" w:hAnsi="微软雅黑" w:hint="eastAsia"/>
          <w:bCs/>
          <w:color w:val="333333"/>
          <w:sz w:val="32"/>
          <w:szCs w:val="32"/>
        </w:rPr>
        <w:t>全区</w:t>
      </w:r>
      <w:r w:rsidRPr="00A71FCA">
        <w:rPr>
          <w:rFonts w:ascii="仿宋_GB2312" w:eastAsia="仿宋_GB2312" w:hAnsi="微软雅黑" w:hint="eastAsia"/>
          <w:bCs/>
          <w:color w:val="333333"/>
          <w:sz w:val="32"/>
          <w:szCs w:val="32"/>
        </w:rPr>
        <w:t>没有</w:t>
      </w:r>
      <w:r>
        <w:rPr>
          <w:rFonts w:ascii="仿宋_GB2312" w:eastAsia="仿宋_GB2312" w:hAnsi="微软雅黑" w:hint="eastAsia"/>
          <w:bCs/>
          <w:color w:val="333333"/>
          <w:sz w:val="32"/>
          <w:szCs w:val="32"/>
        </w:rPr>
        <w:t>编制</w:t>
      </w:r>
      <w:r w:rsidRPr="00A71FCA">
        <w:rPr>
          <w:rFonts w:ascii="仿宋_GB2312" w:eastAsia="仿宋_GB2312" w:hAnsi="微软雅黑" w:hint="eastAsia"/>
          <w:bCs/>
          <w:color w:val="333333"/>
          <w:sz w:val="32"/>
          <w:szCs w:val="32"/>
        </w:rPr>
        <w:t>社会保险基金预算。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</w:pPr>
      <w:r w:rsidRPr="00A71FCA">
        <w:rPr>
          <w:rFonts w:ascii="黑体" w:eastAsia="黑体" w:hAnsi="黑体" w:hint="eastAsia"/>
          <w:bCs/>
          <w:color w:val="333333"/>
          <w:sz w:val="32"/>
          <w:szCs w:val="32"/>
        </w:rPr>
        <w:t>二、</w:t>
      </w:r>
      <w:r w:rsidR="00A71C0E" w:rsidRPr="00A71C0E">
        <w:rPr>
          <w:rFonts w:ascii="黑体" w:eastAsia="黑体" w:hAnsi="黑体"/>
          <w:bCs/>
          <w:color w:val="333333"/>
          <w:sz w:val="32"/>
          <w:szCs w:val="32"/>
        </w:rPr>
        <w:t>其他重要事项</w:t>
      </w:r>
      <w:r w:rsidR="00A71C0E" w:rsidRPr="00A71C0E">
        <w:rPr>
          <w:rFonts w:ascii="黑体" w:eastAsia="黑体" w:hAnsi="黑体" w:hint="eastAsia"/>
          <w:bCs/>
          <w:color w:val="333333"/>
          <w:sz w:val="32"/>
          <w:szCs w:val="32"/>
        </w:rPr>
        <w:t>的</w:t>
      </w:r>
      <w:r w:rsidR="00A71C0E" w:rsidRPr="00A71C0E">
        <w:rPr>
          <w:rFonts w:ascii="黑体" w:eastAsia="黑体" w:hAnsi="黑体"/>
          <w:bCs/>
          <w:color w:val="333333"/>
          <w:sz w:val="32"/>
          <w:szCs w:val="32"/>
        </w:rPr>
        <w:t>情况说明</w:t>
      </w:r>
    </w:p>
    <w:p w:rsidR="00171E4C" w:rsidRPr="00A71C0E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color w:val="333333"/>
          <w:sz w:val="32"/>
          <w:szCs w:val="32"/>
        </w:rPr>
      </w:pP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（一）</w:t>
      </w:r>
      <w:r w:rsidR="00A71C0E" w:rsidRPr="00A71C0E">
        <w:rPr>
          <w:rFonts w:ascii="楷体_GB2312" w:eastAsia="楷体_GB2312" w:hAnsi="微软雅黑" w:hint="eastAsia"/>
          <w:bCs/>
          <w:color w:val="333333"/>
          <w:sz w:val="32"/>
          <w:szCs w:val="32"/>
        </w:rPr>
        <w:t>税收返还和转移支付</w:t>
      </w:r>
      <w:r w:rsidR="003B4E2A">
        <w:rPr>
          <w:rFonts w:ascii="楷体_GB2312" w:eastAsia="楷体_GB2312" w:hAnsi="微软雅黑" w:hint="eastAsia"/>
          <w:bCs/>
          <w:color w:val="333333"/>
          <w:sz w:val="32"/>
          <w:szCs w:val="32"/>
        </w:rPr>
        <w:t>安排</w:t>
      </w:r>
      <w:r w:rsidR="00A71C0E" w:rsidRPr="00A71C0E">
        <w:rPr>
          <w:rFonts w:ascii="楷体_GB2312" w:eastAsia="楷体_GB2312" w:hAnsi="微软雅黑" w:hint="eastAsia"/>
          <w:bCs/>
          <w:color w:val="333333"/>
          <w:sz w:val="32"/>
          <w:szCs w:val="32"/>
        </w:rPr>
        <w:t>情况</w:t>
      </w:r>
    </w:p>
    <w:p w:rsidR="00A71FCA" w:rsidRDefault="00A71FCA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bCs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2019年，市本级</w:t>
      </w:r>
      <w:r w:rsidR="00A71C0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对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我区转移支付</w:t>
      </w:r>
      <w:r w:rsidR="00A71C0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资金-1680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万元，</w:t>
      </w:r>
      <w:r w:rsidR="00A71C0E" w:rsidRPr="00A71C0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其中：税收返还</w:t>
      </w:r>
      <w:r w:rsidR="00A71C0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-2038万元</w:t>
      </w:r>
      <w:r w:rsidR="000F42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（</w:t>
      </w:r>
      <w:r w:rsidR="000F4209" w:rsidRPr="000F42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所得税基数返还</w:t>
      </w:r>
      <w:r w:rsidR="000F42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83万元，</w:t>
      </w:r>
      <w:r w:rsidR="000F4209" w:rsidRPr="000F42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增值税</w:t>
      </w:r>
      <w:r w:rsidR="00F77B9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“</w:t>
      </w:r>
      <w:r w:rsidR="000F4209" w:rsidRPr="000F42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五五分享</w:t>
      </w:r>
      <w:r w:rsidR="00F77B9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”</w:t>
      </w:r>
      <w:r w:rsidR="000F4209" w:rsidRPr="000F42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税收返还收入</w:t>
      </w:r>
      <w:r w:rsidR="000F4209" w:rsidRPr="000F4209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-2121</w:t>
      </w:r>
      <w:r w:rsidR="000F42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万元）</w:t>
      </w:r>
      <w:r w:rsidR="00A71C0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一般性转移支付343万元，专项转移支付15万元。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color w:val="333333"/>
          <w:sz w:val="32"/>
          <w:szCs w:val="32"/>
        </w:rPr>
      </w:pP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（二）举借政府债务情况</w:t>
      </w:r>
    </w:p>
    <w:p w:rsidR="00C111AC" w:rsidRPr="00A71FCA" w:rsidRDefault="009F6270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A71FCA">
        <w:rPr>
          <w:rFonts w:ascii="仿宋_GB2312" w:eastAsia="仿宋_GB2312" w:hAnsi="仿宋" w:hint="eastAsia"/>
          <w:color w:val="333333"/>
          <w:sz w:val="32"/>
          <w:szCs w:val="32"/>
        </w:rPr>
        <w:t>2018年末</w:t>
      </w:r>
      <w:r w:rsidRPr="00A71FCA">
        <w:rPr>
          <w:rFonts w:ascii="仿宋_GB2312" w:eastAsia="仿宋_GB2312" w:hAnsi="微软雅黑" w:hint="eastAsia"/>
          <w:color w:val="333333"/>
          <w:sz w:val="32"/>
          <w:szCs w:val="32"/>
        </w:rPr>
        <w:t>全区地方政府债务余额为29362万元。</w:t>
      </w:r>
      <w:r w:rsidR="00F77B97" w:rsidRPr="003F10E0">
        <w:rPr>
          <w:rFonts w:ascii="仿宋_GB2312" w:eastAsia="仿宋_GB2312" w:hAnsi="微软雅黑" w:hint="eastAsia"/>
          <w:bCs/>
          <w:color w:val="333333"/>
          <w:sz w:val="32"/>
          <w:szCs w:val="32"/>
        </w:rPr>
        <w:t>2018年到期置换债券2500万元，新增再融资债券13300万元。</w:t>
      </w:r>
      <w:r w:rsidR="00C111AC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2018</w:t>
      </w:r>
      <w:r w:rsidR="002D286F"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 w:rsidR="0018469D" w:rsidRPr="0018469D">
        <w:rPr>
          <w:rFonts w:ascii="仿宋_GB2312" w:eastAsia="仿宋_GB2312" w:hAnsi="微软雅黑" w:hint="eastAsia"/>
          <w:bCs/>
          <w:color w:val="333333"/>
          <w:sz w:val="32"/>
          <w:szCs w:val="32"/>
        </w:rPr>
        <w:t>债务利息3948.55万元，发行登记费16万元，从年终结算中扣除。</w:t>
      </w:r>
    </w:p>
    <w:p w:rsidR="009F6270" w:rsidRPr="00A71FCA" w:rsidRDefault="009F6270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A71FCA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2019年，地方政府债券付息预算数为1100万元。2019年度，全区地方政府债券资金全部</w:t>
      </w:r>
      <w:proofErr w:type="gramStart"/>
      <w:r w:rsidRPr="00A71FCA">
        <w:rPr>
          <w:rFonts w:ascii="仿宋_GB2312" w:eastAsia="仿宋_GB2312" w:hAnsi="微软雅黑" w:hint="eastAsia"/>
          <w:color w:val="333333"/>
          <w:sz w:val="32"/>
          <w:szCs w:val="32"/>
        </w:rPr>
        <w:t>用于</w:t>
      </w:r>
      <w:r w:rsidR="00201C1B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产城一体化</w:t>
      </w:r>
      <w:proofErr w:type="gramEnd"/>
      <w:r w:rsidR="00201C1B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配套，</w:t>
      </w:r>
      <w:r w:rsidRPr="00A71FCA">
        <w:rPr>
          <w:rFonts w:ascii="仿宋_GB2312" w:eastAsia="仿宋_GB2312" w:hAnsi="微软雅黑" w:hint="eastAsia"/>
          <w:color w:val="333333"/>
          <w:sz w:val="32"/>
          <w:szCs w:val="32"/>
        </w:rPr>
        <w:t>东部工业区路网一期工程</w:t>
      </w:r>
      <w:r w:rsidR="00C111AC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，淮南经济开发区公共租赁房工程，</w:t>
      </w:r>
      <w:r w:rsidRPr="00A71FCA">
        <w:rPr>
          <w:rFonts w:ascii="仿宋_GB2312" w:eastAsia="仿宋_GB2312" w:hAnsi="微软雅黑" w:hint="eastAsia"/>
          <w:color w:val="333333"/>
          <w:sz w:val="32"/>
          <w:szCs w:val="32"/>
        </w:rPr>
        <w:t>淮南经济开发区振兴路、建设南路改造工程</w:t>
      </w:r>
      <w:r w:rsidR="00C111AC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，明珠西路、繁盛路、庆兴西路、沿河路道排工程等。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color w:val="333333"/>
          <w:sz w:val="32"/>
          <w:szCs w:val="32"/>
        </w:rPr>
      </w:pP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（三）扶贫资金情况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A71FCA">
        <w:rPr>
          <w:rFonts w:ascii="仿宋_GB2312" w:eastAsia="仿宋_GB2312" w:hAnsi="仿宋" w:hint="eastAsia"/>
          <w:color w:val="333333"/>
          <w:sz w:val="32"/>
          <w:szCs w:val="32"/>
        </w:rPr>
        <w:t>2019年</w:t>
      </w:r>
      <w:r w:rsidR="00E45316" w:rsidRPr="00A71FCA">
        <w:rPr>
          <w:rFonts w:ascii="仿宋_GB2312" w:eastAsia="仿宋_GB2312" w:hAnsi="仿宋" w:hint="eastAsia"/>
          <w:color w:val="333333"/>
          <w:sz w:val="32"/>
          <w:szCs w:val="32"/>
        </w:rPr>
        <w:t>全区</w:t>
      </w:r>
      <w:r w:rsidRPr="00A71FCA">
        <w:rPr>
          <w:rFonts w:ascii="仿宋_GB2312" w:eastAsia="仿宋_GB2312" w:hAnsi="仿宋" w:hint="eastAsia"/>
          <w:color w:val="333333"/>
          <w:sz w:val="32"/>
          <w:szCs w:val="32"/>
        </w:rPr>
        <w:t>公共预算安排专项扶贫资金</w:t>
      </w:r>
      <w:r w:rsidR="00437541" w:rsidRPr="00A71FCA">
        <w:rPr>
          <w:rFonts w:ascii="仿宋_GB2312" w:eastAsia="仿宋_GB2312" w:hAnsi="仿宋" w:hint="eastAsia"/>
          <w:color w:val="333333"/>
          <w:sz w:val="32"/>
          <w:szCs w:val="32"/>
        </w:rPr>
        <w:t>12</w:t>
      </w:r>
      <w:r w:rsidR="00C46F2C">
        <w:rPr>
          <w:rFonts w:ascii="仿宋_GB2312" w:eastAsia="仿宋_GB2312" w:hAnsi="仿宋" w:hint="eastAsia"/>
          <w:color w:val="333333"/>
          <w:sz w:val="32"/>
          <w:szCs w:val="32"/>
        </w:rPr>
        <w:t>万元，依据《</w:t>
      </w:r>
      <w:r w:rsidR="00C46F2C" w:rsidRPr="00C46F2C">
        <w:rPr>
          <w:rFonts w:ascii="仿宋_GB2312" w:eastAsia="仿宋_GB2312" w:hAnsi="仿宋" w:hint="eastAsia"/>
          <w:color w:val="333333"/>
          <w:sz w:val="32"/>
          <w:szCs w:val="32"/>
        </w:rPr>
        <w:t>安徽省选派帮扶干部管理办法</w:t>
      </w:r>
      <w:r w:rsidR="00C46F2C">
        <w:rPr>
          <w:rFonts w:ascii="仿宋_GB2312" w:eastAsia="仿宋_GB2312" w:hAnsi="仿宋" w:hint="eastAsia"/>
          <w:color w:val="333333"/>
          <w:sz w:val="32"/>
          <w:szCs w:val="32"/>
        </w:rPr>
        <w:t>》要求，该项资金全部用于春节慰问金、中秋慰问品、办公用品费、艰苦边远地区补助等。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color w:val="333333"/>
          <w:sz w:val="32"/>
          <w:szCs w:val="32"/>
        </w:rPr>
      </w:pP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（四）预算绩效工作情况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A71FCA">
        <w:rPr>
          <w:rFonts w:ascii="仿宋_GB2312" w:eastAsia="仿宋_GB2312" w:hAnsi="仿宋" w:hint="eastAsia"/>
          <w:color w:val="333333"/>
          <w:sz w:val="32"/>
          <w:szCs w:val="32"/>
        </w:rPr>
        <w:t>推进绩效预算管理，优化调整绩效评价范围、评价指标体系和方式方法，强化结果运用，提升资金绩效，提高人民满意度。将绩效理念融入预算管理全过程，推进绩效管理与预算管理深度融合，逐步建立以绩效结果为导向的预算资金管理模式。加强绩效目标考核，加强绩效运行监控，绩效目标编制逐步做到指向明确、细化量化、合理可行。提升绩效评价工作质量，以绩效评价为手段，不断提高财政资金使用效益。建立健全全面规范透明、标准科学、约束有力的预算制度，全面实施绩效管理。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</w:pPr>
      <w:r w:rsidRPr="00A71FCA">
        <w:rPr>
          <w:rFonts w:ascii="黑体" w:eastAsia="黑体" w:hAnsi="黑体" w:hint="eastAsia"/>
          <w:bCs/>
          <w:color w:val="333333"/>
          <w:sz w:val="32"/>
          <w:szCs w:val="32"/>
        </w:rPr>
        <w:t>三、其他（名词解释）</w:t>
      </w:r>
    </w:p>
    <w:p w:rsidR="00D74E40" w:rsidRPr="00A71FCA" w:rsidRDefault="009D563B" w:rsidP="00A7288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9D563B">
        <w:rPr>
          <w:rFonts w:ascii="仿宋_GB2312" w:eastAsia="仿宋_GB2312" w:hAnsi="仿宋" w:hint="eastAsia"/>
          <w:color w:val="333333"/>
          <w:sz w:val="32"/>
          <w:szCs w:val="32"/>
        </w:rPr>
        <w:lastRenderedPageBreak/>
        <w:t>一般性转移支付：指中央和省下达我市及市级财力安排的，为均衡地区间基本财力、推进基本公共服务均等化、促进全市经济社会协调发展，经市下达县区，由县区政府按规定统筹安排使用的转移支付资金。</w:t>
      </w:r>
    </w:p>
    <w:sectPr w:rsidR="00D74E40" w:rsidRPr="00A71FCA" w:rsidSect="00D74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3F" w:rsidRDefault="00FE573F" w:rsidP="00437541">
      <w:r>
        <w:separator/>
      </w:r>
    </w:p>
  </w:endnote>
  <w:endnote w:type="continuationSeparator" w:id="0">
    <w:p w:rsidR="00FE573F" w:rsidRDefault="00FE573F" w:rsidP="0043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3F" w:rsidRDefault="00FE573F" w:rsidP="00437541">
      <w:r>
        <w:separator/>
      </w:r>
    </w:p>
  </w:footnote>
  <w:footnote w:type="continuationSeparator" w:id="0">
    <w:p w:rsidR="00FE573F" w:rsidRDefault="00FE573F" w:rsidP="00437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E4C"/>
    <w:rsid w:val="000F4209"/>
    <w:rsid w:val="00171E4C"/>
    <w:rsid w:val="0018469D"/>
    <w:rsid w:val="00201C1B"/>
    <w:rsid w:val="00234964"/>
    <w:rsid w:val="00276E48"/>
    <w:rsid w:val="002B3A44"/>
    <w:rsid w:val="002C4DAE"/>
    <w:rsid w:val="002D286F"/>
    <w:rsid w:val="003211DA"/>
    <w:rsid w:val="003B4E2A"/>
    <w:rsid w:val="00437541"/>
    <w:rsid w:val="00465B3B"/>
    <w:rsid w:val="0048532A"/>
    <w:rsid w:val="004E667D"/>
    <w:rsid w:val="005774D4"/>
    <w:rsid w:val="005E58DC"/>
    <w:rsid w:val="006565E3"/>
    <w:rsid w:val="006C18EA"/>
    <w:rsid w:val="007579E0"/>
    <w:rsid w:val="007861DD"/>
    <w:rsid w:val="007E247E"/>
    <w:rsid w:val="008D4438"/>
    <w:rsid w:val="00900669"/>
    <w:rsid w:val="00926A27"/>
    <w:rsid w:val="009D563B"/>
    <w:rsid w:val="009F6270"/>
    <w:rsid w:val="00A24445"/>
    <w:rsid w:val="00A32BD7"/>
    <w:rsid w:val="00A71C0E"/>
    <w:rsid w:val="00A71FCA"/>
    <w:rsid w:val="00A72887"/>
    <w:rsid w:val="00AC7007"/>
    <w:rsid w:val="00BF5F79"/>
    <w:rsid w:val="00C111AC"/>
    <w:rsid w:val="00C1136C"/>
    <w:rsid w:val="00C11547"/>
    <w:rsid w:val="00C46F2C"/>
    <w:rsid w:val="00D56145"/>
    <w:rsid w:val="00D74E40"/>
    <w:rsid w:val="00E26840"/>
    <w:rsid w:val="00E45316"/>
    <w:rsid w:val="00E4624E"/>
    <w:rsid w:val="00F77B97"/>
    <w:rsid w:val="00FE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4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71E4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1E4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71E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E45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531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7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75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2021-05-18T08:50:00Z</dcterms:created>
  <dcterms:modified xsi:type="dcterms:W3CDTF">2021-05-20T02:58:00Z</dcterms:modified>
</cp:coreProperties>
</file>